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13.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06706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506708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506710_73709187">
            <w:r>
              <w:rPr>
                <w:webHidden/>
                <w:rStyle w:val="IndexLink"/>
                <w:rtl w:val="true"/>
              </w:rPr>
              <w:t>تتمة كتاب الصلاة</w:t>
            </w:r>
            <w:r>
              <w:rPr>
                <w:rStyle w:val="IndexLink"/>
                <w:rtl w:val="true"/>
              </w:rPr>
              <w:tab/>
            </w:r>
            <w:r>
              <w:rPr>
                <w:rStyle w:val="IndexLink"/>
              </w:rPr>
              <w:t>13</w:t>
            </w:r>
          </w:hyperlink>
        </w:p>
        <w:p>
          <w:pPr>
            <w:pStyle w:val="Contents3"/>
            <w:tabs>
              <w:tab w:val="clear" w:pos="8459"/>
              <w:tab w:val="right" w:pos="9026" w:leader="dot"/>
            </w:tabs>
            <w:rPr/>
          </w:pPr>
          <w:hyperlink w:anchor="__RefHeading___Toc10506712_73709187">
            <w:r>
              <w:rPr>
                <w:webHidden/>
                <w:rStyle w:val="IndexLink"/>
                <w:rtl w:val="true"/>
              </w:rPr>
              <w:t>الفصل الثالث</w:t>
            </w:r>
            <w:r>
              <w:rPr>
                <w:rStyle w:val="IndexLink"/>
                <w:rtl w:val="true"/>
              </w:rPr>
              <w:t xml:space="preserve">: </w:t>
            </w:r>
            <w:r>
              <w:rPr>
                <w:rStyle w:val="IndexLink"/>
                <w:rtl w:val="true"/>
              </w:rPr>
              <w:t>في صلاة الكسوف</w:t>
            </w:r>
            <w:r>
              <w:rPr>
                <w:rStyle w:val="IndexLink"/>
                <w:rtl w:val="true"/>
              </w:rPr>
              <w:t>.</w:t>
              <w:tab/>
            </w:r>
            <w:r>
              <w:rPr>
                <w:rStyle w:val="IndexLink"/>
              </w:rPr>
              <w:t>13</w:t>
            </w:r>
          </w:hyperlink>
        </w:p>
        <w:p>
          <w:pPr>
            <w:pStyle w:val="Contents3"/>
            <w:tabs>
              <w:tab w:val="clear" w:pos="8459"/>
              <w:tab w:val="right" w:pos="9026" w:leader="dot"/>
            </w:tabs>
            <w:rPr/>
          </w:pPr>
          <w:hyperlink w:anchor="__RefHeading___Toc10506714_73709187">
            <w:r>
              <w:rPr>
                <w:webHidden/>
                <w:rStyle w:val="IndexLink"/>
                <w:rtl w:val="true"/>
              </w:rPr>
              <w:t>تتمة باب الثالث في بقية الصلوات</w:t>
            </w:r>
            <w:r>
              <w:rPr>
                <w:rStyle w:val="IndexLink"/>
                <w:rtl w:val="true"/>
              </w:rPr>
              <w:tab/>
            </w:r>
            <w:r>
              <w:rPr>
                <w:rStyle w:val="IndexLink"/>
              </w:rPr>
              <w:t>13</w:t>
            </w:r>
          </w:hyperlink>
        </w:p>
        <w:p>
          <w:pPr>
            <w:pStyle w:val="Contents4"/>
            <w:tabs>
              <w:tab w:val="clear" w:pos="8176"/>
              <w:tab w:val="right" w:pos="9026" w:leader="dot"/>
            </w:tabs>
            <w:rPr/>
          </w:pPr>
          <w:hyperlink w:anchor="__RefHeading___Toc10506716_73709187">
            <w:r>
              <w:rPr>
                <w:webHidden/>
                <w:rStyle w:val="IndexLink"/>
                <w:rtl w:val="true"/>
              </w:rPr>
              <w:t>صلاة الآيات</w:t>
            </w:r>
            <w:r>
              <w:rPr>
                <w:rStyle w:val="IndexLink"/>
                <w:rtl w:val="true"/>
              </w:rPr>
              <w:tab/>
            </w:r>
            <w:r>
              <w:rPr>
                <w:rStyle w:val="IndexLink"/>
              </w:rPr>
              <w:t>13</w:t>
            </w:r>
          </w:hyperlink>
        </w:p>
        <w:p>
          <w:pPr>
            <w:pStyle w:val="Contents4"/>
            <w:tabs>
              <w:tab w:val="clear" w:pos="8176"/>
              <w:tab w:val="right" w:pos="9026" w:leader="dot"/>
            </w:tabs>
            <w:rPr/>
          </w:pPr>
          <w:hyperlink w:anchor="__RefHeading___Toc10506718_73709187">
            <w:r>
              <w:rPr>
                <w:webHidden/>
                <w:rStyle w:val="IndexLink"/>
                <w:rtl w:val="true"/>
              </w:rPr>
              <w:t>الفصل الثالث</w:t>
            </w:r>
            <w:r>
              <w:rPr>
                <w:rStyle w:val="IndexLink"/>
                <w:rtl w:val="true"/>
              </w:rPr>
              <w:t xml:space="preserve">: </w:t>
            </w:r>
            <w:r>
              <w:rPr>
                <w:rStyle w:val="IndexLink"/>
                <w:rtl w:val="true"/>
              </w:rPr>
              <w:t>في صلاة الكسوف</w:t>
            </w:r>
            <w:r>
              <w:rPr>
                <w:rStyle w:val="IndexLink"/>
                <w:rtl w:val="true"/>
              </w:rPr>
              <w:tab/>
            </w:r>
            <w:r>
              <w:rPr>
                <w:rStyle w:val="IndexLink"/>
              </w:rPr>
              <w:t>13</w:t>
            </w:r>
          </w:hyperlink>
        </w:p>
        <w:p>
          <w:pPr>
            <w:pStyle w:val="Contents5"/>
            <w:tabs>
              <w:tab w:val="clear" w:pos="7892"/>
              <w:tab w:val="right" w:pos="9026" w:leader="dot"/>
            </w:tabs>
            <w:rPr/>
          </w:pPr>
          <w:hyperlink w:anchor="__RefHeading___Toc10506720_73709187">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10506722_73709187">
            <w:r>
              <w:rPr>
                <w:webHidden/>
                <w:rStyle w:val="IndexLink"/>
                <w:rtl w:val="true"/>
              </w:rPr>
              <w:t>سببها</w:t>
            </w:r>
            <w:r>
              <w:rPr>
                <w:rStyle w:val="IndexLink"/>
                <w:rtl w:val="true"/>
              </w:rPr>
              <w:tab/>
            </w:r>
            <w:r>
              <w:rPr>
                <w:rStyle w:val="IndexLink"/>
              </w:rPr>
              <w:t>14</w:t>
            </w:r>
          </w:hyperlink>
        </w:p>
        <w:p>
          <w:pPr>
            <w:pStyle w:val="Contents5"/>
            <w:tabs>
              <w:tab w:val="clear" w:pos="7892"/>
              <w:tab w:val="right" w:pos="9026" w:leader="dot"/>
            </w:tabs>
            <w:rPr/>
          </w:pPr>
          <w:hyperlink w:anchor="__RefHeading___Toc10506724_73709187">
            <w:r>
              <w:rPr>
                <w:webHidden/>
                <w:rStyle w:val="IndexLink"/>
                <w:rtl w:val="true"/>
              </w:rPr>
              <w:t>كيفيّة صلاة الآيات</w:t>
            </w:r>
            <w:r>
              <w:rPr>
                <w:rStyle w:val="IndexLink"/>
                <w:rtl w:val="true"/>
              </w:rPr>
              <w:tab/>
            </w:r>
            <w:r>
              <w:rPr>
                <w:rStyle w:val="IndexLink"/>
              </w:rPr>
              <w:t>16</w:t>
            </w:r>
          </w:hyperlink>
        </w:p>
        <w:p>
          <w:pPr>
            <w:pStyle w:val="Contents6"/>
            <w:tabs>
              <w:tab w:val="clear" w:pos="7609"/>
              <w:tab w:val="right" w:pos="9026" w:leader="dot"/>
            </w:tabs>
            <w:rPr/>
          </w:pPr>
          <w:hyperlink w:anchor="__RefHeading___Toc10506726_73709187">
            <w:r>
              <w:rPr>
                <w:webHidden/>
                <w:rStyle w:val="IndexLink"/>
                <w:rtl w:val="true"/>
              </w:rPr>
              <w:t>اشارة</w:t>
            </w:r>
            <w:r>
              <w:rPr>
                <w:rStyle w:val="IndexLink"/>
                <w:rtl w:val="true"/>
              </w:rPr>
              <w:tab/>
            </w:r>
            <w:r>
              <w:rPr>
                <w:rStyle w:val="IndexLink"/>
              </w:rPr>
              <w:t>16</w:t>
            </w:r>
          </w:hyperlink>
        </w:p>
        <w:p>
          <w:pPr>
            <w:pStyle w:val="Contents6"/>
            <w:tabs>
              <w:tab w:val="clear" w:pos="7609"/>
              <w:tab w:val="right" w:pos="9026" w:leader="dot"/>
            </w:tabs>
            <w:rPr/>
          </w:pPr>
          <w:hyperlink w:anchor="__RefHeading___Toc10506728_73709187">
            <w:r>
              <w:rPr>
                <w:webHidden/>
                <w:rStyle w:val="IndexLink"/>
                <w:rtl w:val="true"/>
              </w:rPr>
              <w:t>فروع صلاة الآيات</w:t>
            </w:r>
            <w:r>
              <w:rPr>
                <w:rStyle w:val="IndexLink"/>
                <w:rtl w:val="true"/>
              </w:rPr>
              <w:tab/>
            </w:r>
            <w:r>
              <w:rPr>
                <w:rStyle w:val="IndexLink"/>
              </w:rPr>
              <w:t>19</w:t>
            </w:r>
          </w:hyperlink>
        </w:p>
        <w:p>
          <w:pPr>
            <w:pStyle w:val="Contents6"/>
            <w:tabs>
              <w:tab w:val="clear" w:pos="7609"/>
              <w:tab w:val="right" w:pos="9026" w:leader="dot"/>
            </w:tabs>
            <w:rPr/>
          </w:pPr>
          <w:hyperlink w:anchor="__RefHeading___Toc10506730_73709187">
            <w:r>
              <w:rPr>
                <w:webHidden/>
                <w:rStyle w:val="IndexLink"/>
                <w:rtl w:val="true"/>
              </w:rPr>
              <w:t>مستحبّات صلاة الآيات</w:t>
            </w:r>
            <w:r>
              <w:rPr>
                <w:rStyle w:val="IndexLink"/>
                <w:rtl w:val="true"/>
              </w:rPr>
              <w:tab/>
            </w:r>
            <w:r>
              <w:rPr>
                <w:rStyle w:val="IndexLink"/>
              </w:rPr>
              <w:t>24</w:t>
            </w:r>
          </w:hyperlink>
        </w:p>
        <w:p>
          <w:pPr>
            <w:pStyle w:val="Contents5"/>
            <w:tabs>
              <w:tab w:val="clear" w:pos="7892"/>
              <w:tab w:val="right" w:pos="9026" w:leader="dot"/>
            </w:tabs>
            <w:rPr/>
          </w:pPr>
          <w:hyperlink w:anchor="__RefHeading___Toc10506732_73709187">
            <w:r>
              <w:rPr>
                <w:webHidden/>
                <w:rStyle w:val="IndexLink"/>
                <w:rtl w:val="true"/>
              </w:rPr>
              <w:t>وقت صلاة الآيات</w:t>
            </w:r>
            <w:r>
              <w:rPr>
                <w:rStyle w:val="IndexLink"/>
                <w:rtl w:val="true"/>
              </w:rPr>
              <w:tab/>
            </w:r>
            <w:r>
              <w:rPr>
                <w:rStyle w:val="IndexLink"/>
              </w:rPr>
              <w:t>29</w:t>
            </w:r>
          </w:hyperlink>
        </w:p>
        <w:p>
          <w:pPr>
            <w:pStyle w:val="Contents5"/>
            <w:tabs>
              <w:tab w:val="clear" w:pos="7892"/>
              <w:tab w:val="right" w:pos="9026" w:leader="dot"/>
            </w:tabs>
            <w:rPr/>
          </w:pPr>
          <w:hyperlink w:anchor="__RefHeading___Toc10506734_73709187">
            <w:r>
              <w:rPr>
                <w:webHidden/>
                <w:rStyle w:val="IndexLink"/>
                <w:rtl w:val="true"/>
              </w:rPr>
              <w:t>موارد وجوب قضاء صلاة الآيات</w:t>
            </w:r>
            <w:r>
              <w:rPr>
                <w:rStyle w:val="IndexLink"/>
                <w:rtl w:val="true"/>
              </w:rPr>
              <w:tab/>
            </w:r>
            <w:r>
              <w:rPr>
                <w:rStyle w:val="IndexLink"/>
              </w:rPr>
              <w:t>36</w:t>
            </w:r>
          </w:hyperlink>
        </w:p>
        <w:p>
          <w:pPr>
            <w:pStyle w:val="Contents6"/>
            <w:tabs>
              <w:tab w:val="clear" w:pos="7609"/>
              <w:tab w:val="right" w:pos="9026" w:leader="dot"/>
            </w:tabs>
            <w:rPr/>
          </w:pPr>
          <w:hyperlink w:anchor="__RefHeading___Toc10506736_73709187">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10506738_73709187">
            <w:r>
              <w:rPr>
                <w:webHidden/>
                <w:rStyle w:val="IndexLink"/>
                <w:rtl w:val="true"/>
              </w:rPr>
              <w:t>حكم ما لو فاتته الصَّلاة</w:t>
            </w:r>
            <w:r>
              <w:rPr>
                <w:rStyle w:val="IndexLink"/>
                <w:rtl w:val="true"/>
              </w:rPr>
              <w:tab/>
            </w:r>
            <w:r>
              <w:rPr>
                <w:rStyle w:val="IndexLink"/>
              </w:rPr>
              <w:t>36</w:t>
            </w:r>
          </w:hyperlink>
        </w:p>
        <w:p>
          <w:pPr>
            <w:pStyle w:val="Contents6"/>
            <w:tabs>
              <w:tab w:val="clear" w:pos="7609"/>
              <w:tab w:val="right" w:pos="9026" w:leader="dot"/>
            </w:tabs>
            <w:rPr/>
          </w:pPr>
          <w:hyperlink w:anchor="__RefHeading___Toc10506740_73709187">
            <w:r>
              <w:rPr>
                <w:webHidden/>
                <w:rStyle w:val="IndexLink"/>
                <w:rtl w:val="true"/>
              </w:rPr>
              <w:t>حدوث الآية في وقت الفريضة</w:t>
            </w:r>
            <w:r>
              <w:rPr>
                <w:rStyle w:val="IndexLink"/>
                <w:rtl w:val="true"/>
              </w:rPr>
              <w:tab/>
            </w:r>
            <w:r>
              <w:rPr>
                <w:rStyle w:val="IndexLink"/>
              </w:rPr>
              <w:t>39</w:t>
            </w:r>
          </w:hyperlink>
        </w:p>
        <w:p>
          <w:pPr>
            <w:pStyle w:val="Contents6"/>
            <w:tabs>
              <w:tab w:val="clear" w:pos="7609"/>
              <w:tab w:val="right" w:pos="9026" w:leader="dot"/>
            </w:tabs>
            <w:rPr/>
          </w:pPr>
          <w:hyperlink w:anchor="__RefHeading___Toc10506742_73709187">
            <w:r>
              <w:rPr>
                <w:webHidden/>
                <w:rStyle w:val="IndexLink"/>
                <w:rtl w:val="true"/>
              </w:rPr>
              <w:t>لو زاحمت الفريضة فعل الكسوف في ضيق وقتهما</w:t>
            </w:r>
            <w:r>
              <w:rPr>
                <w:rStyle w:val="IndexLink"/>
                <w:rtl w:val="true"/>
              </w:rPr>
              <w:tab/>
            </w:r>
            <w:r>
              <w:rPr>
                <w:rStyle w:val="IndexLink"/>
              </w:rPr>
              <w:t>43</w:t>
            </w:r>
          </w:hyperlink>
        </w:p>
        <w:p>
          <w:pPr>
            <w:pStyle w:val="Contents4"/>
            <w:tabs>
              <w:tab w:val="clear" w:pos="8176"/>
              <w:tab w:val="right" w:pos="9026" w:leader="dot"/>
            </w:tabs>
            <w:rPr/>
          </w:pPr>
          <w:hyperlink w:anchor="__RefHeading___Toc10506744_73709187">
            <w:r>
              <w:rPr>
                <w:webHidden/>
                <w:rStyle w:val="IndexLink"/>
                <w:rtl w:val="true"/>
              </w:rPr>
              <w:t>الفصل الرابع</w:t>
            </w:r>
            <w:r>
              <w:rPr>
                <w:rStyle w:val="IndexLink"/>
                <w:rtl w:val="true"/>
              </w:rPr>
              <w:t xml:space="preserve">: </w:t>
            </w:r>
            <w:r>
              <w:rPr>
                <w:rStyle w:val="IndexLink"/>
                <w:rtl w:val="true"/>
              </w:rPr>
              <w:t>في صلاة الاستئجار</w:t>
            </w:r>
            <w:r>
              <w:rPr>
                <w:rStyle w:val="IndexLink"/>
                <w:rtl w:val="true"/>
              </w:rPr>
              <w:t>.</w:t>
              <w:tab/>
            </w:r>
            <w:r>
              <w:rPr>
                <w:rStyle w:val="IndexLink"/>
              </w:rPr>
              <w:t>45</w:t>
            </w:r>
          </w:hyperlink>
        </w:p>
        <w:p>
          <w:pPr>
            <w:pStyle w:val="Contents5"/>
            <w:tabs>
              <w:tab w:val="clear" w:pos="7892"/>
              <w:tab w:val="right" w:pos="9026" w:leader="dot"/>
            </w:tabs>
            <w:rPr/>
          </w:pPr>
          <w:hyperlink w:anchor="__RefHeading___Toc10506746_73709187">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0506748_73709187">
            <w:r>
              <w:rPr>
                <w:webHidden/>
                <w:rStyle w:val="IndexLink"/>
                <w:rtl w:val="true"/>
              </w:rPr>
              <w:t>مسائل</w:t>
            </w:r>
            <w:r>
              <w:rPr>
                <w:rStyle w:val="IndexLink"/>
                <w:rtl w:val="true"/>
              </w:rPr>
              <w:t>:</w:t>
              <w:tab/>
            </w:r>
            <w:r>
              <w:rPr>
                <w:rStyle w:val="IndexLink"/>
              </w:rPr>
              <w:t>52</w:t>
            </w:r>
          </w:hyperlink>
        </w:p>
        <w:p>
          <w:pPr>
            <w:pStyle w:val="Contents6"/>
            <w:tabs>
              <w:tab w:val="clear" w:pos="7609"/>
              <w:tab w:val="right" w:pos="9026" w:leader="dot"/>
            </w:tabs>
            <w:rPr/>
          </w:pPr>
          <w:hyperlink w:anchor="__RefHeading___Toc10506750_73709187">
            <w:r>
              <w:rPr>
                <w:webHidden/>
                <w:rStyle w:val="IndexLink"/>
                <w:rtl w:val="true"/>
              </w:rPr>
              <w:t>لو آجر نفسه فمات</w:t>
            </w:r>
            <w:r>
              <w:rPr>
                <w:rStyle w:val="IndexLink"/>
                <w:rtl w:val="true"/>
              </w:rPr>
              <w:tab/>
            </w:r>
            <w:r>
              <w:rPr>
                <w:rStyle w:val="IndexLink"/>
              </w:rPr>
              <w:t>52</w:t>
            </w:r>
          </w:hyperlink>
        </w:p>
        <w:p>
          <w:pPr>
            <w:pStyle w:val="Contents6"/>
            <w:tabs>
              <w:tab w:val="clear" w:pos="7609"/>
              <w:tab w:val="right" w:pos="9026" w:leader="dot"/>
            </w:tabs>
            <w:rPr/>
          </w:pPr>
          <w:hyperlink w:anchor="__RefHeading___Toc10506752_73709187">
            <w:r>
              <w:rPr>
                <w:webHidden/>
                <w:rStyle w:val="IndexLink"/>
                <w:rtl w:val="true"/>
              </w:rPr>
              <w:t>إخراج الصَّلاة من أصل التركة</w:t>
            </w:r>
            <w:r>
              <w:rPr>
                <w:rStyle w:val="IndexLink"/>
                <w:rtl w:val="true"/>
              </w:rPr>
              <w:tab/>
            </w:r>
            <w:r>
              <w:rPr>
                <w:rStyle w:val="IndexLink"/>
              </w:rPr>
              <w:t>53</w:t>
            </w:r>
          </w:hyperlink>
        </w:p>
        <w:p>
          <w:pPr>
            <w:pStyle w:val="Contents6"/>
            <w:tabs>
              <w:tab w:val="clear" w:pos="7609"/>
              <w:tab w:val="right" w:pos="9026" w:leader="dot"/>
            </w:tabs>
            <w:rPr/>
          </w:pPr>
          <w:hyperlink w:anchor="__RefHeading___Toc10506754_73709187">
            <w:r>
              <w:rPr>
                <w:webHidden/>
                <w:rStyle w:val="IndexLink"/>
                <w:rtl w:val="true"/>
              </w:rPr>
              <w:t>الأقوى جواز استئجار غير البالغ بإذن وليّه</w:t>
            </w:r>
            <w:r>
              <w:rPr>
                <w:rStyle w:val="IndexLink"/>
                <w:rtl w:val="true"/>
              </w:rPr>
              <w:tab/>
            </w:r>
            <w:r>
              <w:rPr>
                <w:rStyle w:val="IndexLink"/>
              </w:rPr>
              <w:t>56</w:t>
            </w:r>
          </w:hyperlink>
        </w:p>
        <w:p>
          <w:pPr>
            <w:pStyle w:val="Contents6"/>
            <w:tabs>
              <w:tab w:val="clear" w:pos="7609"/>
              <w:tab w:val="right" w:pos="9026" w:leader="dot"/>
            </w:tabs>
            <w:rPr/>
          </w:pPr>
          <w:hyperlink w:anchor="__RefHeading___Toc10506756_73709187">
            <w:r>
              <w:rPr>
                <w:webHidden/>
                <w:rStyle w:val="IndexLink"/>
                <w:rtl w:val="true"/>
              </w:rPr>
              <w:t>استئجار ذوي الأعذار</w:t>
            </w:r>
            <w:r>
              <w:rPr>
                <w:rStyle w:val="IndexLink"/>
                <w:rtl w:val="true"/>
              </w:rPr>
              <w:tab/>
            </w:r>
            <w:r>
              <w:rPr>
                <w:rStyle w:val="IndexLink"/>
              </w:rPr>
              <w:t>56</w:t>
            </w:r>
          </w:hyperlink>
        </w:p>
        <w:p>
          <w:pPr>
            <w:pStyle w:val="Contents6"/>
            <w:tabs>
              <w:tab w:val="clear" w:pos="7609"/>
              <w:tab w:val="right" w:pos="9026" w:leader="dot"/>
            </w:tabs>
            <w:rPr/>
          </w:pPr>
          <w:hyperlink w:anchor="__RefHeading___Toc10506758_73709187">
            <w:r>
              <w:rPr>
                <w:webHidden/>
                <w:rStyle w:val="IndexLink"/>
                <w:rtl w:val="true"/>
              </w:rPr>
              <w:t>الأجير يعمل على طبق تكليف نفسه</w:t>
            </w:r>
            <w:r>
              <w:rPr>
                <w:rStyle w:val="IndexLink"/>
                <w:rtl w:val="true"/>
              </w:rPr>
              <w:tab/>
            </w:r>
            <w:r>
              <w:rPr>
                <w:rStyle w:val="IndexLink"/>
              </w:rPr>
              <w:t>57</w:t>
            </w:r>
          </w:hyperlink>
        </w:p>
        <w:p>
          <w:pPr>
            <w:pStyle w:val="Contents6"/>
            <w:tabs>
              <w:tab w:val="clear" w:pos="7609"/>
              <w:tab w:val="right" w:pos="9026" w:leader="dot"/>
            </w:tabs>
            <w:rPr/>
          </w:pPr>
          <w:hyperlink w:anchor="__RefHeading___Toc10506760_73709187">
            <w:r>
              <w:rPr>
                <w:webHidden/>
                <w:rStyle w:val="IndexLink"/>
                <w:rtl w:val="true"/>
              </w:rPr>
              <w:t>وجوب الإتيان بالصلاة على مقتضى تكليف نفسه</w:t>
            </w:r>
            <w:r>
              <w:rPr>
                <w:rStyle w:val="IndexLink"/>
                <w:rtl w:val="true"/>
              </w:rPr>
              <w:tab/>
            </w:r>
            <w:r>
              <w:rPr>
                <w:rStyle w:val="IndexLink"/>
              </w:rPr>
              <w:t>58</w:t>
            </w:r>
          </w:hyperlink>
        </w:p>
        <w:p>
          <w:pPr>
            <w:pStyle w:val="Contents6"/>
            <w:tabs>
              <w:tab w:val="clear" w:pos="7609"/>
              <w:tab w:val="right" w:pos="9026" w:leader="dot"/>
            </w:tabs>
            <w:rPr/>
          </w:pPr>
          <w:hyperlink w:anchor="__RefHeading___Toc10506762_73709187">
            <w:r>
              <w:rPr>
                <w:webHidden/>
                <w:rStyle w:val="IndexLink"/>
                <w:rtl w:val="true"/>
              </w:rPr>
              <w:t>مراعاة الشروط المعتبرة في الأداء</w:t>
            </w:r>
            <w:r>
              <w:rPr>
                <w:rStyle w:val="IndexLink"/>
                <w:rtl w:val="true"/>
              </w:rPr>
              <w:tab/>
            </w:r>
            <w:r>
              <w:rPr>
                <w:rStyle w:val="IndexLink"/>
              </w:rPr>
              <w:t>58</w:t>
            </w:r>
          </w:hyperlink>
        </w:p>
        <w:p>
          <w:pPr>
            <w:pStyle w:val="Contents4"/>
            <w:tabs>
              <w:tab w:val="clear" w:pos="8176"/>
              <w:tab w:val="right" w:pos="9026" w:leader="dot"/>
            </w:tabs>
            <w:rPr/>
          </w:pPr>
          <w:hyperlink w:anchor="__RefHeading___Toc10506764_73709187">
            <w:r>
              <w:rPr>
                <w:webHidden/>
                <w:rStyle w:val="IndexLink"/>
                <w:rtl w:val="true"/>
              </w:rPr>
              <w:t>الفصل الخامس</w:t>
            </w:r>
            <w:r>
              <w:rPr>
                <w:rStyle w:val="IndexLink"/>
                <w:rtl w:val="true"/>
              </w:rPr>
              <w:t xml:space="preserve">: </w:t>
            </w:r>
            <w:r>
              <w:rPr>
                <w:rStyle w:val="IndexLink"/>
                <w:rtl w:val="true"/>
              </w:rPr>
              <w:t>في قضاء الوليّ‌</w:t>
            </w:r>
            <w:r>
              <w:rPr>
                <w:rStyle w:val="IndexLink"/>
                <w:rtl w:val="true"/>
              </w:rPr>
              <w:t>.</w:t>
              <w:tab/>
            </w:r>
            <w:r>
              <w:rPr>
                <w:rStyle w:val="IndexLink"/>
              </w:rPr>
              <w:t>60</w:t>
            </w:r>
          </w:hyperlink>
        </w:p>
        <w:p>
          <w:pPr>
            <w:pStyle w:val="Contents5"/>
            <w:tabs>
              <w:tab w:val="clear" w:pos="7892"/>
              <w:tab w:val="right" w:pos="9026" w:leader="dot"/>
            </w:tabs>
            <w:rPr/>
          </w:pPr>
          <w:hyperlink w:anchor="__RefHeading___Toc10506766_7370918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0506768_73709187">
            <w:r>
              <w:rPr>
                <w:webHidden/>
                <w:rStyle w:val="IndexLink"/>
                <w:rtl w:val="true"/>
              </w:rPr>
              <w:t>لزوم قضاء جميع ما فات عن الميّت</w:t>
            </w:r>
            <w:r>
              <w:rPr>
                <w:rStyle w:val="IndexLink"/>
                <w:rtl w:val="true"/>
              </w:rPr>
              <w:tab/>
            </w:r>
            <w:r>
              <w:rPr>
                <w:rStyle w:val="IndexLink"/>
              </w:rPr>
              <w:t>60</w:t>
            </w:r>
          </w:hyperlink>
        </w:p>
        <w:p>
          <w:pPr>
            <w:pStyle w:val="Contents5"/>
            <w:tabs>
              <w:tab w:val="clear" w:pos="7892"/>
              <w:tab w:val="right" w:pos="9026" w:leader="dot"/>
            </w:tabs>
            <w:rPr/>
          </w:pPr>
          <w:hyperlink w:anchor="__RefHeading___Toc10506770_73709187">
            <w:r>
              <w:rPr>
                <w:webHidden/>
                <w:rStyle w:val="IndexLink"/>
                <w:rtl w:val="true"/>
              </w:rPr>
              <w:t>في المقضيّ عنه</w:t>
            </w:r>
            <w:r>
              <w:rPr>
                <w:rStyle w:val="IndexLink"/>
                <w:rtl w:val="true"/>
              </w:rPr>
              <w:tab/>
            </w:r>
            <w:r>
              <w:rPr>
                <w:rStyle w:val="IndexLink"/>
              </w:rPr>
              <w:t>62</w:t>
            </w:r>
          </w:hyperlink>
        </w:p>
        <w:p>
          <w:pPr>
            <w:pStyle w:val="Contents5"/>
            <w:tabs>
              <w:tab w:val="clear" w:pos="7892"/>
              <w:tab w:val="right" w:pos="9026" w:leader="dot"/>
            </w:tabs>
            <w:rPr/>
          </w:pPr>
          <w:hyperlink w:anchor="__RefHeading___Toc10506772_73709187">
            <w:r>
              <w:rPr>
                <w:webHidden/>
                <w:rStyle w:val="IndexLink"/>
                <w:rtl w:val="true"/>
              </w:rPr>
              <w:t>في القاضي</w:t>
            </w:r>
            <w:r>
              <w:rPr>
                <w:rStyle w:val="IndexLink"/>
                <w:rtl w:val="true"/>
              </w:rPr>
              <w:tab/>
            </w:r>
            <w:r>
              <w:rPr>
                <w:rStyle w:val="IndexLink"/>
              </w:rPr>
              <w:t>65</w:t>
            </w:r>
          </w:hyperlink>
        </w:p>
        <w:p>
          <w:pPr>
            <w:pStyle w:val="Contents5"/>
            <w:tabs>
              <w:tab w:val="clear" w:pos="7892"/>
              <w:tab w:val="right" w:pos="9026" w:leader="dot"/>
            </w:tabs>
            <w:rPr/>
          </w:pPr>
          <w:hyperlink w:anchor="__RefHeading___Toc10506774_73709187">
            <w:r>
              <w:rPr>
                <w:webHidden/>
                <w:rStyle w:val="IndexLink"/>
                <w:rtl w:val="true"/>
              </w:rPr>
              <w:t>أحكام القضاء</w:t>
            </w:r>
            <w:r>
              <w:rPr>
                <w:rStyle w:val="IndexLink"/>
                <w:rtl w:val="true"/>
              </w:rPr>
              <w:tab/>
            </w:r>
            <w:r>
              <w:rPr>
                <w:rStyle w:val="IndexLink"/>
              </w:rPr>
              <w:t>69</w:t>
            </w:r>
          </w:hyperlink>
        </w:p>
        <w:p>
          <w:pPr>
            <w:pStyle w:val="Contents6"/>
            <w:tabs>
              <w:tab w:val="clear" w:pos="7609"/>
              <w:tab w:val="right" w:pos="9026" w:leader="dot"/>
            </w:tabs>
            <w:rPr/>
          </w:pPr>
          <w:hyperlink w:anchor="__RefHeading___Toc10506776_7370918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0506778_73709187">
            <w:r>
              <w:rPr>
                <w:webHidden/>
                <w:rStyle w:val="IndexLink"/>
                <w:rtl w:val="true"/>
              </w:rPr>
              <w:t>الإيصاء بالإستئجار عنه</w:t>
            </w:r>
            <w:r>
              <w:rPr>
                <w:rStyle w:val="IndexLink"/>
                <w:rtl w:val="true"/>
              </w:rPr>
              <w:tab/>
            </w:r>
            <w:r>
              <w:rPr>
                <w:rStyle w:val="IndexLink"/>
              </w:rPr>
              <w:t>71</w:t>
            </w:r>
          </w:hyperlink>
        </w:p>
        <w:p>
          <w:pPr>
            <w:pStyle w:val="Contents3"/>
            <w:tabs>
              <w:tab w:val="clear" w:pos="8459"/>
              <w:tab w:val="right" w:pos="9026" w:leader="dot"/>
            </w:tabs>
            <w:rPr/>
          </w:pPr>
          <w:hyperlink w:anchor="__RefHeading___Toc10506780_73709187">
            <w:r>
              <w:rPr>
                <w:webHidden/>
                <w:rStyle w:val="IndexLink"/>
                <w:rtl w:val="true"/>
              </w:rPr>
              <w:t>البابُ الرّابع</w:t>
            </w:r>
            <w:r>
              <w:rPr>
                <w:rStyle w:val="IndexLink"/>
                <w:rtl w:val="true"/>
              </w:rPr>
              <w:t xml:space="preserve">: </w:t>
            </w:r>
            <w:r>
              <w:rPr>
                <w:rStyle w:val="IndexLink"/>
                <w:rtl w:val="true"/>
              </w:rPr>
              <w:t>في الصَّلوات المندوبة</w:t>
            </w:r>
            <w:r>
              <w:rPr>
                <w:rStyle w:val="IndexLink"/>
                <w:rtl w:val="true"/>
              </w:rPr>
              <w:tab/>
            </w:r>
            <w:r>
              <w:rPr>
                <w:rStyle w:val="IndexLink"/>
              </w:rPr>
              <w:t>75</w:t>
            </w:r>
          </w:hyperlink>
        </w:p>
        <w:p>
          <w:pPr>
            <w:pStyle w:val="Contents4"/>
            <w:tabs>
              <w:tab w:val="clear" w:pos="8176"/>
              <w:tab w:val="right" w:pos="9026" w:leader="dot"/>
            </w:tabs>
            <w:rPr/>
          </w:pPr>
          <w:hyperlink w:anchor="__RefHeading___Toc10506782_73709187">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0506784_73709187">
            <w:r>
              <w:rPr>
                <w:webHidden/>
                <w:rStyle w:val="IndexLink"/>
                <w:rtl w:val="true"/>
              </w:rPr>
              <w:t>صلاة الاستسقاء</w:t>
            </w:r>
            <w:r>
              <w:rPr>
                <w:rStyle w:val="IndexLink"/>
                <w:rtl w:val="true"/>
              </w:rPr>
              <w:tab/>
            </w:r>
            <w:r>
              <w:rPr>
                <w:rStyle w:val="IndexLink"/>
              </w:rPr>
              <w:t>75</w:t>
            </w:r>
          </w:hyperlink>
        </w:p>
        <w:p>
          <w:pPr>
            <w:pStyle w:val="Contents4"/>
            <w:tabs>
              <w:tab w:val="clear" w:pos="8176"/>
              <w:tab w:val="right" w:pos="9026" w:leader="dot"/>
            </w:tabs>
            <w:rPr/>
          </w:pPr>
          <w:hyperlink w:anchor="__RefHeading___Toc10506786_73709187">
            <w:r>
              <w:rPr>
                <w:webHidden/>
                <w:rStyle w:val="IndexLink"/>
                <w:rtl w:val="true"/>
              </w:rPr>
              <w:t>نافلة رمضان</w:t>
            </w:r>
            <w:r>
              <w:rPr>
                <w:rStyle w:val="IndexLink"/>
                <w:rtl w:val="true"/>
              </w:rPr>
              <w:tab/>
            </w:r>
            <w:r>
              <w:rPr>
                <w:rStyle w:val="IndexLink"/>
              </w:rPr>
              <w:t>79</w:t>
            </w:r>
          </w:hyperlink>
        </w:p>
        <w:p>
          <w:pPr>
            <w:pStyle w:val="Contents3"/>
            <w:tabs>
              <w:tab w:val="clear" w:pos="8459"/>
              <w:tab w:val="right" w:pos="9026" w:leader="dot"/>
            </w:tabs>
            <w:rPr/>
          </w:pPr>
          <w:hyperlink w:anchor="__RefHeading___Toc10506788_73709187">
            <w:r>
              <w:rPr>
                <w:webHidden/>
                <w:rStyle w:val="IndexLink"/>
                <w:rtl w:val="true"/>
              </w:rPr>
              <w:t>البابُ الخامس</w:t>
            </w:r>
            <w:r>
              <w:rPr>
                <w:rStyle w:val="IndexLink"/>
                <w:rtl w:val="true"/>
              </w:rPr>
              <w:t xml:space="preserve">: </w:t>
            </w:r>
            <w:r>
              <w:rPr>
                <w:rStyle w:val="IndexLink"/>
                <w:rtl w:val="true"/>
              </w:rPr>
              <w:t>في السَّهو</w:t>
            </w:r>
            <w:r>
              <w:rPr>
                <w:rStyle w:val="IndexLink"/>
                <w:rtl w:val="true"/>
              </w:rPr>
              <w:tab/>
            </w:r>
            <w:r>
              <w:rPr>
                <w:rStyle w:val="IndexLink"/>
              </w:rPr>
              <w:t>88</w:t>
            </w:r>
          </w:hyperlink>
        </w:p>
        <w:p>
          <w:pPr>
            <w:pStyle w:val="Contents4"/>
            <w:tabs>
              <w:tab w:val="clear" w:pos="8176"/>
              <w:tab w:val="right" w:pos="9026" w:leader="dot"/>
            </w:tabs>
            <w:rPr/>
          </w:pPr>
          <w:hyperlink w:anchor="__RefHeading___Toc10506790_7370918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0506792_73709187">
            <w:r>
              <w:rPr>
                <w:webHidden/>
                <w:rStyle w:val="IndexLink"/>
                <w:rtl w:val="true"/>
              </w:rPr>
              <w:t>المقام الأوّل</w:t>
            </w:r>
            <w:r>
              <w:rPr>
                <w:rStyle w:val="IndexLink"/>
                <w:rtl w:val="true"/>
              </w:rPr>
              <w:t xml:space="preserve">: </w:t>
            </w:r>
            <w:r>
              <w:rPr>
                <w:rStyle w:val="IndexLink"/>
                <w:rtl w:val="true"/>
              </w:rPr>
              <w:t>لو قطع به،</w:t>
            </w:r>
            <w:r>
              <w:rPr>
                <w:rStyle w:val="IndexLink"/>
                <w:rtl w:val="true"/>
              </w:rPr>
              <w:tab/>
            </w:r>
            <w:r>
              <w:rPr>
                <w:rStyle w:val="IndexLink"/>
              </w:rPr>
              <w:t>88</w:t>
            </w:r>
          </w:hyperlink>
        </w:p>
        <w:p>
          <w:pPr>
            <w:pStyle w:val="Contents5"/>
            <w:tabs>
              <w:tab w:val="clear" w:pos="7892"/>
              <w:tab w:val="right" w:pos="9026" w:leader="dot"/>
            </w:tabs>
            <w:rPr/>
          </w:pPr>
          <w:hyperlink w:anchor="__RefHeading___Toc10506794_7370918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0506796_73709187">
            <w:r>
              <w:rPr>
                <w:webHidden/>
                <w:rStyle w:val="IndexLink"/>
                <w:rtl w:val="true"/>
              </w:rPr>
              <w:t>وتنقيح القول إنّما يكون برسم مسائل</w:t>
            </w:r>
            <w:r>
              <w:rPr>
                <w:rStyle w:val="IndexLink"/>
                <w:rtl w:val="true"/>
              </w:rPr>
              <w:tab/>
            </w:r>
            <w:r>
              <w:rPr>
                <w:rStyle w:val="IndexLink"/>
              </w:rPr>
              <w:t>88</w:t>
            </w:r>
          </w:hyperlink>
        </w:p>
        <w:p>
          <w:pPr>
            <w:pStyle w:val="Contents6"/>
            <w:tabs>
              <w:tab w:val="clear" w:pos="7609"/>
              <w:tab w:val="right" w:pos="9026" w:leader="dot"/>
            </w:tabs>
            <w:rPr/>
          </w:pPr>
          <w:hyperlink w:anchor="__RefHeading___Toc10506798_73709187">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0506800_73709187">
            <w:r>
              <w:rPr>
                <w:webHidden/>
                <w:rStyle w:val="IndexLink"/>
                <w:rtl w:val="true"/>
              </w:rPr>
              <w:t>في حكم ترك شيءٍ من الواجبات عمداً</w:t>
            </w:r>
            <w:r>
              <w:rPr>
                <w:rStyle w:val="IndexLink"/>
                <w:rtl w:val="true"/>
              </w:rPr>
              <w:tab/>
            </w:r>
            <w:r>
              <w:rPr>
                <w:rStyle w:val="IndexLink"/>
              </w:rPr>
              <w:t>89</w:t>
            </w:r>
          </w:hyperlink>
        </w:p>
        <w:p>
          <w:pPr>
            <w:pStyle w:val="Contents6"/>
            <w:tabs>
              <w:tab w:val="clear" w:pos="7609"/>
              <w:tab w:val="right" w:pos="9026" w:leader="dot"/>
            </w:tabs>
            <w:rPr/>
          </w:pPr>
          <w:hyperlink w:anchor="__RefHeading___Toc10506802_73709187">
            <w:r>
              <w:rPr>
                <w:webHidden/>
                <w:rStyle w:val="IndexLink"/>
                <w:rtl w:val="true"/>
              </w:rPr>
              <w:t>حكم الزيادة العمَديّة</w:t>
            </w:r>
            <w:r>
              <w:rPr>
                <w:rStyle w:val="IndexLink"/>
                <w:rtl w:val="true"/>
              </w:rPr>
              <w:tab/>
            </w:r>
            <w:r>
              <w:rPr>
                <w:rStyle w:val="IndexLink"/>
              </w:rPr>
              <w:t>91</w:t>
            </w:r>
          </w:hyperlink>
        </w:p>
        <w:p>
          <w:pPr>
            <w:pStyle w:val="Contents6"/>
            <w:tabs>
              <w:tab w:val="clear" w:pos="7609"/>
              <w:tab w:val="right" w:pos="9026" w:leader="dot"/>
            </w:tabs>
            <w:rPr/>
          </w:pPr>
          <w:hyperlink w:anchor="__RefHeading___Toc10506804_73709187">
            <w:r>
              <w:rPr>
                <w:webHidden/>
                <w:rStyle w:val="IndexLink"/>
                <w:rtl w:val="true"/>
              </w:rPr>
              <w:t>حكم النقيصة سهواً</w:t>
            </w:r>
            <w:r>
              <w:rPr>
                <w:rStyle w:val="IndexLink"/>
                <w:rtl w:val="true"/>
              </w:rPr>
              <w:tab/>
            </w:r>
            <w:r>
              <w:rPr>
                <w:rStyle w:val="IndexLink"/>
              </w:rPr>
              <w:t>99</w:t>
            </w:r>
          </w:hyperlink>
        </w:p>
        <w:p>
          <w:pPr>
            <w:pStyle w:val="Contents6"/>
            <w:tabs>
              <w:tab w:val="clear" w:pos="7609"/>
              <w:tab w:val="right" w:pos="9026" w:leader="dot"/>
            </w:tabs>
            <w:rPr/>
          </w:pPr>
          <w:hyperlink w:anchor="__RefHeading___Toc10506806_73709187">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0506808_73709187">
            <w:r>
              <w:rPr>
                <w:webHidden/>
                <w:rStyle w:val="IndexLink"/>
                <w:rtl w:val="true"/>
              </w:rPr>
              <w:t>حكم الإخلال بالرّكوع</w:t>
            </w:r>
            <w:r>
              <w:rPr>
                <w:rStyle w:val="IndexLink"/>
                <w:rtl w:val="true"/>
              </w:rPr>
              <w:tab/>
            </w:r>
            <w:r>
              <w:rPr>
                <w:rStyle w:val="IndexLink"/>
              </w:rPr>
              <w:t>99</w:t>
            </w:r>
          </w:hyperlink>
        </w:p>
        <w:p>
          <w:pPr>
            <w:pStyle w:val="Contents6"/>
            <w:tabs>
              <w:tab w:val="clear" w:pos="7609"/>
              <w:tab w:val="right" w:pos="9026" w:leader="dot"/>
            </w:tabs>
            <w:rPr/>
          </w:pPr>
          <w:hyperlink w:anchor="__RefHeading___Toc10506810_73709187">
            <w:r>
              <w:rPr>
                <w:webHidden/>
                <w:rStyle w:val="IndexLink"/>
                <w:rtl w:val="true"/>
              </w:rPr>
              <w:t>حكم الإخلال بالسجدتين</w:t>
            </w:r>
            <w:r>
              <w:rPr>
                <w:rStyle w:val="IndexLink"/>
                <w:rtl w:val="true"/>
              </w:rPr>
              <w:tab/>
            </w:r>
            <w:r>
              <w:rPr>
                <w:rStyle w:val="IndexLink"/>
              </w:rPr>
              <w:t>107</w:t>
            </w:r>
          </w:hyperlink>
        </w:p>
        <w:p>
          <w:pPr>
            <w:pStyle w:val="Contents6"/>
            <w:tabs>
              <w:tab w:val="clear" w:pos="7609"/>
              <w:tab w:val="right" w:pos="9026" w:leader="dot"/>
            </w:tabs>
            <w:rPr/>
          </w:pPr>
          <w:hyperlink w:anchor="__RefHeading___Toc10506812_73709187">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0506814_73709187">
            <w:r>
              <w:rPr>
                <w:webHidden/>
                <w:rStyle w:val="IndexLink"/>
                <w:rtl w:val="true"/>
              </w:rPr>
              <w:t>إمكان تكليف النّاسي بغير ما نسيه</w:t>
            </w:r>
            <w:r>
              <w:rPr>
                <w:rStyle w:val="IndexLink"/>
                <w:rtl w:val="true"/>
              </w:rPr>
              <w:tab/>
            </w:r>
            <w:r>
              <w:rPr>
                <w:rStyle w:val="IndexLink"/>
              </w:rPr>
              <w:t>110</w:t>
            </w:r>
          </w:hyperlink>
        </w:p>
        <w:p>
          <w:pPr>
            <w:pStyle w:val="Contents6"/>
            <w:tabs>
              <w:tab w:val="clear" w:pos="7609"/>
              <w:tab w:val="right" w:pos="9026" w:leader="dot"/>
            </w:tabs>
            <w:rPr/>
          </w:pPr>
          <w:hyperlink w:anchor="__RefHeading___Toc10506816_73709187">
            <w:r>
              <w:rPr>
                <w:webHidden/>
                <w:rStyle w:val="IndexLink"/>
                <w:rtl w:val="true"/>
              </w:rPr>
              <w:t>ثبوت الجزئيّة في حال النسيان وعدمه</w:t>
            </w:r>
            <w:r>
              <w:rPr>
                <w:rStyle w:val="IndexLink"/>
                <w:rtl w:val="true"/>
              </w:rPr>
              <w:tab/>
            </w:r>
            <w:r>
              <w:rPr>
                <w:rStyle w:val="IndexLink"/>
              </w:rPr>
              <w:t>111</w:t>
            </w:r>
          </w:hyperlink>
        </w:p>
        <w:p>
          <w:pPr>
            <w:pStyle w:val="Contents6"/>
            <w:tabs>
              <w:tab w:val="clear" w:pos="7609"/>
              <w:tab w:val="right" w:pos="9026" w:leader="dot"/>
            </w:tabs>
            <w:rPr/>
          </w:pPr>
          <w:hyperlink w:anchor="__RefHeading___Toc10506818_73709187">
            <w:r>
              <w:rPr>
                <w:webHidden/>
                <w:rStyle w:val="IndexLink"/>
                <w:rtl w:val="true"/>
              </w:rPr>
              <w:t>مقتضى الأصل العملي عند الشكّ في الجزئيّة</w:t>
            </w:r>
            <w:r>
              <w:rPr>
                <w:rStyle w:val="IndexLink"/>
                <w:rtl w:val="true"/>
              </w:rPr>
              <w:tab/>
            </w:r>
            <w:r>
              <w:rPr>
                <w:rStyle w:val="IndexLink"/>
              </w:rPr>
              <w:t>113</w:t>
            </w:r>
          </w:hyperlink>
        </w:p>
        <w:p>
          <w:pPr>
            <w:pStyle w:val="Contents6"/>
            <w:tabs>
              <w:tab w:val="clear" w:pos="7609"/>
              <w:tab w:val="right" w:pos="9026" w:leader="dot"/>
            </w:tabs>
            <w:rPr/>
          </w:pPr>
          <w:hyperlink w:anchor="__RefHeading___Toc10506820_73709187">
            <w:r>
              <w:rPr>
                <w:webHidden/>
                <w:rStyle w:val="IndexLink"/>
                <w:rtl w:val="true"/>
              </w:rPr>
              <w:t>مقتضى القاعدة الثانويّة عند الشكّ في الجزئيّة</w:t>
            </w:r>
            <w:r>
              <w:rPr>
                <w:rStyle w:val="IndexLink"/>
                <w:rtl w:val="true"/>
              </w:rPr>
              <w:tab/>
            </w:r>
            <w:r>
              <w:rPr>
                <w:rStyle w:val="IndexLink"/>
              </w:rPr>
              <w:t>115</w:t>
            </w:r>
          </w:hyperlink>
        </w:p>
        <w:p>
          <w:pPr>
            <w:pStyle w:val="Contents6"/>
            <w:tabs>
              <w:tab w:val="clear" w:pos="7609"/>
              <w:tab w:val="right" w:pos="9026" w:leader="dot"/>
            </w:tabs>
            <w:rPr/>
          </w:pPr>
          <w:hyperlink w:anchor="__RefHeading___Toc10506822_73709187">
            <w:r>
              <w:rPr>
                <w:webHidden/>
                <w:rStyle w:val="IndexLink"/>
                <w:rtl w:val="true"/>
              </w:rPr>
              <w:t xml:space="preserve">البحث عن حديث </w:t>
            </w:r>
            <w:r>
              <w:rPr>
                <w:rStyle w:val="IndexLink"/>
                <w:rtl w:val="true"/>
              </w:rPr>
              <w:t>(</w:t>
            </w:r>
            <w:r>
              <w:rPr>
                <w:rStyle w:val="IndexLink"/>
                <w:rtl w:val="true"/>
              </w:rPr>
              <w:t>لا تُعاد الصلاة</w:t>
            </w:r>
            <w:r>
              <w:rPr>
                <w:rStyle w:val="IndexLink"/>
                <w:rtl w:val="true"/>
              </w:rPr>
              <w:t>)</w:t>
              <w:tab/>
            </w:r>
            <w:r>
              <w:rPr>
                <w:rStyle w:val="IndexLink"/>
              </w:rPr>
              <w:t>116</w:t>
            </w:r>
          </w:hyperlink>
        </w:p>
        <w:p>
          <w:pPr>
            <w:pStyle w:val="Contents6"/>
            <w:tabs>
              <w:tab w:val="clear" w:pos="7609"/>
              <w:tab w:val="right" w:pos="9026" w:leader="dot"/>
            </w:tabs>
            <w:rPr/>
          </w:pPr>
          <w:hyperlink w:anchor="__RefHeading___Toc10506824_73709187">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0506826_73709187">
            <w:r>
              <w:rPr>
                <w:webHidden/>
                <w:rStyle w:val="IndexLink"/>
                <w:rtl w:val="true"/>
              </w:rPr>
              <w:t>توهّم كون الحديث وارداً في مقام بيان ماهيّة الصَّلاة</w:t>
            </w:r>
            <w:r>
              <w:rPr>
                <w:rStyle w:val="IndexLink"/>
                <w:rtl w:val="true"/>
              </w:rPr>
              <w:tab/>
            </w:r>
            <w:r>
              <w:rPr>
                <w:rStyle w:val="IndexLink"/>
              </w:rPr>
              <w:t>116</w:t>
            </w:r>
          </w:hyperlink>
        </w:p>
        <w:p>
          <w:pPr>
            <w:pStyle w:val="Contents6"/>
            <w:tabs>
              <w:tab w:val="clear" w:pos="7609"/>
              <w:tab w:val="right" w:pos="9026" w:leader="dot"/>
            </w:tabs>
            <w:rPr/>
          </w:pPr>
          <w:hyperlink w:anchor="__RefHeading___Toc10506828_73709187">
            <w:r>
              <w:rPr>
                <w:webHidden/>
                <w:rStyle w:val="IndexLink"/>
                <w:rtl w:val="true"/>
              </w:rPr>
              <w:t>الصحيح لا يشمل العامد</w:t>
            </w:r>
            <w:r>
              <w:rPr>
                <w:rStyle w:val="IndexLink"/>
                <w:rtl w:val="true"/>
              </w:rPr>
              <w:tab/>
            </w:r>
            <w:r>
              <w:rPr>
                <w:rStyle w:val="IndexLink"/>
              </w:rPr>
              <w:t>117</w:t>
            </w:r>
          </w:hyperlink>
        </w:p>
        <w:p>
          <w:pPr>
            <w:pStyle w:val="Contents6"/>
            <w:tabs>
              <w:tab w:val="clear" w:pos="7609"/>
              <w:tab w:val="right" w:pos="9026" w:leader="dot"/>
            </w:tabs>
            <w:rPr/>
          </w:pPr>
          <w:hyperlink w:anchor="__RefHeading___Toc10506830_73709187">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10506832_73709187">
            <w:r>
              <w:rPr>
                <w:webHidden/>
                <w:rStyle w:val="IndexLink"/>
                <w:rtl w:val="true"/>
              </w:rPr>
              <w:t>في شموله للعامد وعدمه</w:t>
            </w:r>
            <w:r>
              <w:rPr>
                <w:rStyle w:val="IndexLink"/>
                <w:rtl w:val="true"/>
              </w:rPr>
              <w:tab/>
            </w:r>
            <w:r>
              <w:rPr>
                <w:rStyle w:val="IndexLink"/>
              </w:rPr>
              <w:t>118</w:t>
            </w:r>
          </w:hyperlink>
        </w:p>
        <w:p>
          <w:pPr>
            <w:pStyle w:val="Contents6"/>
            <w:tabs>
              <w:tab w:val="clear" w:pos="7609"/>
              <w:tab w:val="right" w:pos="9026" w:leader="dot"/>
            </w:tabs>
            <w:rPr/>
          </w:pPr>
          <w:hyperlink w:anchor="__RefHeading___Toc10506834_73709187">
            <w:r>
              <w:rPr>
                <w:webHidden/>
                <w:rStyle w:val="IndexLink"/>
                <w:rtl w:val="true"/>
              </w:rPr>
              <w:t>الحديث لا يشمل الجاهل المقصر</w:t>
            </w:r>
            <w:r>
              <w:rPr>
                <w:rStyle w:val="IndexLink"/>
                <w:rtl w:val="true"/>
              </w:rPr>
              <w:tab/>
            </w:r>
            <w:r>
              <w:rPr>
                <w:rStyle w:val="IndexLink"/>
              </w:rPr>
              <w:t>121</w:t>
            </w:r>
          </w:hyperlink>
        </w:p>
        <w:p>
          <w:pPr>
            <w:pStyle w:val="Contents6"/>
            <w:tabs>
              <w:tab w:val="clear" w:pos="7609"/>
              <w:tab w:val="right" w:pos="9026" w:leader="dot"/>
            </w:tabs>
            <w:rPr/>
          </w:pPr>
          <w:hyperlink w:anchor="__RefHeading___Toc10506836_73709187">
            <w:r>
              <w:rPr>
                <w:webHidden/>
                <w:rStyle w:val="IndexLink"/>
                <w:rtl w:val="true"/>
              </w:rPr>
              <w:t>الحديث يشمل الجاهل القاصر</w:t>
            </w:r>
            <w:r>
              <w:rPr>
                <w:rStyle w:val="IndexLink"/>
                <w:rtl w:val="true"/>
              </w:rPr>
              <w:tab/>
            </w:r>
            <w:r>
              <w:rPr>
                <w:rStyle w:val="IndexLink"/>
              </w:rPr>
              <w:t>123</w:t>
            </w:r>
          </w:hyperlink>
        </w:p>
        <w:p>
          <w:pPr>
            <w:pStyle w:val="Contents6"/>
            <w:tabs>
              <w:tab w:val="clear" w:pos="7609"/>
              <w:tab w:val="right" w:pos="9026" w:leader="dot"/>
            </w:tabs>
            <w:rPr/>
          </w:pPr>
          <w:hyperlink w:anchor="__RefHeading___Toc10506838_73709187">
            <w:r>
              <w:rPr>
                <w:webHidden/>
                <w:rStyle w:val="IndexLink"/>
                <w:rtl w:val="true"/>
              </w:rPr>
              <w:t>شمول الحديث للزيادة</w:t>
            </w:r>
            <w:r>
              <w:rPr>
                <w:rStyle w:val="IndexLink"/>
                <w:rtl w:val="true"/>
              </w:rPr>
              <w:tab/>
            </w:r>
            <w:r>
              <w:rPr>
                <w:rStyle w:val="IndexLink"/>
              </w:rPr>
              <w:t>124</w:t>
            </w:r>
          </w:hyperlink>
        </w:p>
        <w:p>
          <w:pPr>
            <w:pStyle w:val="Contents6"/>
            <w:tabs>
              <w:tab w:val="clear" w:pos="7609"/>
              <w:tab w:val="right" w:pos="9026" w:leader="dot"/>
            </w:tabs>
            <w:rPr/>
          </w:pPr>
          <w:hyperlink w:anchor="__RefHeading___Toc10506840_73709187">
            <w:r>
              <w:rPr>
                <w:webHidden/>
                <w:rStyle w:val="IndexLink"/>
                <w:rtl w:val="true"/>
              </w:rPr>
              <w:t>في شمول حديث لا تُعاد للشروط والموانع</w:t>
            </w:r>
            <w:r>
              <w:rPr>
                <w:rStyle w:val="IndexLink"/>
                <w:rtl w:val="true"/>
              </w:rPr>
              <w:tab/>
            </w:r>
            <w:r>
              <w:rPr>
                <w:rStyle w:val="IndexLink"/>
              </w:rPr>
              <w:t>126</w:t>
            </w:r>
          </w:hyperlink>
        </w:p>
        <w:p>
          <w:pPr>
            <w:pStyle w:val="Contents6"/>
            <w:tabs>
              <w:tab w:val="clear" w:pos="7609"/>
              <w:tab w:val="right" w:pos="9026" w:leader="dot"/>
            </w:tabs>
            <w:rPr/>
          </w:pPr>
          <w:hyperlink w:anchor="__RefHeading___Toc10506842_73709187">
            <w:r>
              <w:rPr>
                <w:webHidden/>
                <w:rStyle w:val="IndexLink"/>
                <w:rtl w:val="true"/>
              </w:rPr>
              <w:t>المراد من الإعادة</w:t>
            </w:r>
            <w:r>
              <w:rPr>
                <w:rStyle w:val="IndexLink"/>
                <w:rtl w:val="true"/>
              </w:rPr>
              <w:tab/>
            </w:r>
            <w:r>
              <w:rPr>
                <w:rStyle w:val="IndexLink"/>
              </w:rPr>
              <w:t>127</w:t>
            </w:r>
          </w:hyperlink>
        </w:p>
        <w:p>
          <w:pPr>
            <w:pStyle w:val="Contents6"/>
            <w:tabs>
              <w:tab w:val="clear" w:pos="7609"/>
              <w:tab w:val="right" w:pos="9026" w:leader="dot"/>
            </w:tabs>
            <w:rPr/>
          </w:pPr>
          <w:hyperlink w:anchor="__RefHeading___Toc10506844_73709187">
            <w:r>
              <w:rPr>
                <w:webHidden/>
                <w:rStyle w:val="IndexLink"/>
                <w:rtl w:val="true"/>
              </w:rPr>
              <w:t>الإخلال بما عدا الخمسة المستثناة</w:t>
            </w:r>
            <w:r>
              <w:rPr>
                <w:rStyle w:val="IndexLink"/>
                <w:rtl w:val="true"/>
              </w:rPr>
              <w:tab/>
            </w:r>
            <w:r>
              <w:rPr>
                <w:rStyle w:val="IndexLink"/>
              </w:rPr>
              <w:t>127</w:t>
            </w:r>
          </w:hyperlink>
        </w:p>
        <w:p>
          <w:pPr>
            <w:pStyle w:val="Contents6"/>
            <w:tabs>
              <w:tab w:val="clear" w:pos="7609"/>
              <w:tab w:val="right" w:pos="9026" w:leader="dot"/>
            </w:tabs>
            <w:rPr/>
          </w:pPr>
          <w:hyperlink w:anchor="__RefHeading___Toc10506846_73709187">
            <w:r>
              <w:rPr>
                <w:webHidden/>
                <w:rStyle w:val="IndexLink"/>
                <w:rtl w:val="true"/>
              </w:rPr>
              <w:t>المراد بالطهور</w:t>
            </w:r>
            <w:r>
              <w:rPr>
                <w:rStyle w:val="IndexLink"/>
                <w:rtl w:val="true"/>
              </w:rPr>
              <w:tab/>
            </w:r>
            <w:r>
              <w:rPr>
                <w:rStyle w:val="IndexLink"/>
              </w:rPr>
              <w:t>127</w:t>
            </w:r>
          </w:hyperlink>
        </w:p>
        <w:p>
          <w:pPr>
            <w:pStyle w:val="Contents6"/>
            <w:tabs>
              <w:tab w:val="clear" w:pos="7609"/>
              <w:tab w:val="right" w:pos="9026" w:leader="dot"/>
            </w:tabs>
            <w:rPr/>
          </w:pPr>
          <w:hyperlink w:anchor="__RefHeading___Toc10506848_73709187">
            <w:r>
              <w:rPr>
                <w:webHidden/>
                <w:rStyle w:val="IndexLink"/>
                <w:rtl w:val="true"/>
              </w:rPr>
              <w:t>حكم الزيادة السَّهويّة</w:t>
            </w:r>
            <w:r>
              <w:rPr>
                <w:rStyle w:val="IndexLink"/>
                <w:rtl w:val="true"/>
              </w:rPr>
              <w:tab/>
            </w:r>
            <w:r>
              <w:rPr>
                <w:rStyle w:val="IndexLink"/>
              </w:rPr>
              <w:t>129</w:t>
            </w:r>
          </w:hyperlink>
        </w:p>
        <w:p>
          <w:pPr>
            <w:pStyle w:val="Contents6"/>
            <w:tabs>
              <w:tab w:val="clear" w:pos="7609"/>
              <w:tab w:val="right" w:pos="9026" w:leader="dot"/>
            </w:tabs>
            <w:rPr/>
          </w:pPr>
          <w:hyperlink w:anchor="__RefHeading___Toc10506850_73709187">
            <w:r>
              <w:rPr>
                <w:webHidden/>
                <w:rStyle w:val="IndexLink"/>
                <w:rtl w:val="true"/>
              </w:rPr>
              <w:t>تردّد المنسيّ بين الرّكن وغيره</w:t>
            </w:r>
            <w:r>
              <w:rPr>
                <w:rStyle w:val="IndexLink"/>
                <w:rtl w:val="true"/>
              </w:rPr>
              <w:tab/>
            </w:r>
            <w:r>
              <w:rPr>
                <w:rStyle w:val="IndexLink"/>
              </w:rPr>
              <w:t>133</w:t>
            </w:r>
          </w:hyperlink>
        </w:p>
        <w:p>
          <w:pPr>
            <w:pStyle w:val="Contents6"/>
            <w:tabs>
              <w:tab w:val="clear" w:pos="7609"/>
              <w:tab w:val="right" w:pos="9026" w:leader="dot"/>
            </w:tabs>
            <w:rPr/>
          </w:pPr>
          <w:hyperlink w:anchor="__RefHeading___Toc10506852_73709187">
            <w:r>
              <w:rPr>
                <w:webHidden/>
                <w:rStyle w:val="IndexLink"/>
                <w:rtl w:val="true"/>
              </w:rPr>
              <w:t>حُكم زيادة الرّكوع أو السَّجدتين</w:t>
            </w:r>
            <w:r>
              <w:rPr>
                <w:rStyle w:val="IndexLink"/>
                <w:rtl w:val="true"/>
              </w:rPr>
              <w:tab/>
            </w:r>
            <w:r>
              <w:rPr>
                <w:rStyle w:val="IndexLink"/>
              </w:rPr>
              <w:t>138</w:t>
            </w:r>
          </w:hyperlink>
        </w:p>
        <w:p>
          <w:pPr>
            <w:pStyle w:val="Contents6"/>
            <w:tabs>
              <w:tab w:val="clear" w:pos="7609"/>
              <w:tab w:val="right" w:pos="9026" w:leader="dot"/>
            </w:tabs>
            <w:rPr/>
          </w:pPr>
          <w:hyperlink w:anchor="__RefHeading___Toc10506854_73709187">
            <w:r>
              <w:rPr>
                <w:webHidden/>
                <w:rStyle w:val="IndexLink"/>
                <w:rtl w:val="true"/>
              </w:rPr>
              <w:t>حكم زيادة الرّكعة</w:t>
            </w:r>
            <w:r>
              <w:rPr>
                <w:rStyle w:val="IndexLink"/>
                <w:rtl w:val="true"/>
              </w:rPr>
              <w:tab/>
            </w:r>
            <w:r>
              <w:rPr>
                <w:rStyle w:val="IndexLink"/>
              </w:rPr>
              <w:t>141</w:t>
            </w:r>
          </w:hyperlink>
        </w:p>
        <w:p>
          <w:pPr>
            <w:pStyle w:val="Contents6"/>
            <w:tabs>
              <w:tab w:val="clear" w:pos="7609"/>
              <w:tab w:val="right" w:pos="9026" w:leader="dot"/>
            </w:tabs>
            <w:rPr/>
          </w:pPr>
          <w:hyperlink w:anchor="__RefHeading___Toc10506856_7370918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10506858_73709187">
            <w:r>
              <w:rPr>
                <w:webHidden/>
                <w:rStyle w:val="IndexLink"/>
                <w:rtl w:val="true"/>
              </w:rPr>
              <w:t>ما تقتضيه القاعدة</w:t>
            </w:r>
            <w:r>
              <w:rPr>
                <w:rStyle w:val="IndexLink"/>
                <w:rtl w:val="true"/>
              </w:rPr>
              <w:tab/>
            </w:r>
            <w:r>
              <w:rPr>
                <w:rStyle w:val="IndexLink"/>
              </w:rPr>
              <w:t>141</w:t>
            </w:r>
          </w:hyperlink>
        </w:p>
        <w:p>
          <w:pPr>
            <w:pStyle w:val="Contents6"/>
            <w:tabs>
              <w:tab w:val="clear" w:pos="7609"/>
              <w:tab w:val="right" w:pos="9026" w:leader="dot"/>
            </w:tabs>
            <w:rPr/>
          </w:pPr>
          <w:hyperlink w:anchor="__RefHeading___Toc10506860_73709187">
            <w:r>
              <w:rPr>
                <w:webHidden/>
                <w:rStyle w:val="IndexLink"/>
                <w:rtl w:val="true"/>
              </w:rPr>
              <w:t>ما تقتضيه النصوص الخاصّة</w:t>
            </w:r>
            <w:r>
              <w:rPr>
                <w:rStyle w:val="IndexLink"/>
                <w:rtl w:val="true"/>
              </w:rPr>
              <w:tab/>
            </w:r>
            <w:r>
              <w:rPr>
                <w:rStyle w:val="IndexLink"/>
              </w:rPr>
              <w:t>143</w:t>
            </w:r>
          </w:hyperlink>
        </w:p>
        <w:p>
          <w:pPr>
            <w:pStyle w:val="Contents6"/>
            <w:tabs>
              <w:tab w:val="clear" w:pos="7609"/>
              <w:tab w:val="right" w:pos="9026" w:leader="dot"/>
            </w:tabs>
            <w:rPr/>
          </w:pPr>
          <w:hyperlink w:anchor="__RefHeading___Toc10506862_73709187">
            <w:r>
              <w:rPr>
                <w:webHidden/>
                <w:rStyle w:val="IndexLink"/>
                <w:rtl w:val="true"/>
              </w:rPr>
              <w:t>حكم نسيان الرّكعة فما زاد</w:t>
            </w:r>
            <w:r>
              <w:rPr>
                <w:rStyle w:val="IndexLink"/>
                <w:rtl w:val="true"/>
              </w:rPr>
              <w:tab/>
            </w:r>
            <w:r>
              <w:rPr>
                <w:rStyle w:val="IndexLink"/>
              </w:rPr>
              <w:t>149</w:t>
            </w:r>
          </w:hyperlink>
        </w:p>
        <w:p>
          <w:pPr>
            <w:pStyle w:val="Contents6"/>
            <w:tabs>
              <w:tab w:val="clear" w:pos="7609"/>
              <w:tab w:val="right" w:pos="9026" w:leader="dot"/>
            </w:tabs>
            <w:rPr/>
          </w:pPr>
          <w:hyperlink w:anchor="__RefHeading___Toc10506864_73709187">
            <w:r>
              <w:rPr>
                <w:webHidden/>
                <w:rStyle w:val="IndexLink"/>
                <w:rtl w:val="true"/>
              </w:rPr>
              <w:t>الخَلل في المقدّمات</w:t>
            </w:r>
            <w:r>
              <w:rPr>
                <w:rStyle w:val="IndexLink"/>
                <w:rtl w:val="true"/>
              </w:rPr>
              <w:tab/>
            </w:r>
            <w:r>
              <w:rPr>
                <w:rStyle w:val="IndexLink"/>
              </w:rPr>
              <w:t>156</w:t>
            </w:r>
          </w:hyperlink>
        </w:p>
        <w:p>
          <w:pPr>
            <w:pStyle w:val="Contents6"/>
            <w:tabs>
              <w:tab w:val="clear" w:pos="7609"/>
              <w:tab w:val="right" w:pos="9026" w:leader="dot"/>
            </w:tabs>
            <w:rPr/>
          </w:pPr>
          <w:hyperlink w:anchor="__RefHeading___Toc10506866_73709187">
            <w:r>
              <w:rPr>
                <w:webHidden/>
                <w:rStyle w:val="IndexLink"/>
                <w:rtl w:val="true"/>
              </w:rPr>
              <w:t>حكم نسيان غير الرّكن</w:t>
            </w:r>
            <w:r>
              <w:rPr>
                <w:rStyle w:val="IndexLink"/>
                <w:rtl w:val="true"/>
              </w:rPr>
              <w:tab/>
            </w:r>
            <w:r>
              <w:rPr>
                <w:rStyle w:val="IndexLink"/>
              </w:rPr>
              <w:t>158</w:t>
            </w:r>
          </w:hyperlink>
        </w:p>
        <w:p>
          <w:pPr>
            <w:pStyle w:val="Contents6"/>
            <w:tabs>
              <w:tab w:val="clear" w:pos="7609"/>
              <w:tab w:val="right" w:pos="9026" w:leader="dot"/>
            </w:tabs>
            <w:rPr/>
          </w:pPr>
          <w:hyperlink w:anchor="__RefHeading___Toc10506868_73709187">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10506870_73709187">
            <w:r>
              <w:rPr>
                <w:webHidden/>
                <w:rStyle w:val="IndexLink"/>
                <w:rtl w:val="true"/>
              </w:rPr>
              <w:t>القسم الأول ما لا حكم له</w:t>
            </w:r>
            <w:r>
              <w:rPr>
                <w:rStyle w:val="IndexLink"/>
                <w:rtl w:val="true"/>
              </w:rPr>
              <w:tab/>
            </w:r>
            <w:r>
              <w:rPr>
                <w:rStyle w:val="IndexLink"/>
              </w:rPr>
              <w:t>158</w:t>
            </w:r>
          </w:hyperlink>
        </w:p>
        <w:p>
          <w:pPr>
            <w:pStyle w:val="Contents6"/>
            <w:tabs>
              <w:tab w:val="clear" w:pos="7609"/>
              <w:tab w:val="right" w:pos="9026" w:leader="dot"/>
            </w:tabs>
            <w:rPr/>
          </w:pPr>
          <w:hyperlink w:anchor="__RefHeading___Toc10506872_73709187">
            <w:r>
              <w:rPr>
                <w:webHidden/>
                <w:rStyle w:val="IndexLink"/>
                <w:rtl w:val="true"/>
              </w:rPr>
              <w:t>القسم الثاني ما يوجب التلافي</w:t>
            </w:r>
            <w:r>
              <w:rPr>
                <w:rStyle w:val="IndexLink"/>
                <w:rtl w:val="true"/>
              </w:rPr>
              <w:tab/>
            </w:r>
            <w:r>
              <w:rPr>
                <w:rStyle w:val="IndexLink"/>
              </w:rPr>
              <w:t>163</w:t>
            </w:r>
          </w:hyperlink>
        </w:p>
        <w:p>
          <w:pPr>
            <w:pStyle w:val="Contents6"/>
            <w:tabs>
              <w:tab w:val="clear" w:pos="7609"/>
              <w:tab w:val="right" w:pos="9026" w:leader="dot"/>
            </w:tabs>
            <w:rPr/>
          </w:pPr>
          <w:hyperlink w:anchor="__RefHeading___Toc10506874_73709187">
            <w:r>
              <w:rPr>
                <w:webHidden/>
                <w:rStyle w:val="IndexLink"/>
                <w:rtl w:val="true"/>
              </w:rPr>
              <w:t>اشارة</w:t>
            </w:r>
            <w:r>
              <w:rPr>
                <w:rStyle w:val="IndexLink"/>
                <w:rtl w:val="true"/>
              </w:rPr>
              <w:tab/>
            </w:r>
            <w:r>
              <w:rPr>
                <w:rStyle w:val="IndexLink"/>
              </w:rPr>
              <w:t>163</w:t>
            </w:r>
          </w:hyperlink>
        </w:p>
        <w:p>
          <w:pPr>
            <w:pStyle w:val="Contents6"/>
            <w:tabs>
              <w:tab w:val="clear" w:pos="7609"/>
              <w:tab w:val="right" w:pos="9026" w:leader="dot"/>
            </w:tabs>
            <w:rPr/>
          </w:pPr>
          <w:hyperlink w:anchor="__RefHeading___Toc10506876_73709187">
            <w:r>
              <w:rPr>
                <w:webHidden/>
                <w:rStyle w:val="IndexLink"/>
                <w:rtl w:val="true"/>
              </w:rPr>
              <w:t>ما يتدارك من غير سَجدة السَّهو</w:t>
            </w:r>
            <w:r>
              <w:rPr>
                <w:rStyle w:val="IndexLink"/>
                <w:rtl w:val="true"/>
              </w:rPr>
              <w:tab/>
            </w:r>
            <w:r>
              <w:rPr>
                <w:rStyle w:val="IndexLink"/>
              </w:rPr>
              <w:t>163</w:t>
            </w:r>
          </w:hyperlink>
        </w:p>
        <w:p>
          <w:pPr>
            <w:pStyle w:val="Contents6"/>
            <w:tabs>
              <w:tab w:val="clear" w:pos="7609"/>
              <w:tab w:val="right" w:pos="9026" w:leader="dot"/>
            </w:tabs>
            <w:rPr/>
          </w:pPr>
          <w:hyperlink w:anchor="__RefHeading___Toc10506878_73709187">
            <w:r>
              <w:rPr>
                <w:webHidden/>
                <w:rStyle w:val="IndexLink"/>
                <w:rtl w:val="true"/>
              </w:rPr>
              <w:t>لو تذكر ترك الرّكوع قبل السّجود</w:t>
            </w:r>
            <w:r>
              <w:rPr>
                <w:rStyle w:val="IndexLink"/>
                <w:rtl w:val="true"/>
              </w:rPr>
              <w:tab/>
            </w:r>
            <w:r>
              <w:rPr>
                <w:rStyle w:val="IndexLink"/>
              </w:rPr>
              <w:t>166</w:t>
            </w:r>
          </w:hyperlink>
        </w:p>
        <w:p>
          <w:pPr>
            <w:pStyle w:val="Contents6"/>
            <w:tabs>
              <w:tab w:val="clear" w:pos="7609"/>
              <w:tab w:val="right" w:pos="9026" w:leader="dot"/>
            </w:tabs>
            <w:rPr/>
          </w:pPr>
          <w:hyperlink w:anchor="__RefHeading___Toc10506880_73709187">
            <w:r>
              <w:rPr>
                <w:webHidden/>
                <w:rStyle w:val="IndexLink"/>
                <w:rtl w:val="true"/>
              </w:rPr>
              <w:t>تذكّر ترك السّجدة بعد القيام</w:t>
            </w:r>
            <w:r>
              <w:rPr>
                <w:rStyle w:val="IndexLink"/>
                <w:rtl w:val="true"/>
              </w:rPr>
              <w:tab/>
            </w:r>
            <w:r>
              <w:rPr>
                <w:rStyle w:val="IndexLink"/>
              </w:rPr>
              <w:t>172</w:t>
            </w:r>
          </w:hyperlink>
        </w:p>
        <w:p>
          <w:pPr>
            <w:pStyle w:val="Contents6"/>
            <w:tabs>
              <w:tab w:val="clear" w:pos="7609"/>
              <w:tab w:val="right" w:pos="9026" w:leader="dot"/>
            </w:tabs>
            <w:rPr/>
          </w:pPr>
          <w:hyperlink w:anchor="__RefHeading___Toc10506882_73709187">
            <w:r>
              <w:rPr>
                <w:webHidden/>
                <w:rStyle w:val="IndexLink"/>
                <w:rtl w:val="true"/>
              </w:rPr>
              <w:t>حكم التذكّر قبل الدخول في الرّكن</w:t>
            </w:r>
            <w:r>
              <w:rPr>
                <w:rStyle w:val="IndexLink"/>
                <w:rtl w:val="true"/>
              </w:rPr>
              <w:tab/>
            </w:r>
            <w:r>
              <w:rPr>
                <w:rStyle w:val="IndexLink"/>
              </w:rPr>
              <w:t>176</w:t>
            </w:r>
          </w:hyperlink>
        </w:p>
        <w:p>
          <w:pPr>
            <w:pStyle w:val="Contents6"/>
            <w:tabs>
              <w:tab w:val="clear" w:pos="7609"/>
              <w:tab w:val="right" w:pos="9026" w:leader="dot"/>
            </w:tabs>
            <w:rPr/>
          </w:pPr>
          <w:hyperlink w:anchor="__RefHeading___Toc10506884_73709187">
            <w:r>
              <w:rPr>
                <w:webHidden/>
                <w:rStyle w:val="IndexLink"/>
                <w:rtl w:val="true"/>
              </w:rPr>
              <w:t>القسم الثالث</w:t>
            </w:r>
            <w:r>
              <w:rPr>
                <w:rStyle w:val="IndexLink"/>
                <w:rtl w:val="true"/>
              </w:rPr>
              <w:t xml:space="preserve">: </w:t>
            </w:r>
            <w:r>
              <w:rPr>
                <w:rStyle w:val="IndexLink"/>
                <w:rtl w:val="true"/>
              </w:rPr>
              <w:t>الشك</w:t>
            </w:r>
            <w:r>
              <w:rPr>
                <w:rStyle w:val="IndexLink"/>
                <w:rtl w:val="true"/>
              </w:rPr>
              <w:tab/>
            </w:r>
            <w:r>
              <w:rPr>
                <w:rStyle w:val="IndexLink"/>
              </w:rPr>
              <w:t>179</w:t>
            </w:r>
          </w:hyperlink>
        </w:p>
        <w:p>
          <w:pPr>
            <w:pStyle w:val="Contents6"/>
            <w:tabs>
              <w:tab w:val="clear" w:pos="7609"/>
              <w:tab w:val="right" w:pos="9026" w:leader="dot"/>
            </w:tabs>
            <w:rPr/>
          </w:pPr>
          <w:hyperlink w:anchor="__RefHeading___Toc10506886_73709187">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0506888_73709187">
            <w:r>
              <w:rPr>
                <w:webHidden/>
                <w:rStyle w:val="IndexLink"/>
                <w:rtl w:val="true"/>
              </w:rPr>
              <w:t>ما يتدارك مع سَجدتي السَّهو</w:t>
            </w:r>
            <w:r>
              <w:rPr>
                <w:rStyle w:val="IndexLink"/>
                <w:rtl w:val="true"/>
              </w:rPr>
              <w:tab/>
            </w:r>
            <w:r>
              <w:rPr>
                <w:rStyle w:val="IndexLink"/>
              </w:rPr>
              <w:t>179</w:t>
            </w:r>
          </w:hyperlink>
        </w:p>
        <w:p>
          <w:pPr>
            <w:pStyle w:val="Contents6"/>
            <w:tabs>
              <w:tab w:val="clear" w:pos="7609"/>
              <w:tab w:val="right" w:pos="9026" w:leader="dot"/>
            </w:tabs>
            <w:rPr/>
          </w:pPr>
          <w:hyperlink w:anchor="__RefHeading___Toc10506890_73709187">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10506892_73709187">
            <w:r>
              <w:rPr>
                <w:webHidden/>
                <w:rStyle w:val="IndexLink"/>
                <w:rtl w:val="true"/>
              </w:rPr>
              <w:t>محلّ قضاء السّجدة</w:t>
            </w:r>
            <w:r>
              <w:rPr>
                <w:rStyle w:val="IndexLink"/>
                <w:rtl w:val="true"/>
              </w:rPr>
              <w:tab/>
            </w:r>
            <w:r>
              <w:rPr>
                <w:rStyle w:val="IndexLink"/>
              </w:rPr>
              <w:t>184</w:t>
            </w:r>
          </w:hyperlink>
        </w:p>
        <w:p>
          <w:pPr>
            <w:pStyle w:val="Contents6"/>
            <w:tabs>
              <w:tab w:val="clear" w:pos="7609"/>
              <w:tab w:val="right" w:pos="9026" w:leader="dot"/>
            </w:tabs>
            <w:rPr/>
          </w:pPr>
          <w:hyperlink w:anchor="__RefHeading___Toc10506894_73709187">
            <w:r>
              <w:rPr>
                <w:webHidden/>
                <w:rStyle w:val="IndexLink"/>
                <w:rtl w:val="true"/>
              </w:rPr>
              <w:t>قضاء التشهّد</w:t>
            </w:r>
            <w:r>
              <w:rPr>
                <w:rStyle w:val="IndexLink"/>
                <w:rtl w:val="true"/>
              </w:rPr>
              <w:tab/>
            </w:r>
            <w:r>
              <w:rPr>
                <w:rStyle w:val="IndexLink"/>
              </w:rPr>
              <w:t>188</w:t>
            </w:r>
          </w:hyperlink>
        </w:p>
        <w:p>
          <w:pPr>
            <w:pStyle w:val="Contents4"/>
            <w:tabs>
              <w:tab w:val="clear" w:pos="8176"/>
              <w:tab w:val="right" w:pos="9026" w:leader="dot"/>
            </w:tabs>
            <w:rPr/>
          </w:pPr>
          <w:hyperlink w:anchor="__RefHeading___Toc10506896_73709187">
            <w:r>
              <w:rPr>
                <w:webHidden/>
                <w:rStyle w:val="IndexLink"/>
                <w:rtl w:val="true"/>
              </w:rPr>
              <w:t>المقام الثاني</w:t>
            </w:r>
            <w:r>
              <w:rPr>
                <w:rStyle w:val="IndexLink"/>
                <w:rtl w:val="true"/>
              </w:rPr>
              <w:t xml:space="preserve">: </w:t>
            </w:r>
            <w:r>
              <w:rPr>
                <w:rStyle w:val="IndexLink"/>
                <w:rtl w:val="true"/>
              </w:rPr>
              <w:t>فيما إذا شكّ في وجود الخَلل،</w:t>
            </w:r>
            <w:r>
              <w:rPr>
                <w:rStyle w:val="IndexLink"/>
                <w:rtl w:val="true"/>
              </w:rPr>
              <w:tab/>
            </w:r>
            <w:r>
              <w:rPr>
                <w:rStyle w:val="IndexLink"/>
              </w:rPr>
              <w:t>194</w:t>
            </w:r>
          </w:hyperlink>
        </w:p>
        <w:p>
          <w:pPr>
            <w:pStyle w:val="Contents5"/>
            <w:tabs>
              <w:tab w:val="clear" w:pos="7892"/>
              <w:tab w:val="right" w:pos="9026" w:leader="dot"/>
            </w:tabs>
            <w:rPr/>
          </w:pPr>
          <w:hyperlink w:anchor="__RefHeading___Toc10506898_7370918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0506900_73709187">
            <w:r>
              <w:rPr>
                <w:webHidden/>
                <w:rStyle w:val="IndexLink"/>
                <w:rtl w:val="true"/>
              </w:rPr>
              <w:t>الفصل الأوّل</w:t>
            </w:r>
            <w:r>
              <w:rPr>
                <w:rStyle w:val="IndexLink"/>
                <w:rtl w:val="true"/>
              </w:rPr>
              <w:t xml:space="preserve">: </w:t>
            </w:r>
            <w:r>
              <w:rPr>
                <w:rStyle w:val="IndexLink"/>
                <w:rtl w:val="true"/>
              </w:rPr>
              <w:t>في الشكّ في أصل الصَّلاة</w:t>
            </w:r>
            <w:r>
              <w:rPr>
                <w:rStyle w:val="IndexLink"/>
                <w:rtl w:val="true"/>
              </w:rPr>
              <w:tab/>
            </w:r>
            <w:r>
              <w:rPr>
                <w:rStyle w:val="IndexLink"/>
              </w:rPr>
              <w:t>194</w:t>
            </w:r>
          </w:hyperlink>
        </w:p>
        <w:p>
          <w:pPr>
            <w:pStyle w:val="Contents5"/>
            <w:tabs>
              <w:tab w:val="clear" w:pos="7892"/>
              <w:tab w:val="right" w:pos="9026" w:leader="dot"/>
            </w:tabs>
            <w:rPr/>
          </w:pPr>
          <w:hyperlink w:anchor="__RefHeading___Toc10506902_73709187">
            <w:r>
              <w:rPr>
                <w:webHidden/>
                <w:rStyle w:val="IndexLink"/>
                <w:rtl w:val="true"/>
              </w:rPr>
              <w:t>الفصل الثاني</w:t>
            </w:r>
            <w:r>
              <w:rPr>
                <w:rStyle w:val="IndexLink"/>
                <w:rtl w:val="true"/>
              </w:rPr>
              <w:t xml:space="preserve">: </w:t>
            </w:r>
            <w:r>
              <w:rPr>
                <w:rStyle w:val="IndexLink"/>
                <w:rtl w:val="true"/>
              </w:rPr>
              <w:t>عن الشّكوك في الرّكعات الباطلة</w:t>
            </w:r>
            <w:r>
              <w:rPr>
                <w:rStyle w:val="IndexLink"/>
                <w:rtl w:val="true"/>
              </w:rPr>
              <w:tab/>
            </w:r>
            <w:r>
              <w:rPr>
                <w:rStyle w:val="IndexLink"/>
              </w:rPr>
              <w:t>200</w:t>
            </w:r>
          </w:hyperlink>
        </w:p>
        <w:p>
          <w:pPr>
            <w:pStyle w:val="Contents6"/>
            <w:tabs>
              <w:tab w:val="clear" w:pos="7609"/>
              <w:tab w:val="right" w:pos="9026" w:leader="dot"/>
            </w:tabs>
            <w:rPr/>
          </w:pPr>
          <w:hyperlink w:anchor="__RefHeading___Toc10506904_73709187">
            <w:r>
              <w:rPr>
                <w:webHidden/>
                <w:rStyle w:val="IndexLink"/>
                <w:rtl w:val="true"/>
              </w:rPr>
              <w:t>حكم الشكّ في عدد الثنائيّة</w:t>
            </w:r>
            <w:r>
              <w:rPr>
                <w:rStyle w:val="IndexLink"/>
                <w:rtl w:val="true"/>
              </w:rPr>
              <w:tab/>
            </w:r>
            <w:r>
              <w:rPr>
                <w:rStyle w:val="IndexLink"/>
              </w:rPr>
              <w:t>200</w:t>
            </w:r>
          </w:hyperlink>
        </w:p>
        <w:p>
          <w:pPr>
            <w:pStyle w:val="Contents6"/>
            <w:tabs>
              <w:tab w:val="clear" w:pos="7609"/>
              <w:tab w:val="right" w:pos="9026" w:leader="dot"/>
            </w:tabs>
            <w:rPr/>
          </w:pPr>
          <w:hyperlink w:anchor="__RefHeading___Toc10506906_73709187">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10506908_73709187">
            <w:r>
              <w:rPr>
                <w:webHidden/>
                <w:rStyle w:val="IndexLink"/>
                <w:rtl w:val="true"/>
              </w:rPr>
              <w:t>تنبيهات</w:t>
            </w:r>
            <w:r>
              <w:rPr>
                <w:rStyle w:val="IndexLink"/>
                <w:rtl w:val="true"/>
              </w:rPr>
              <w:t>:</w:t>
              <w:tab/>
            </w:r>
            <w:r>
              <w:rPr>
                <w:rStyle w:val="IndexLink"/>
              </w:rPr>
              <w:t>203</w:t>
            </w:r>
          </w:hyperlink>
        </w:p>
        <w:p>
          <w:pPr>
            <w:pStyle w:val="Contents6"/>
            <w:tabs>
              <w:tab w:val="clear" w:pos="7609"/>
              <w:tab w:val="right" w:pos="9026" w:leader="dot"/>
            </w:tabs>
            <w:rPr/>
          </w:pPr>
          <w:hyperlink w:anchor="__RefHeading___Toc10506910_73709187">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10506912_73709187">
            <w:r>
              <w:rPr>
                <w:webHidden/>
                <w:rStyle w:val="IndexLink"/>
                <w:rtl w:val="true"/>
              </w:rPr>
              <w:t>المراد باليقين والحفظ والتثبّت الواردة في نصوص الباب</w:t>
            </w:r>
            <w:r>
              <w:rPr>
                <w:rStyle w:val="IndexLink"/>
                <w:rtl w:val="true"/>
              </w:rPr>
              <w:tab/>
            </w:r>
            <w:r>
              <w:rPr>
                <w:rStyle w:val="IndexLink"/>
              </w:rPr>
              <w:t>203</w:t>
            </w:r>
          </w:hyperlink>
        </w:p>
        <w:p>
          <w:pPr>
            <w:pStyle w:val="Contents6"/>
            <w:tabs>
              <w:tab w:val="clear" w:pos="7609"/>
              <w:tab w:val="right" w:pos="9026" w:leader="dot"/>
            </w:tabs>
            <w:rPr/>
          </w:pPr>
          <w:hyperlink w:anchor="__RefHeading___Toc10506914_73709187">
            <w:r>
              <w:rPr>
                <w:webHidden/>
                <w:rStyle w:val="IndexLink"/>
                <w:rtl w:val="true"/>
              </w:rPr>
              <w:t>هل الشكّ بنفسه من المبطلات كالحدث</w:t>
            </w:r>
            <w:r>
              <w:rPr>
                <w:rStyle w:val="IndexLink"/>
                <w:rtl w:val="true"/>
              </w:rPr>
              <w:tab/>
            </w:r>
            <w:r>
              <w:rPr>
                <w:rStyle w:val="IndexLink"/>
              </w:rPr>
              <w:t>204</w:t>
            </w:r>
          </w:hyperlink>
        </w:p>
        <w:p>
          <w:pPr>
            <w:pStyle w:val="Contents6"/>
            <w:tabs>
              <w:tab w:val="clear" w:pos="7609"/>
              <w:tab w:val="right" w:pos="9026" w:leader="dot"/>
            </w:tabs>
            <w:rPr/>
          </w:pPr>
          <w:hyperlink w:anchor="__RefHeading___Toc10506916_73709187">
            <w:r>
              <w:rPr>
                <w:webHidden/>
                <w:rStyle w:val="IndexLink"/>
                <w:rtl w:val="true"/>
              </w:rPr>
              <w:t>إذا عرض الشكّ هل يجب التروّي</w:t>
            </w:r>
            <w:r>
              <w:rPr>
                <w:rStyle w:val="IndexLink"/>
                <w:rtl w:val="true"/>
              </w:rPr>
              <w:tab/>
            </w:r>
            <w:r>
              <w:rPr>
                <w:rStyle w:val="IndexLink"/>
              </w:rPr>
              <w:t>205</w:t>
            </w:r>
          </w:hyperlink>
        </w:p>
        <w:p>
          <w:pPr>
            <w:pStyle w:val="Contents6"/>
            <w:tabs>
              <w:tab w:val="clear" w:pos="7609"/>
              <w:tab w:val="right" w:pos="9026" w:leader="dot"/>
            </w:tabs>
            <w:rPr/>
          </w:pPr>
          <w:hyperlink w:anchor="__RefHeading___Toc10506918_73709187">
            <w:r>
              <w:rPr>
                <w:webHidden/>
                <w:rStyle w:val="IndexLink"/>
                <w:rtl w:val="true"/>
              </w:rPr>
              <w:t>إذا قامت أمارةً دالّة على عدد الرَّكعات، أو الظنّ بها، فهل يقوم ذلك مقام القطع</w:t>
            </w:r>
            <w:r>
              <w:rPr>
                <w:rStyle w:val="IndexLink"/>
                <w:rtl w:val="true"/>
              </w:rPr>
              <w:tab/>
            </w:r>
            <w:r>
              <w:rPr>
                <w:rStyle w:val="IndexLink"/>
              </w:rPr>
              <w:t>207</w:t>
            </w:r>
          </w:hyperlink>
        </w:p>
        <w:p>
          <w:pPr>
            <w:pStyle w:val="Contents6"/>
            <w:tabs>
              <w:tab w:val="clear" w:pos="7609"/>
              <w:tab w:val="right" w:pos="9026" w:leader="dot"/>
            </w:tabs>
            <w:rPr/>
          </w:pPr>
          <w:hyperlink w:anchor="__RefHeading___Toc10506920_73709187">
            <w:r>
              <w:rPr>
                <w:webHidden/>
                <w:rStyle w:val="IndexLink"/>
                <w:rtl w:val="true"/>
              </w:rPr>
              <w:t>لازم اعتبار إحراز العدد في الثنائيّة في صحّة الصَّلاة</w:t>
            </w:r>
            <w:r>
              <w:rPr>
                <w:rStyle w:val="IndexLink"/>
                <w:rtl w:val="true"/>
              </w:rPr>
              <w:tab/>
            </w:r>
            <w:r>
              <w:rPr>
                <w:rStyle w:val="IndexLink"/>
              </w:rPr>
              <w:t>208</w:t>
            </w:r>
          </w:hyperlink>
        </w:p>
        <w:p>
          <w:pPr>
            <w:pStyle w:val="Contents6"/>
            <w:tabs>
              <w:tab w:val="clear" w:pos="7609"/>
              <w:tab w:val="right" w:pos="9026" w:leader="dot"/>
            </w:tabs>
            <w:rPr/>
          </w:pPr>
          <w:hyperlink w:anchor="__RefHeading___Toc10506922_73709187">
            <w:r>
              <w:rPr>
                <w:webHidden/>
                <w:rStyle w:val="IndexLink"/>
                <w:rtl w:val="true"/>
              </w:rPr>
              <w:t>حكم الشكّ في الصَّلاة المقصورة في مواطن التخيّير</w:t>
            </w:r>
            <w:r>
              <w:rPr>
                <w:rStyle w:val="IndexLink"/>
                <w:rtl w:val="true"/>
              </w:rPr>
              <w:tab/>
            </w:r>
            <w:r>
              <w:rPr>
                <w:rStyle w:val="IndexLink"/>
              </w:rPr>
              <w:t>208</w:t>
            </w:r>
          </w:hyperlink>
        </w:p>
        <w:p>
          <w:pPr>
            <w:pStyle w:val="Contents6"/>
            <w:tabs>
              <w:tab w:val="clear" w:pos="7609"/>
              <w:tab w:val="right" w:pos="9026" w:leader="dot"/>
            </w:tabs>
            <w:rPr/>
          </w:pPr>
          <w:hyperlink w:anchor="__RefHeading___Toc10506924_73709187">
            <w:r>
              <w:rPr>
                <w:webHidden/>
                <w:rStyle w:val="IndexLink"/>
                <w:rtl w:val="true"/>
              </w:rPr>
              <w:t>حكم الشكّ في عدد الثلاثيّة</w:t>
            </w:r>
            <w:r>
              <w:rPr>
                <w:rStyle w:val="IndexLink"/>
                <w:rtl w:val="true"/>
              </w:rPr>
              <w:tab/>
            </w:r>
            <w:r>
              <w:rPr>
                <w:rStyle w:val="IndexLink"/>
              </w:rPr>
              <w:t>211</w:t>
            </w:r>
          </w:hyperlink>
        </w:p>
        <w:p>
          <w:pPr>
            <w:pStyle w:val="Contents6"/>
            <w:tabs>
              <w:tab w:val="clear" w:pos="7609"/>
              <w:tab w:val="right" w:pos="9026" w:leader="dot"/>
            </w:tabs>
            <w:rPr/>
          </w:pPr>
          <w:hyperlink w:anchor="__RefHeading___Toc10506926_73709187">
            <w:r>
              <w:rPr>
                <w:webHidden/>
                <w:rStyle w:val="IndexLink"/>
                <w:rtl w:val="true"/>
              </w:rPr>
              <w:t>حكم الشكّ في الأوليين من الرباعيّة</w:t>
            </w:r>
            <w:r>
              <w:rPr>
                <w:rStyle w:val="IndexLink"/>
                <w:rtl w:val="true"/>
              </w:rPr>
              <w:tab/>
            </w:r>
            <w:r>
              <w:rPr>
                <w:rStyle w:val="IndexLink"/>
              </w:rPr>
              <w:t>213</w:t>
            </w:r>
          </w:hyperlink>
        </w:p>
        <w:p>
          <w:pPr>
            <w:pStyle w:val="Contents6"/>
            <w:tabs>
              <w:tab w:val="clear" w:pos="7609"/>
              <w:tab w:val="right" w:pos="9026" w:leader="dot"/>
            </w:tabs>
            <w:rPr/>
          </w:pPr>
          <w:hyperlink w:anchor="__RefHeading___Toc10506928_73709187">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10506930_73709187">
            <w:r>
              <w:rPr>
                <w:webHidden/>
                <w:rStyle w:val="IndexLink"/>
                <w:rtl w:val="true"/>
              </w:rPr>
              <w:t>ما يحرز به الرَّكعتان</w:t>
            </w:r>
            <w:r>
              <w:rPr>
                <w:rStyle w:val="IndexLink"/>
                <w:rtl w:val="true"/>
              </w:rPr>
              <w:tab/>
            </w:r>
            <w:r>
              <w:rPr>
                <w:rStyle w:val="IndexLink"/>
              </w:rPr>
              <w:t>215</w:t>
            </w:r>
          </w:hyperlink>
        </w:p>
        <w:p>
          <w:pPr>
            <w:pStyle w:val="Contents6"/>
            <w:tabs>
              <w:tab w:val="clear" w:pos="7609"/>
              <w:tab w:val="right" w:pos="9026" w:leader="dot"/>
            </w:tabs>
            <w:rPr/>
          </w:pPr>
          <w:hyperlink w:anchor="__RefHeading___Toc10506932_73709187">
            <w:r>
              <w:rPr>
                <w:webHidden/>
                <w:rStyle w:val="IndexLink"/>
                <w:rtl w:val="true"/>
              </w:rPr>
              <w:t>جهل المصلّي بالعدد</w:t>
            </w:r>
            <w:r>
              <w:rPr>
                <w:rStyle w:val="IndexLink"/>
                <w:rtl w:val="true"/>
              </w:rPr>
              <w:tab/>
            </w:r>
            <w:r>
              <w:rPr>
                <w:rStyle w:val="IndexLink"/>
              </w:rPr>
              <w:t>220</w:t>
            </w:r>
          </w:hyperlink>
        </w:p>
        <w:p>
          <w:pPr>
            <w:pStyle w:val="Contents6"/>
            <w:tabs>
              <w:tab w:val="clear" w:pos="7609"/>
              <w:tab w:val="right" w:pos="9026" w:leader="dot"/>
            </w:tabs>
            <w:rPr/>
          </w:pPr>
          <w:hyperlink w:anchor="__RefHeading___Toc10506934_73709187">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10506936_73709187">
            <w:r>
              <w:rPr>
                <w:webHidden/>
                <w:rStyle w:val="IndexLink"/>
                <w:rtl w:val="true"/>
              </w:rPr>
              <w:t>عدم جريان الاستصحاب عند الشكّ في الرَّكعات</w:t>
            </w:r>
            <w:r>
              <w:rPr>
                <w:rStyle w:val="IndexLink"/>
                <w:rtl w:val="true"/>
              </w:rPr>
              <w:tab/>
            </w:r>
            <w:r>
              <w:rPr>
                <w:rStyle w:val="IndexLink"/>
              </w:rPr>
              <w:t>221</w:t>
            </w:r>
          </w:hyperlink>
        </w:p>
        <w:p>
          <w:pPr>
            <w:pStyle w:val="Contents5"/>
            <w:tabs>
              <w:tab w:val="clear" w:pos="7892"/>
              <w:tab w:val="right" w:pos="9026" w:leader="dot"/>
            </w:tabs>
            <w:rPr/>
          </w:pPr>
          <w:hyperlink w:anchor="__RefHeading___Toc10506938_73709187">
            <w:r>
              <w:rPr>
                <w:webHidden/>
                <w:rStyle w:val="IndexLink"/>
                <w:rtl w:val="true"/>
              </w:rPr>
              <w:t>الفصل الثالث</w:t>
            </w:r>
            <w:r>
              <w:rPr>
                <w:rStyle w:val="IndexLink"/>
                <w:rtl w:val="true"/>
              </w:rPr>
              <w:t xml:space="preserve">: </w:t>
            </w:r>
            <w:r>
              <w:rPr>
                <w:rStyle w:val="IndexLink"/>
                <w:rtl w:val="true"/>
              </w:rPr>
              <w:t>حكم الشكّ في الأفعال</w:t>
            </w:r>
            <w:r>
              <w:rPr>
                <w:rStyle w:val="IndexLink"/>
                <w:rtl w:val="true"/>
              </w:rPr>
              <w:tab/>
            </w:r>
            <w:r>
              <w:rPr>
                <w:rStyle w:val="IndexLink"/>
              </w:rPr>
              <w:t>226</w:t>
            </w:r>
          </w:hyperlink>
        </w:p>
        <w:p>
          <w:pPr>
            <w:pStyle w:val="Contents6"/>
            <w:tabs>
              <w:tab w:val="clear" w:pos="7609"/>
              <w:tab w:val="right" w:pos="9026" w:leader="dot"/>
            </w:tabs>
            <w:rPr/>
          </w:pPr>
          <w:hyperlink w:anchor="__RefHeading___Toc10506940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0506942_73709187">
            <w:r>
              <w:rPr>
                <w:webHidden/>
                <w:rStyle w:val="IndexLink"/>
                <w:rtl w:val="true"/>
              </w:rPr>
              <w:t>البحث عن قاعدة التجاوز</w:t>
            </w:r>
            <w:r>
              <w:rPr>
                <w:rStyle w:val="IndexLink"/>
                <w:rtl w:val="true"/>
              </w:rPr>
              <w:tab/>
            </w:r>
            <w:r>
              <w:rPr>
                <w:rStyle w:val="IndexLink"/>
              </w:rPr>
              <w:t>227</w:t>
            </w:r>
          </w:hyperlink>
        </w:p>
        <w:p>
          <w:pPr>
            <w:pStyle w:val="Contents6"/>
            <w:tabs>
              <w:tab w:val="clear" w:pos="7609"/>
              <w:tab w:val="right" w:pos="9026" w:leader="dot"/>
            </w:tabs>
            <w:rPr/>
          </w:pPr>
          <w:hyperlink w:anchor="__RefHeading___Toc10506944_73709187">
            <w:r>
              <w:rPr>
                <w:webHidden/>
                <w:rStyle w:val="IndexLink"/>
                <w:rtl w:val="true"/>
              </w:rPr>
              <w:t>اشارة</w:t>
            </w:r>
            <w:r>
              <w:rPr>
                <w:rStyle w:val="IndexLink"/>
                <w:rtl w:val="true"/>
              </w:rPr>
              <w:tab/>
            </w:r>
            <w:r>
              <w:rPr>
                <w:rStyle w:val="IndexLink"/>
              </w:rPr>
              <w:t>227</w:t>
            </w:r>
          </w:hyperlink>
        </w:p>
        <w:p>
          <w:pPr>
            <w:pStyle w:val="Contents6"/>
            <w:tabs>
              <w:tab w:val="clear" w:pos="7609"/>
              <w:tab w:val="right" w:pos="9026" w:leader="dot"/>
            </w:tabs>
            <w:rPr/>
          </w:pPr>
          <w:hyperlink w:anchor="__RefHeading___Toc10506946_73709187">
            <w:r>
              <w:rPr>
                <w:webHidden/>
                <w:rStyle w:val="IndexLink"/>
                <w:rtl w:val="true"/>
              </w:rPr>
              <w:t>جريان القاعدة في الرّكعتين الأوليين</w:t>
            </w:r>
            <w:r>
              <w:rPr>
                <w:rStyle w:val="IndexLink"/>
                <w:rtl w:val="true"/>
              </w:rPr>
              <w:tab/>
            </w:r>
            <w:r>
              <w:rPr>
                <w:rStyle w:val="IndexLink"/>
              </w:rPr>
              <w:t>228</w:t>
            </w:r>
          </w:hyperlink>
        </w:p>
        <w:p>
          <w:pPr>
            <w:pStyle w:val="Contents6"/>
            <w:tabs>
              <w:tab w:val="clear" w:pos="7609"/>
              <w:tab w:val="right" w:pos="9026" w:leader="dot"/>
            </w:tabs>
            <w:rPr/>
          </w:pPr>
          <w:hyperlink w:anchor="__RefHeading___Toc10506948_73709187">
            <w:r>
              <w:rPr>
                <w:webHidden/>
                <w:rStyle w:val="IndexLink"/>
                <w:rtl w:val="true"/>
              </w:rPr>
              <w:t>اشتراط جريانها بالدخول في الجزء اللّاحق</w:t>
            </w:r>
            <w:r>
              <w:rPr>
                <w:rStyle w:val="IndexLink"/>
                <w:rtl w:val="true"/>
              </w:rPr>
              <w:tab/>
            </w:r>
            <w:r>
              <w:rPr>
                <w:rStyle w:val="IndexLink"/>
              </w:rPr>
              <w:t>230</w:t>
            </w:r>
          </w:hyperlink>
        </w:p>
        <w:p>
          <w:pPr>
            <w:pStyle w:val="Contents6"/>
            <w:tabs>
              <w:tab w:val="clear" w:pos="7609"/>
              <w:tab w:val="right" w:pos="9026" w:leader="dot"/>
            </w:tabs>
            <w:rPr/>
          </w:pPr>
          <w:hyperlink w:anchor="__RefHeading___Toc10506950_73709187">
            <w:r>
              <w:rPr>
                <w:webHidden/>
                <w:rStyle w:val="IndexLink"/>
                <w:rtl w:val="true"/>
              </w:rPr>
              <w:t>جريان القاعدة في الأجزاء غير المستقلّة</w:t>
            </w:r>
            <w:r>
              <w:rPr>
                <w:rStyle w:val="IndexLink"/>
                <w:rtl w:val="true"/>
              </w:rPr>
              <w:tab/>
            </w:r>
            <w:r>
              <w:rPr>
                <w:rStyle w:val="IndexLink"/>
              </w:rPr>
              <w:t>239</w:t>
            </w:r>
          </w:hyperlink>
        </w:p>
        <w:p>
          <w:pPr>
            <w:pStyle w:val="Contents6"/>
            <w:tabs>
              <w:tab w:val="clear" w:pos="7609"/>
              <w:tab w:val="right" w:pos="9026" w:leader="dot"/>
            </w:tabs>
            <w:rPr/>
          </w:pPr>
          <w:hyperlink w:anchor="__RefHeading___Toc10506952_73709187">
            <w:r>
              <w:rPr>
                <w:webHidden/>
                <w:rStyle w:val="IndexLink"/>
                <w:rtl w:val="true"/>
              </w:rPr>
              <w:t>عدم كفاية الدخول في الهويّ والنهوض في جريان القاعدة</w:t>
            </w:r>
            <w:r>
              <w:rPr>
                <w:rStyle w:val="IndexLink"/>
                <w:rtl w:val="true"/>
              </w:rPr>
              <w:tab/>
            </w:r>
            <w:r>
              <w:rPr>
                <w:rStyle w:val="IndexLink"/>
              </w:rPr>
              <w:t>241</w:t>
            </w:r>
          </w:hyperlink>
        </w:p>
        <w:p>
          <w:pPr>
            <w:pStyle w:val="Contents6"/>
            <w:tabs>
              <w:tab w:val="clear" w:pos="7609"/>
              <w:tab w:val="right" w:pos="9026" w:leader="dot"/>
            </w:tabs>
            <w:rPr/>
          </w:pPr>
          <w:hyperlink w:anchor="__RefHeading___Toc10506954_73709187">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10506956_73709187">
            <w:r>
              <w:rPr>
                <w:webHidden/>
                <w:rStyle w:val="IndexLink"/>
                <w:rtl w:val="true"/>
              </w:rPr>
              <w:t>الشكّ في الرّكوع بعد الانتصاب</w:t>
            </w:r>
            <w:r>
              <w:rPr>
                <w:rStyle w:val="IndexLink"/>
                <w:rtl w:val="true"/>
              </w:rPr>
              <w:tab/>
            </w:r>
            <w:r>
              <w:rPr>
                <w:rStyle w:val="IndexLink"/>
              </w:rPr>
              <w:t>245</w:t>
            </w:r>
          </w:hyperlink>
        </w:p>
        <w:p>
          <w:pPr>
            <w:pStyle w:val="Contents6"/>
            <w:tabs>
              <w:tab w:val="clear" w:pos="7609"/>
              <w:tab w:val="right" w:pos="9026" w:leader="dot"/>
            </w:tabs>
            <w:rPr/>
          </w:pPr>
          <w:hyperlink w:anchor="__RefHeading___Toc10506958_73709187">
            <w:r>
              <w:rPr>
                <w:webHidden/>
                <w:rStyle w:val="IndexLink"/>
                <w:rtl w:val="true"/>
              </w:rPr>
              <w:t>حكم الشكّ في الجزء الأخير</w:t>
            </w:r>
            <w:r>
              <w:rPr>
                <w:rStyle w:val="IndexLink"/>
                <w:rtl w:val="true"/>
              </w:rPr>
              <w:tab/>
            </w:r>
            <w:r>
              <w:rPr>
                <w:rStyle w:val="IndexLink"/>
              </w:rPr>
              <w:t>246</w:t>
            </w:r>
          </w:hyperlink>
        </w:p>
        <w:p>
          <w:pPr>
            <w:pStyle w:val="Contents6"/>
            <w:tabs>
              <w:tab w:val="clear" w:pos="7609"/>
              <w:tab w:val="right" w:pos="9026" w:leader="dot"/>
            </w:tabs>
            <w:rPr/>
          </w:pPr>
          <w:hyperlink w:anchor="__RefHeading___Toc10506960_73709187">
            <w:r>
              <w:rPr>
                <w:webHidden/>
                <w:rStyle w:val="IndexLink"/>
                <w:rtl w:val="true"/>
              </w:rPr>
              <w:t>حكم الشكّ في الشيء مع إحراز الغفلة</w:t>
            </w:r>
            <w:r>
              <w:rPr>
                <w:rStyle w:val="IndexLink"/>
                <w:rtl w:val="true"/>
              </w:rPr>
              <w:tab/>
            </w:r>
            <w:r>
              <w:rPr>
                <w:rStyle w:val="IndexLink"/>
              </w:rPr>
              <w:t>249</w:t>
            </w:r>
          </w:hyperlink>
        </w:p>
        <w:p>
          <w:pPr>
            <w:pStyle w:val="Contents6"/>
            <w:tabs>
              <w:tab w:val="clear" w:pos="7609"/>
              <w:tab w:val="right" w:pos="9026" w:leader="dot"/>
            </w:tabs>
            <w:rPr/>
          </w:pPr>
          <w:hyperlink w:anchor="__RefHeading___Toc10506962_73709187">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10506964_73709187">
            <w:r>
              <w:rPr>
                <w:webHidden/>
                <w:rStyle w:val="IndexLink"/>
                <w:rtl w:val="true"/>
              </w:rPr>
              <w:t>إذا كانت صورة العمل محفوظة</w:t>
            </w:r>
            <w:r>
              <w:rPr>
                <w:rStyle w:val="IndexLink"/>
                <w:rtl w:val="true"/>
              </w:rPr>
              <w:tab/>
            </w:r>
            <w:r>
              <w:rPr>
                <w:rStyle w:val="IndexLink"/>
              </w:rPr>
              <w:t>252</w:t>
            </w:r>
          </w:hyperlink>
        </w:p>
        <w:p>
          <w:pPr>
            <w:pStyle w:val="Contents6"/>
            <w:tabs>
              <w:tab w:val="clear" w:pos="7609"/>
              <w:tab w:val="right" w:pos="9026" w:leader="dot"/>
            </w:tabs>
            <w:rPr/>
          </w:pPr>
          <w:hyperlink w:anchor="__RefHeading___Toc10506966_73709187">
            <w:r>
              <w:rPr>
                <w:webHidden/>
                <w:rStyle w:val="IndexLink"/>
                <w:rtl w:val="true"/>
              </w:rPr>
              <w:t>حكم الشكّ في الإخلال العَمدي</w:t>
            </w:r>
            <w:r>
              <w:rPr>
                <w:rStyle w:val="IndexLink"/>
                <w:rtl w:val="true"/>
              </w:rPr>
              <w:tab/>
            </w:r>
            <w:r>
              <w:rPr>
                <w:rStyle w:val="IndexLink"/>
              </w:rPr>
              <w:t>254</w:t>
            </w:r>
          </w:hyperlink>
        </w:p>
        <w:p>
          <w:pPr>
            <w:pStyle w:val="Contents6"/>
            <w:tabs>
              <w:tab w:val="clear" w:pos="7609"/>
              <w:tab w:val="right" w:pos="9026" w:leader="dot"/>
            </w:tabs>
            <w:rPr/>
          </w:pPr>
          <w:hyperlink w:anchor="__RefHeading___Toc10506968_73709187">
            <w:r>
              <w:rPr>
                <w:webHidden/>
                <w:rStyle w:val="IndexLink"/>
                <w:rtl w:val="true"/>
              </w:rPr>
              <w:t>حكم الشكّ في الشرائط</w:t>
            </w:r>
            <w:r>
              <w:rPr>
                <w:rStyle w:val="IndexLink"/>
                <w:rtl w:val="true"/>
              </w:rPr>
              <w:tab/>
            </w:r>
            <w:r>
              <w:rPr>
                <w:rStyle w:val="IndexLink"/>
              </w:rPr>
              <w:t>256</w:t>
            </w:r>
          </w:hyperlink>
        </w:p>
        <w:p>
          <w:pPr>
            <w:pStyle w:val="Contents5"/>
            <w:tabs>
              <w:tab w:val="clear" w:pos="7892"/>
              <w:tab w:val="right" w:pos="9026" w:leader="dot"/>
            </w:tabs>
            <w:rPr/>
          </w:pPr>
          <w:hyperlink w:anchor="__RefHeading___Toc10506970_73709187">
            <w:r>
              <w:rPr>
                <w:webHidden/>
                <w:rStyle w:val="IndexLink"/>
                <w:rtl w:val="true"/>
              </w:rPr>
              <w:t>الفصل الرابع</w:t>
            </w:r>
            <w:r>
              <w:rPr>
                <w:rStyle w:val="IndexLink"/>
                <w:rtl w:val="true"/>
              </w:rPr>
              <w:t xml:space="preserve">: </w:t>
            </w:r>
            <w:r>
              <w:rPr>
                <w:rStyle w:val="IndexLink"/>
                <w:rtl w:val="true"/>
              </w:rPr>
              <w:t>حكم الظنّ في عدد الرَّكعات</w:t>
            </w:r>
            <w:r>
              <w:rPr>
                <w:rStyle w:val="IndexLink"/>
                <w:rtl w:val="true"/>
              </w:rPr>
              <w:tab/>
            </w:r>
            <w:r>
              <w:rPr>
                <w:rStyle w:val="IndexLink"/>
              </w:rPr>
              <w:t>263</w:t>
            </w:r>
          </w:hyperlink>
        </w:p>
        <w:p>
          <w:pPr>
            <w:pStyle w:val="Contents6"/>
            <w:tabs>
              <w:tab w:val="clear" w:pos="7609"/>
              <w:tab w:val="right" w:pos="9026" w:leader="dot"/>
            </w:tabs>
            <w:rPr/>
          </w:pPr>
          <w:hyperlink w:anchor="__RefHeading___Toc10506972_73709187">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0506974_73709187">
            <w:r>
              <w:rPr>
                <w:webHidden/>
                <w:rStyle w:val="IndexLink"/>
                <w:rtl w:val="true"/>
              </w:rPr>
              <w:t>حكم الظنّ بالأفعال</w:t>
            </w:r>
            <w:r>
              <w:rPr>
                <w:rStyle w:val="IndexLink"/>
                <w:rtl w:val="true"/>
              </w:rPr>
              <w:tab/>
            </w:r>
            <w:r>
              <w:rPr>
                <w:rStyle w:val="IndexLink"/>
              </w:rPr>
              <w:t>266</w:t>
            </w:r>
          </w:hyperlink>
        </w:p>
        <w:p>
          <w:pPr>
            <w:pStyle w:val="Contents5"/>
            <w:tabs>
              <w:tab w:val="clear" w:pos="7892"/>
              <w:tab w:val="right" w:pos="9026" w:leader="dot"/>
            </w:tabs>
            <w:rPr/>
          </w:pPr>
          <w:hyperlink w:anchor="__RefHeading___Toc10506976_73709187">
            <w:r>
              <w:rPr>
                <w:webHidden/>
                <w:rStyle w:val="IndexLink"/>
                <w:rtl w:val="true"/>
              </w:rPr>
              <w:t>الفصل الخامس</w:t>
            </w:r>
            <w:r>
              <w:rPr>
                <w:rStyle w:val="IndexLink"/>
                <w:rtl w:val="true"/>
              </w:rPr>
              <w:t xml:space="preserve">: </w:t>
            </w:r>
            <w:r>
              <w:rPr>
                <w:rStyle w:val="IndexLink"/>
                <w:rtl w:val="true"/>
              </w:rPr>
              <w:t>الشكّ الموجب لصلاة الاحتياط</w:t>
            </w:r>
            <w:r>
              <w:rPr>
                <w:rStyle w:val="IndexLink"/>
                <w:rtl w:val="true"/>
              </w:rPr>
              <w:tab/>
            </w:r>
            <w:r>
              <w:rPr>
                <w:rStyle w:val="IndexLink"/>
              </w:rPr>
              <w:t>270</w:t>
            </w:r>
          </w:hyperlink>
        </w:p>
        <w:p>
          <w:pPr>
            <w:pStyle w:val="Contents6"/>
            <w:tabs>
              <w:tab w:val="clear" w:pos="7609"/>
              <w:tab w:val="right" w:pos="9026" w:leader="dot"/>
            </w:tabs>
            <w:rPr/>
          </w:pPr>
          <w:hyperlink w:anchor="__RefHeading___Toc10506978_7370918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0506980_73709187">
            <w:r>
              <w:rPr>
                <w:webHidden/>
                <w:rStyle w:val="IndexLink"/>
                <w:rtl w:val="true"/>
              </w:rPr>
              <w:t>في الشكّ في أعداد الرباعيّة</w:t>
            </w:r>
            <w:r>
              <w:rPr>
                <w:rStyle w:val="IndexLink"/>
                <w:rtl w:val="true"/>
              </w:rPr>
              <w:tab/>
            </w:r>
            <w:r>
              <w:rPr>
                <w:rStyle w:val="IndexLink"/>
              </w:rPr>
              <w:t>270</w:t>
            </w:r>
          </w:hyperlink>
        </w:p>
        <w:p>
          <w:pPr>
            <w:pStyle w:val="Contents6"/>
            <w:tabs>
              <w:tab w:val="clear" w:pos="7609"/>
              <w:tab w:val="right" w:pos="9026" w:leader="dot"/>
            </w:tabs>
            <w:rPr/>
          </w:pPr>
          <w:hyperlink w:anchor="__RefHeading___Toc10506982_73709187">
            <w:r>
              <w:rPr>
                <w:webHidden/>
                <w:rStyle w:val="IndexLink"/>
                <w:rtl w:val="true"/>
              </w:rPr>
              <w:t>اشارة</w:t>
            </w:r>
            <w:r>
              <w:rPr>
                <w:rStyle w:val="IndexLink"/>
                <w:rtl w:val="true"/>
              </w:rPr>
              <w:tab/>
            </w:r>
            <w:r>
              <w:rPr>
                <w:rStyle w:val="IndexLink"/>
              </w:rPr>
              <w:t>270</w:t>
            </w:r>
          </w:hyperlink>
        </w:p>
        <w:p>
          <w:pPr>
            <w:pStyle w:val="Contents6"/>
            <w:tabs>
              <w:tab w:val="clear" w:pos="7609"/>
              <w:tab w:val="right" w:pos="9026" w:leader="dot"/>
            </w:tabs>
            <w:rPr/>
          </w:pPr>
          <w:hyperlink w:anchor="__RefHeading___Toc10506984_73709187">
            <w:r>
              <w:rPr>
                <w:webHidden/>
                <w:rStyle w:val="IndexLink"/>
                <w:rtl w:val="true"/>
              </w:rPr>
              <w:t>حكم الشكّ بين الإثنتين والثَّلاث</w:t>
            </w:r>
            <w:r>
              <w:rPr>
                <w:rStyle w:val="IndexLink"/>
                <w:rtl w:val="true"/>
              </w:rPr>
              <w:tab/>
            </w:r>
            <w:r>
              <w:rPr>
                <w:rStyle w:val="IndexLink"/>
              </w:rPr>
              <w:t>275</w:t>
            </w:r>
          </w:hyperlink>
        </w:p>
        <w:p>
          <w:pPr>
            <w:pStyle w:val="Contents6"/>
            <w:tabs>
              <w:tab w:val="clear" w:pos="7609"/>
              <w:tab w:val="right" w:pos="9026" w:leader="dot"/>
            </w:tabs>
            <w:rPr/>
          </w:pPr>
          <w:hyperlink w:anchor="__RefHeading___Toc10506986_73709187">
            <w:r>
              <w:rPr>
                <w:webHidden/>
                <w:rStyle w:val="IndexLink"/>
                <w:rtl w:val="true"/>
              </w:rPr>
              <w:t>حكم الشكّ بين الثَّلاث والأربع</w:t>
            </w:r>
            <w:r>
              <w:rPr>
                <w:rStyle w:val="IndexLink"/>
                <w:rtl w:val="true"/>
              </w:rPr>
              <w:tab/>
            </w:r>
            <w:r>
              <w:rPr>
                <w:rStyle w:val="IndexLink"/>
              </w:rPr>
              <w:t>280</w:t>
            </w:r>
          </w:hyperlink>
        </w:p>
        <w:p>
          <w:pPr>
            <w:pStyle w:val="Contents6"/>
            <w:tabs>
              <w:tab w:val="clear" w:pos="7609"/>
              <w:tab w:val="right" w:pos="9026" w:leader="dot"/>
            </w:tabs>
            <w:rPr/>
          </w:pPr>
          <w:hyperlink w:anchor="__RefHeading___Toc10506988_73709187">
            <w:r>
              <w:rPr>
                <w:webHidden/>
                <w:rStyle w:val="IndexLink"/>
                <w:rtl w:val="true"/>
              </w:rPr>
              <w:t>حكم الشكّ بين الإثنتين والأربع</w:t>
            </w:r>
            <w:r>
              <w:rPr>
                <w:rStyle w:val="IndexLink"/>
                <w:rtl w:val="true"/>
              </w:rPr>
              <w:tab/>
            </w:r>
            <w:r>
              <w:rPr>
                <w:rStyle w:val="IndexLink"/>
              </w:rPr>
              <w:t>286</w:t>
            </w:r>
          </w:hyperlink>
        </w:p>
        <w:p>
          <w:pPr>
            <w:pStyle w:val="Contents6"/>
            <w:tabs>
              <w:tab w:val="clear" w:pos="7609"/>
              <w:tab w:val="right" w:pos="9026" w:leader="dot"/>
            </w:tabs>
            <w:rPr/>
          </w:pPr>
          <w:hyperlink w:anchor="__RefHeading___Toc10506990_73709187">
            <w:r>
              <w:rPr>
                <w:webHidden/>
                <w:rStyle w:val="IndexLink"/>
                <w:rtl w:val="true"/>
              </w:rPr>
              <w:t>حكم الشكّ بين الإثنتين والثَّلاث والأربع</w:t>
            </w:r>
            <w:r>
              <w:rPr>
                <w:rStyle w:val="IndexLink"/>
                <w:rtl w:val="true"/>
              </w:rPr>
              <w:tab/>
            </w:r>
            <w:r>
              <w:rPr>
                <w:rStyle w:val="IndexLink"/>
              </w:rPr>
              <w:t>288</w:t>
            </w:r>
          </w:hyperlink>
        </w:p>
        <w:p>
          <w:pPr>
            <w:pStyle w:val="Contents6"/>
            <w:tabs>
              <w:tab w:val="clear" w:pos="7609"/>
              <w:tab w:val="right" w:pos="9026" w:leader="dot"/>
            </w:tabs>
            <w:rPr/>
          </w:pPr>
          <w:hyperlink w:anchor="__RefHeading___Toc10506992_73709187">
            <w:r>
              <w:rPr>
                <w:webHidden/>
                <w:rStyle w:val="IndexLink"/>
                <w:rtl w:val="true"/>
              </w:rPr>
              <w:t>حكم الشكّ بين أعداد الرباعيّة وما زاد</w:t>
            </w:r>
            <w:r>
              <w:rPr>
                <w:rStyle w:val="IndexLink"/>
                <w:rtl w:val="true"/>
              </w:rPr>
              <w:tab/>
            </w:r>
            <w:r>
              <w:rPr>
                <w:rStyle w:val="IndexLink"/>
              </w:rPr>
              <w:t>293</w:t>
            </w:r>
          </w:hyperlink>
        </w:p>
        <w:p>
          <w:pPr>
            <w:pStyle w:val="Contents6"/>
            <w:tabs>
              <w:tab w:val="clear" w:pos="7609"/>
              <w:tab w:val="right" w:pos="9026" w:leader="dot"/>
            </w:tabs>
            <w:rPr/>
          </w:pPr>
          <w:hyperlink w:anchor="__RefHeading___Toc10506994_73709187">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0506996_73709187">
            <w:r>
              <w:rPr>
                <w:webHidden/>
                <w:rStyle w:val="IndexLink"/>
                <w:rtl w:val="true"/>
              </w:rPr>
              <w:t>حكم الشكّ بين الأربع والخمس</w:t>
            </w:r>
            <w:r>
              <w:rPr>
                <w:rStyle w:val="IndexLink"/>
                <w:rtl w:val="true"/>
              </w:rPr>
              <w:tab/>
            </w:r>
            <w:r>
              <w:rPr>
                <w:rStyle w:val="IndexLink"/>
              </w:rPr>
              <w:t>294</w:t>
            </w:r>
          </w:hyperlink>
        </w:p>
        <w:p>
          <w:pPr>
            <w:pStyle w:val="Contents6"/>
            <w:tabs>
              <w:tab w:val="clear" w:pos="7609"/>
              <w:tab w:val="right" w:pos="9026" w:leader="dot"/>
            </w:tabs>
            <w:rPr/>
          </w:pPr>
          <w:hyperlink w:anchor="__RefHeading___Toc10506998_73709187">
            <w:r>
              <w:rPr>
                <w:webHidden/>
                <w:rStyle w:val="IndexLink"/>
                <w:rtl w:val="true"/>
              </w:rPr>
              <w:t>حكم الشكّ بين الأربع والسِّت</w:t>
            </w:r>
            <w:r>
              <w:rPr>
                <w:rStyle w:val="IndexLink"/>
                <w:rtl w:val="true"/>
              </w:rPr>
              <w:tab/>
            </w:r>
            <w:r>
              <w:rPr>
                <w:rStyle w:val="IndexLink"/>
              </w:rPr>
              <w:t>299</w:t>
            </w:r>
          </w:hyperlink>
        </w:p>
        <w:p>
          <w:pPr>
            <w:pStyle w:val="Contents6"/>
            <w:tabs>
              <w:tab w:val="clear" w:pos="7609"/>
              <w:tab w:val="right" w:pos="9026" w:leader="dot"/>
            </w:tabs>
            <w:rPr/>
          </w:pPr>
          <w:hyperlink w:anchor="__RefHeading___Toc10507000_73709187">
            <w:r>
              <w:rPr>
                <w:webHidden/>
                <w:rStyle w:val="IndexLink"/>
                <w:rtl w:val="true"/>
              </w:rPr>
              <w:t>حكم الشكّ بين الأربع والخَمس والسِّت</w:t>
            </w:r>
            <w:r>
              <w:rPr>
                <w:rStyle w:val="IndexLink"/>
                <w:rtl w:val="true"/>
              </w:rPr>
              <w:tab/>
            </w:r>
            <w:r>
              <w:rPr>
                <w:rStyle w:val="IndexLink"/>
              </w:rPr>
              <w:t>301</w:t>
            </w:r>
          </w:hyperlink>
        </w:p>
        <w:p>
          <w:pPr>
            <w:pStyle w:val="Contents6"/>
            <w:tabs>
              <w:tab w:val="clear" w:pos="7609"/>
              <w:tab w:val="right" w:pos="9026" w:leader="dot"/>
            </w:tabs>
            <w:rPr/>
          </w:pPr>
          <w:hyperlink w:anchor="__RefHeading___Toc10507002_73709187">
            <w:r>
              <w:rPr>
                <w:webHidden/>
                <w:rStyle w:val="IndexLink"/>
                <w:rtl w:val="true"/>
              </w:rPr>
              <w:t>حكم الشكّ بين الثَّلاث والخَمس</w:t>
            </w:r>
            <w:r>
              <w:rPr>
                <w:rStyle w:val="IndexLink"/>
                <w:rtl w:val="true"/>
              </w:rPr>
              <w:tab/>
            </w:r>
            <w:r>
              <w:rPr>
                <w:rStyle w:val="IndexLink"/>
              </w:rPr>
              <w:t>302</w:t>
            </w:r>
          </w:hyperlink>
        </w:p>
        <w:p>
          <w:pPr>
            <w:pStyle w:val="Contents6"/>
            <w:tabs>
              <w:tab w:val="clear" w:pos="7609"/>
              <w:tab w:val="right" w:pos="9026" w:leader="dot"/>
            </w:tabs>
            <w:rPr/>
          </w:pPr>
          <w:hyperlink w:anchor="__RefHeading___Toc10507004_73709187">
            <w:r>
              <w:rPr>
                <w:webHidden/>
                <w:rStyle w:val="IndexLink"/>
                <w:rtl w:val="true"/>
              </w:rPr>
              <w:t>حكم الشكّ بين الثَّلاث والأربع والخَمس</w:t>
            </w:r>
            <w:r>
              <w:rPr>
                <w:rStyle w:val="IndexLink"/>
                <w:rtl w:val="true"/>
              </w:rPr>
              <w:tab/>
            </w:r>
            <w:r>
              <w:rPr>
                <w:rStyle w:val="IndexLink"/>
              </w:rPr>
              <w:t>302</w:t>
            </w:r>
          </w:hyperlink>
        </w:p>
        <w:p>
          <w:pPr>
            <w:pStyle w:val="Contents6"/>
            <w:tabs>
              <w:tab w:val="clear" w:pos="7609"/>
              <w:tab w:val="right" w:pos="9026" w:leader="dot"/>
            </w:tabs>
            <w:rPr/>
          </w:pPr>
          <w:hyperlink w:anchor="__RefHeading___Toc10507006_73709187">
            <w:r>
              <w:rPr>
                <w:webHidden/>
                <w:rStyle w:val="IndexLink"/>
                <w:rtl w:val="true"/>
              </w:rPr>
              <w:t>حكم الشكّ فيما زاد على أعداد الرباعيّة</w:t>
            </w:r>
            <w:r>
              <w:rPr>
                <w:rStyle w:val="IndexLink"/>
                <w:rtl w:val="true"/>
              </w:rPr>
              <w:tab/>
            </w:r>
            <w:r>
              <w:rPr>
                <w:rStyle w:val="IndexLink"/>
              </w:rPr>
              <w:t>304</w:t>
            </w:r>
          </w:hyperlink>
        </w:p>
        <w:p>
          <w:pPr>
            <w:pStyle w:val="Contents6"/>
            <w:tabs>
              <w:tab w:val="clear" w:pos="7609"/>
              <w:tab w:val="right" w:pos="9026" w:leader="dot"/>
            </w:tabs>
            <w:rPr/>
          </w:pPr>
          <w:hyperlink w:anchor="__RefHeading___Toc10507008_73709187">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10507010_73709187">
            <w:r>
              <w:rPr>
                <w:webHidden/>
                <w:rStyle w:val="IndexLink"/>
                <w:rtl w:val="true"/>
              </w:rPr>
              <w:t>بعض فروع الشكوك الصحيحة</w:t>
            </w:r>
            <w:r>
              <w:rPr>
                <w:rStyle w:val="IndexLink"/>
                <w:rtl w:val="true"/>
              </w:rPr>
              <w:tab/>
            </w:r>
            <w:r>
              <w:rPr>
                <w:rStyle w:val="IndexLink"/>
              </w:rPr>
              <w:t>305</w:t>
            </w:r>
          </w:hyperlink>
        </w:p>
        <w:p>
          <w:pPr>
            <w:pStyle w:val="Contents6"/>
            <w:tabs>
              <w:tab w:val="clear" w:pos="7609"/>
              <w:tab w:val="right" w:pos="9026" w:leader="dot"/>
            </w:tabs>
            <w:rPr/>
          </w:pPr>
          <w:hyperlink w:anchor="__RefHeading___Toc10507012_7370918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0507014_73709187">
            <w:r>
              <w:rPr>
                <w:webHidden/>
                <w:rStyle w:val="IndexLink"/>
                <w:rtl w:val="true"/>
              </w:rPr>
              <w:t>في فرض الشكّ بين الثَّلاث والأربع</w:t>
            </w:r>
            <w:r>
              <w:rPr>
                <w:rStyle w:val="IndexLink"/>
                <w:rtl w:val="true"/>
              </w:rPr>
              <w:tab/>
            </w:r>
            <w:r>
              <w:rPr>
                <w:rStyle w:val="IndexLink"/>
              </w:rPr>
              <w:t>305</w:t>
            </w:r>
          </w:hyperlink>
        </w:p>
        <w:p>
          <w:pPr>
            <w:pStyle w:val="Contents6"/>
            <w:tabs>
              <w:tab w:val="clear" w:pos="7609"/>
              <w:tab w:val="right" w:pos="9026" w:leader="dot"/>
            </w:tabs>
            <w:rPr/>
          </w:pPr>
          <w:hyperlink w:anchor="__RefHeading___Toc10507016_73709187">
            <w:r>
              <w:rPr>
                <w:webHidden/>
                <w:rStyle w:val="IndexLink"/>
                <w:rtl w:val="true"/>
              </w:rPr>
              <w:t>في الشكوك التي يعتبر فيها إكمال السّجدتين</w:t>
            </w:r>
            <w:r>
              <w:rPr>
                <w:rStyle w:val="IndexLink"/>
                <w:rtl w:val="true"/>
              </w:rPr>
              <w:tab/>
            </w:r>
            <w:r>
              <w:rPr>
                <w:rStyle w:val="IndexLink"/>
              </w:rPr>
              <w:t>305</w:t>
            </w:r>
          </w:hyperlink>
        </w:p>
        <w:p>
          <w:pPr>
            <w:pStyle w:val="Contents6"/>
            <w:tabs>
              <w:tab w:val="clear" w:pos="7609"/>
              <w:tab w:val="right" w:pos="9026" w:leader="dot"/>
            </w:tabs>
            <w:rPr/>
          </w:pPr>
          <w:hyperlink w:anchor="__RefHeading___Toc10507018_73709187">
            <w:r>
              <w:rPr>
                <w:webHidden/>
                <w:rStyle w:val="IndexLink"/>
                <w:rtl w:val="true"/>
              </w:rPr>
              <w:t>الشكّ في أنّ حالته ظنٌ أو شكّ‌</w:t>
            </w:r>
            <w:r>
              <w:rPr>
                <w:rStyle w:val="IndexLink"/>
                <w:rtl w:val="true"/>
              </w:rPr>
              <w:tab/>
            </w:r>
            <w:r>
              <w:rPr>
                <w:rStyle w:val="IndexLink"/>
              </w:rPr>
              <w:t>307</w:t>
            </w:r>
          </w:hyperlink>
        </w:p>
        <w:p>
          <w:pPr>
            <w:pStyle w:val="Contents6"/>
            <w:tabs>
              <w:tab w:val="clear" w:pos="7609"/>
              <w:tab w:val="right" w:pos="9026" w:leader="dot"/>
            </w:tabs>
            <w:rPr/>
          </w:pPr>
          <w:hyperlink w:anchor="__RefHeading___Toc10507020_73709187">
            <w:r>
              <w:rPr>
                <w:webHidden/>
                <w:rStyle w:val="IndexLink"/>
                <w:rtl w:val="true"/>
              </w:rPr>
              <w:t>حكم انقلاب الشكّ‌</w:t>
            </w:r>
            <w:r>
              <w:rPr>
                <w:rStyle w:val="IndexLink"/>
                <w:rtl w:val="true"/>
              </w:rPr>
              <w:tab/>
            </w:r>
            <w:r>
              <w:rPr>
                <w:rStyle w:val="IndexLink"/>
              </w:rPr>
              <w:t>311</w:t>
            </w:r>
          </w:hyperlink>
        </w:p>
        <w:p>
          <w:pPr>
            <w:pStyle w:val="Contents6"/>
            <w:tabs>
              <w:tab w:val="clear" w:pos="7609"/>
              <w:tab w:val="right" w:pos="9026" w:leader="dot"/>
            </w:tabs>
            <w:rPr/>
          </w:pPr>
          <w:hyperlink w:anchor="__RefHeading___Toc10507022_73709187">
            <w:r>
              <w:rPr>
                <w:webHidden/>
                <w:rStyle w:val="IndexLink"/>
                <w:rtl w:val="true"/>
              </w:rPr>
              <w:t>لو شكّ المُصلّي جالساً أحد الشكوك الصحيحة</w:t>
            </w:r>
            <w:r>
              <w:rPr>
                <w:rStyle w:val="IndexLink"/>
                <w:rtl w:val="true"/>
              </w:rPr>
              <w:tab/>
            </w:r>
            <w:r>
              <w:rPr>
                <w:rStyle w:val="IndexLink"/>
              </w:rPr>
              <w:t>315</w:t>
            </w:r>
          </w:hyperlink>
        </w:p>
        <w:p>
          <w:pPr>
            <w:pStyle w:val="Contents6"/>
            <w:tabs>
              <w:tab w:val="clear" w:pos="7609"/>
              <w:tab w:val="right" w:pos="9026" w:leader="dot"/>
            </w:tabs>
            <w:rPr/>
          </w:pPr>
          <w:hyperlink w:anchor="__RefHeading___Toc10507024_73709187">
            <w:r>
              <w:rPr>
                <w:webHidden/>
                <w:rStyle w:val="IndexLink"/>
                <w:rtl w:val="true"/>
              </w:rPr>
              <w:t>لا يجوز في الشكوك الصحيحة قطع الصَّلاة</w:t>
            </w:r>
            <w:r>
              <w:rPr>
                <w:rStyle w:val="IndexLink"/>
                <w:rtl w:val="true"/>
              </w:rPr>
              <w:tab/>
            </w:r>
            <w:r>
              <w:rPr>
                <w:rStyle w:val="IndexLink"/>
              </w:rPr>
              <w:t>316</w:t>
            </w:r>
          </w:hyperlink>
        </w:p>
        <w:p>
          <w:pPr>
            <w:pStyle w:val="Contents5"/>
            <w:tabs>
              <w:tab w:val="clear" w:pos="7892"/>
              <w:tab w:val="right" w:pos="9026" w:leader="dot"/>
            </w:tabs>
            <w:rPr/>
          </w:pPr>
          <w:hyperlink w:anchor="__RefHeading___Toc10507026_73709187">
            <w:r>
              <w:rPr>
                <w:webHidden/>
                <w:rStyle w:val="IndexLink"/>
                <w:rtl w:val="true"/>
              </w:rPr>
              <w:t>الفصل السادس</w:t>
            </w:r>
            <w:r>
              <w:rPr>
                <w:rStyle w:val="IndexLink"/>
                <w:rtl w:val="true"/>
              </w:rPr>
              <w:t xml:space="preserve">: </w:t>
            </w:r>
            <w:r>
              <w:rPr>
                <w:rStyle w:val="IndexLink"/>
                <w:rtl w:val="true"/>
              </w:rPr>
              <w:t>في الشكوك التي لا اعتبار بها،</w:t>
            </w:r>
            <w:r>
              <w:rPr>
                <w:rStyle w:val="IndexLink"/>
                <w:rtl w:val="true"/>
              </w:rPr>
              <w:tab/>
            </w:r>
            <w:r>
              <w:rPr>
                <w:rStyle w:val="IndexLink"/>
              </w:rPr>
              <w:t>317</w:t>
            </w:r>
          </w:hyperlink>
        </w:p>
        <w:p>
          <w:pPr>
            <w:pStyle w:val="Contents6"/>
            <w:tabs>
              <w:tab w:val="clear" w:pos="7609"/>
              <w:tab w:val="right" w:pos="9026" w:leader="dot"/>
            </w:tabs>
            <w:rPr/>
          </w:pPr>
          <w:hyperlink w:anchor="__RefHeading___Toc10507028_73709187">
            <w:r>
              <w:rPr>
                <w:webHidden/>
                <w:rStyle w:val="IndexLink"/>
                <w:rtl w:val="true"/>
              </w:rPr>
              <w:t xml:space="preserve">وفيه </w:t>
            </w:r>
            <w:r>
              <w:rPr>
                <w:rStyle w:val="IndexLink"/>
                <w:rtl w:val="true"/>
              </w:rPr>
              <w:t>(</w:t>
            </w:r>
            <w:r>
              <w:rPr>
                <w:rStyle w:val="IndexLink"/>
                <w:rtl w:val="true"/>
              </w:rPr>
              <w:t>مسائل</w:t>
            </w:r>
            <w:r>
              <w:rPr>
                <w:rStyle w:val="IndexLink"/>
                <w:rtl w:val="true"/>
              </w:rPr>
              <w:t>):</w:t>
              <w:tab/>
            </w:r>
            <w:r>
              <w:rPr>
                <w:rStyle w:val="IndexLink"/>
              </w:rPr>
              <w:t>317</w:t>
            </w:r>
          </w:hyperlink>
        </w:p>
        <w:p>
          <w:pPr>
            <w:pStyle w:val="Contents6"/>
            <w:tabs>
              <w:tab w:val="clear" w:pos="7609"/>
              <w:tab w:val="right" w:pos="9026" w:leader="dot"/>
            </w:tabs>
            <w:rPr/>
          </w:pPr>
          <w:hyperlink w:anchor="__RefHeading___Toc10507030_73709187">
            <w:r>
              <w:rPr>
                <w:webHidden/>
                <w:rStyle w:val="IndexLink"/>
                <w:rtl w:val="true"/>
              </w:rPr>
              <w:t>لا اعتبار بالشكّ في الشيء بعد التجاوز عنه</w:t>
            </w:r>
            <w:r>
              <w:rPr>
                <w:rStyle w:val="IndexLink"/>
                <w:rtl w:val="true"/>
              </w:rPr>
              <w:tab/>
            </w:r>
            <w:r>
              <w:rPr>
                <w:rStyle w:val="IndexLink"/>
              </w:rPr>
              <w:t>317</w:t>
            </w:r>
          </w:hyperlink>
        </w:p>
        <w:p>
          <w:pPr>
            <w:pStyle w:val="Contents6"/>
            <w:tabs>
              <w:tab w:val="clear" w:pos="7609"/>
              <w:tab w:val="right" w:pos="9026" w:leader="dot"/>
            </w:tabs>
            <w:rPr/>
          </w:pPr>
          <w:hyperlink w:anchor="__RefHeading___Toc10507032_73709187">
            <w:r>
              <w:rPr>
                <w:webHidden/>
                <w:rStyle w:val="IndexLink"/>
                <w:rtl w:val="true"/>
              </w:rPr>
              <w:t>لا يعتنى بالشكّ في الصَّلاة بعد الوقت</w:t>
            </w:r>
            <w:r>
              <w:rPr>
                <w:rStyle w:val="IndexLink"/>
                <w:rtl w:val="true"/>
              </w:rPr>
              <w:tab/>
            </w:r>
            <w:r>
              <w:rPr>
                <w:rStyle w:val="IndexLink"/>
              </w:rPr>
              <w:t>317</w:t>
            </w:r>
          </w:hyperlink>
        </w:p>
        <w:p>
          <w:pPr>
            <w:pStyle w:val="Contents6"/>
            <w:tabs>
              <w:tab w:val="clear" w:pos="7609"/>
              <w:tab w:val="right" w:pos="9026" w:leader="dot"/>
            </w:tabs>
            <w:rPr/>
          </w:pPr>
          <w:hyperlink w:anchor="__RefHeading___Toc10507034_73709187">
            <w:r>
              <w:rPr>
                <w:webHidden/>
                <w:rStyle w:val="IndexLink"/>
                <w:rtl w:val="true"/>
              </w:rPr>
              <w:t>لا شكّ لكثير الشكّ‌</w:t>
            </w:r>
            <w:r>
              <w:rPr>
                <w:rStyle w:val="IndexLink"/>
                <w:rtl w:val="true"/>
              </w:rPr>
              <w:tab/>
            </w:r>
            <w:r>
              <w:rPr>
                <w:rStyle w:val="IndexLink"/>
              </w:rPr>
              <w:t>317</w:t>
            </w:r>
          </w:hyperlink>
        </w:p>
        <w:p>
          <w:pPr>
            <w:pStyle w:val="Contents6"/>
            <w:tabs>
              <w:tab w:val="clear" w:pos="7609"/>
              <w:tab w:val="right" w:pos="9026" w:leader="dot"/>
            </w:tabs>
            <w:rPr/>
          </w:pPr>
          <w:hyperlink w:anchor="__RefHeading___Toc10507036_73709187">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10507038_73709187">
            <w:r>
              <w:rPr>
                <w:webHidden/>
                <w:rStyle w:val="IndexLink"/>
                <w:rtl w:val="true"/>
              </w:rPr>
              <w:t xml:space="preserve">المراد من </w:t>
            </w:r>
            <w:r>
              <w:rPr>
                <w:rStyle w:val="IndexLink"/>
                <w:rtl w:val="true"/>
              </w:rPr>
              <w:t>(</w:t>
            </w:r>
            <w:r>
              <w:rPr>
                <w:rStyle w:val="IndexLink"/>
                <w:rtl w:val="true"/>
              </w:rPr>
              <w:t>المُضيّ‌</w:t>
            </w:r>
            <w:r>
              <w:rPr>
                <w:rStyle w:val="IndexLink"/>
                <w:rtl w:val="true"/>
              </w:rPr>
              <w:t xml:space="preserve">) </w:t>
            </w:r>
            <w:r>
              <w:rPr>
                <w:rStyle w:val="IndexLink"/>
                <w:rtl w:val="true"/>
              </w:rPr>
              <w:t>في الصَّلاة</w:t>
            </w:r>
            <w:r>
              <w:rPr>
                <w:rStyle w:val="IndexLink"/>
                <w:rtl w:val="true"/>
              </w:rPr>
              <w:tab/>
            </w:r>
            <w:r>
              <w:rPr>
                <w:rStyle w:val="IndexLink"/>
              </w:rPr>
              <w:t>318</w:t>
            </w:r>
          </w:hyperlink>
        </w:p>
        <w:p>
          <w:pPr>
            <w:pStyle w:val="Contents6"/>
            <w:tabs>
              <w:tab w:val="clear" w:pos="7609"/>
              <w:tab w:val="right" w:pos="9026" w:leader="dot"/>
            </w:tabs>
            <w:rPr/>
          </w:pPr>
          <w:hyperlink w:anchor="__RefHeading___Toc10507040_73709187">
            <w:r>
              <w:rPr>
                <w:webHidden/>
                <w:rStyle w:val="IndexLink"/>
                <w:rtl w:val="true"/>
              </w:rPr>
              <w:t>المُضيّ في الصَّلاة حكمٌ تعيّيني إلزامي</w:t>
            </w:r>
            <w:r>
              <w:rPr>
                <w:rStyle w:val="IndexLink"/>
                <w:rtl w:val="true"/>
              </w:rPr>
              <w:tab/>
            </w:r>
            <w:r>
              <w:rPr>
                <w:rStyle w:val="IndexLink"/>
              </w:rPr>
              <w:t>320</w:t>
            </w:r>
          </w:hyperlink>
        </w:p>
        <w:p>
          <w:pPr>
            <w:pStyle w:val="Contents6"/>
            <w:tabs>
              <w:tab w:val="clear" w:pos="7609"/>
              <w:tab w:val="right" w:pos="9026" w:leader="dot"/>
            </w:tabs>
            <w:rPr/>
          </w:pPr>
          <w:hyperlink w:anchor="__RefHeading___Toc10507042_73709187">
            <w:r>
              <w:rPr>
                <w:webHidden/>
                <w:rStyle w:val="IndexLink"/>
                <w:rtl w:val="true"/>
              </w:rPr>
              <w:t>حكم كثير السَّهو والنسيان</w:t>
            </w:r>
            <w:r>
              <w:rPr>
                <w:rStyle w:val="IndexLink"/>
                <w:rtl w:val="true"/>
              </w:rPr>
              <w:tab/>
            </w:r>
            <w:r>
              <w:rPr>
                <w:rStyle w:val="IndexLink"/>
              </w:rPr>
              <w:t>321</w:t>
            </w:r>
          </w:hyperlink>
        </w:p>
        <w:p>
          <w:pPr>
            <w:pStyle w:val="Contents6"/>
            <w:tabs>
              <w:tab w:val="clear" w:pos="7609"/>
              <w:tab w:val="right" w:pos="9026" w:leader="dot"/>
            </w:tabs>
            <w:rPr/>
          </w:pPr>
          <w:hyperlink w:anchor="__RefHeading___Toc10507044_73709187">
            <w:r>
              <w:rPr>
                <w:webHidden/>
                <w:rStyle w:val="IndexLink"/>
                <w:rtl w:val="true"/>
              </w:rPr>
              <w:t>في الشكوك التي لا حكم لها بأنفسها</w:t>
            </w:r>
            <w:r>
              <w:rPr>
                <w:rStyle w:val="IndexLink"/>
                <w:rtl w:val="true"/>
              </w:rPr>
              <w:tab/>
            </w:r>
            <w:r>
              <w:rPr>
                <w:rStyle w:val="IndexLink"/>
              </w:rPr>
              <w:t>322</w:t>
            </w:r>
          </w:hyperlink>
        </w:p>
        <w:p>
          <w:pPr>
            <w:pStyle w:val="Contents6"/>
            <w:tabs>
              <w:tab w:val="clear" w:pos="7609"/>
              <w:tab w:val="right" w:pos="9026" w:leader="dot"/>
            </w:tabs>
            <w:rPr/>
          </w:pPr>
          <w:hyperlink w:anchor="__RefHeading___Toc10507046_73709187">
            <w:r>
              <w:rPr>
                <w:webHidden/>
                <w:rStyle w:val="IndexLink"/>
                <w:rtl w:val="true"/>
              </w:rPr>
              <w:t>حكم كثير الشك في فعل آخر لم يكثر شكّه فيه</w:t>
            </w:r>
            <w:r>
              <w:rPr>
                <w:rStyle w:val="IndexLink"/>
                <w:rtl w:val="true"/>
              </w:rPr>
              <w:tab/>
            </w:r>
            <w:r>
              <w:rPr>
                <w:rStyle w:val="IndexLink"/>
              </w:rPr>
              <w:t>323</w:t>
            </w:r>
          </w:hyperlink>
        </w:p>
        <w:p>
          <w:pPr>
            <w:pStyle w:val="Contents6"/>
            <w:tabs>
              <w:tab w:val="clear" w:pos="7609"/>
              <w:tab w:val="right" w:pos="9026" w:leader="dot"/>
            </w:tabs>
            <w:rPr/>
          </w:pPr>
          <w:hyperlink w:anchor="__RefHeading___Toc10507048_73709187">
            <w:r>
              <w:rPr>
                <w:webHidden/>
                <w:rStyle w:val="IndexLink"/>
                <w:rtl w:val="true"/>
              </w:rPr>
              <w:t>إذا كان كثير الشكّ كثيراً فيما لا حكم له لعارضٍ‌</w:t>
            </w:r>
            <w:r>
              <w:rPr>
                <w:rStyle w:val="IndexLink"/>
                <w:rtl w:val="true"/>
              </w:rPr>
              <w:tab/>
            </w:r>
            <w:r>
              <w:rPr>
                <w:rStyle w:val="IndexLink"/>
              </w:rPr>
              <w:t>324</w:t>
            </w:r>
          </w:hyperlink>
        </w:p>
        <w:p>
          <w:pPr>
            <w:pStyle w:val="Contents6"/>
            <w:tabs>
              <w:tab w:val="clear" w:pos="7609"/>
              <w:tab w:val="right" w:pos="9026" w:leader="dot"/>
            </w:tabs>
            <w:rPr/>
          </w:pPr>
          <w:hyperlink w:anchor="__RefHeading___Toc10507050_73709187">
            <w:r>
              <w:rPr>
                <w:webHidden/>
                <w:rStyle w:val="IndexLink"/>
                <w:rtl w:val="true"/>
              </w:rPr>
              <w:t>لو كان كثير الشكّ في أصل الصَّلاة أو الشرائط الخارجيّة</w:t>
            </w:r>
            <w:r>
              <w:rPr>
                <w:rStyle w:val="IndexLink"/>
                <w:rtl w:val="true"/>
              </w:rPr>
              <w:tab/>
            </w:r>
            <w:r>
              <w:rPr>
                <w:rStyle w:val="IndexLink"/>
              </w:rPr>
              <w:t>325</w:t>
            </w:r>
          </w:hyperlink>
        </w:p>
        <w:p>
          <w:pPr>
            <w:pStyle w:val="Contents6"/>
            <w:tabs>
              <w:tab w:val="clear" w:pos="7609"/>
              <w:tab w:val="right" w:pos="9026" w:leader="dot"/>
            </w:tabs>
            <w:rPr/>
          </w:pPr>
          <w:hyperlink w:anchor="__RefHeading___Toc10507052_73709187">
            <w:r>
              <w:rPr>
                <w:webHidden/>
                <w:rStyle w:val="IndexLink"/>
                <w:rtl w:val="true"/>
              </w:rPr>
              <w:t>لا يجب على كثير الشكّ حفظ الصَّلاة عنه وضبطها</w:t>
            </w:r>
            <w:r>
              <w:rPr>
                <w:rStyle w:val="IndexLink"/>
                <w:rtl w:val="true"/>
              </w:rPr>
              <w:tab/>
            </w:r>
            <w:r>
              <w:rPr>
                <w:rStyle w:val="IndexLink"/>
              </w:rPr>
              <w:t>325</w:t>
            </w:r>
          </w:hyperlink>
        </w:p>
        <w:p>
          <w:pPr>
            <w:pStyle w:val="Contents6"/>
            <w:tabs>
              <w:tab w:val="clear" w:pos="7609"/>
              <w:tab w:val="right" w:pos="9026" w:leader="dot"/>
            </w:tabs>
            <w:rPr/>
          </w:pPr>
          <w:hyperlink w:anchor="__RefHeading___Toc10507054_73709187">
            <w:r>
              <w:rPr>
                <w:webHidden/>
                <w:rStyle w:val="IndexLink"/>
                <w:rtl w:val="true"/>
              </w:rPr>
              <w:t>حَدّ الكثرة</w:t>
            </w:r>
            <w:r>
              <w:rPr>
                <w:rStyle w:val="IndexLink"/>
                <w:rtl w:val="true"/>
              </w:rPr>
              <w:tab/>
            </w:r>
            <w:r>
              <w:rPr>
                <w:rStyle w:val="IndexLink"/>
              </w:rPr>
              <w:t>326</w:t>
            </w:r>
          </w:hyperlink>
        </w:p>
        <w:p>
          <w:pPr>
            <w:pStyle w:val="Contents6"/>
            <w:tabs>
              <w:tab w:val="clear" w:pos="7609"/>
              <w:tab w:val="right" w:pos="9026" w:leader="dot"/>
            </w:tabs>
            <w:rPr/>
          </w:pPr>
          <w:hyperlink w:anchor="__RefHeading___Toc10507056_73709187">
            <w:r>
              <w:rPr>
                <w:webHidden/>
                <w:rStyle w:val="IndexLink"/>
                <w:rtl w:val="true"/>
              </w:rPr>
              <w:t>لا اعتبار بشكّ كلٍّ من الإمام والمأموم مع حفظ الآخر</w:t>
            </w:r>
            <w:r>
              <w:rPr>
                <w:rStyle w:val="IndexLink"/>
                <w:rtl w:val="true"/>
              </w:rPr>
              <w:tab/>
            </w:r>
            <w:r>
              <w:rPr>
                <w:rStyle w:val="IndexLink"/>
              </w:rPr>
              <w:t>330</w:t>
            </w:r>
          </w:hyperlink>
        </w:p>
        <w:p>
          <w:pPr>
            <w:pStyle w:val="Contents6"/>
            <w:tabs>
              <w:tab w:val="clear" w:pos="7609"/>
              <w:tab w:val="right" w:pos="9026" w:leader="dot"/>
            </w:tabs>
            <w:rPr/>
          </w:pPr>
          <w:hyperlink w:anchor="__RefHeading___Toc10507058_73709187">
            <w:r>
              <w:rPr>
                <w:webHidden/>
                <w:rStyle w:val="IndexLink"/>
                <w:rtl w:val="true"/>
              </w:rPr>
              <w:t>عدم الالتفات إلى السَّهو في السَّهو</w:t>
            </w:r>
            <w:r>
              <w:rPr>
                <w:rStyle w:val="IndexLink"/>
                <w:rtl w:val="true"/>
              </w:rPr>
              <w:tab/>
            </w:r>
            <w:r>
              <w:rPr>
                <w:rStyle w:val="IndexLink"/>
              </w:rPr>
              <w:t>342</w:t>
            </w:r>
          </w:hyperlink>
        </w:p>
        <w:p>
          <w:pPr>
            <w:pStyle w:val="Contents6"/>
            <w:tabs>
              <w:tab w:val="clear" w:pos="7609"/>
              <w:tab w:val="right" w:pos="9026" w:leader="dot"/>
            </w:tabs>
            <w:rPr/>
          </w:pPr>
          <w:hyperlink w:anchor="__RefHeading___Toc10507060_73709187">
            <w:r>
              <w:rPr>
                <w:webHidden/>
                <w:rStyle w:val="IndexLink"/>
                <w:rtl w:val="true"/>
              </w:rPr>
              <w:t>حكم الشكّ في النّافلة</w:t>
            </w:r>
            <w:r>
              <w:rPr>
                <w:rStyle w:val="IndexLink"/>
                <w:rtl w:val="true"/>
              </w:rPr>
              <w:tab/>
            </w:r>
            <w:r>
              <w:rPr>
                <w:rStyle w:val="IndexLink"/>
              </w:rPr>
              <w:t>347</w:t>
            </w:r>
          </w:hyperlink>
        </w:p>
        <w:p>
          <w:pPr>
            <w:pStyle w:val="Contents6"/>
            <w:tabs>
              <w:tab w:val="clear" w:pos="7609"/>
              <w:tab w:val="right" w:pos="9026" w:leader="dot"/>
            </w:tabs>
            <w:rPr/>
          </w:pPr>
          <w:hyperlink w:anchor="__RefHeading___Toc10507062_73709187">
            <w:r>
              <w:rPr>
                <w:webHidden/>
                <w:rStyle w:val="IndexLink"/>
                <w:rtl w:val="true"/>
              </w:rPr>
              <w:t>صلاة الاحتياط</w:t>
            </w:r>
            <w:r>
              <w:rPr>
                <w:rStyle w:val="IndexLink"/>
                <w:rtl w:val="true"/>
              </w:rPr>
              <w:tab/>
            </w:r>
            <w:r>
              <w:rPr>
                <w:rStyle w:val="IndexLink"/>
              </w:rPr>
              <w:t>354</w:t>
            </w:r>
          </w:hyperlink>
        </w:p>
        <w:p>
          <w:pPr>
            <w:pStyle w:val="Contents6"/>
            <w:tabs>
              <w:tab w:val="clear" w:pos="7609"/>
              <w:tab w:val="right" w:pos="9026" w:leader="dot"/>
            </w:tabs>
            <w:rPr/>
          </w:pPr>
          <w:hyperlink w:anchor="__RefHeading___Toc10507064_73709187">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10507066_73709187">
            <w:r>
              <w:rPr>
                <w:webHidden/>
                <w:rStyle w:val="IndexLink"/>
                <w:rtl w:val="true"/>
              </w:rPr>
              <w:t>تنقيح القول فيها</w:t>
            </w:r>
            <w:r>
              <w:rPr>
                <w:rStyle w:val="IndexLink"/>
                <w:rtl w:val="true"/>
              </w:rPr>
              <w:tab/>
            </w:r>
            <w:r>
              <w:rPr>
                <w:rStyle w:val="IndexLink"/>
              </w:rPr>
              <w:t>354</w:t>
            </w:r>
          </w:hyperlink>
        </w:p>
        <w:p>
          <w:pPr>
            <w:pStyle w:val="Contents6"/>
            <w:tabs>
              <w:tab w:val="clear" w:pos="7609"/>
              <w:tab w:val="right" w:pos="9026" w:leader="dot"/>
            </w:tabs>
            <w:rPr/>
          </w:pPr>
          <w:hyperlink w:anchor="__RefHeading___Toc10507068_73709187">
            <w:r>
              <w:rPr>
                <w:webHidden/>
                <w:rStyle w:val="IndexLink"/>
                <w:rtl w:val="true"/>
              </w:rPr>
              <w:t>في قضاء الأجزاء المنسيّة</w:t>
            </w:r>
            <w:r>
              <w:rPr>
                <w:rStyle w:val="IndexLink"/>
                <w:rtl w:val="true"/>
              </w:rPr>
              <w:tab/>
            </w:r>
            <w:r>
              <w:rPr>
                <w:rStyle w:val="IndexLink"/>
              </w:rPr>
              <w:t>369</w:t>
            </w:r>
          </w:hyperlink>
        </w:p>
        <w:p>
          <w:pPr>
            <w:pStyle w:val="Contents6"/>
            <w:tabs>
              <w:tab w:val="clear" w:pos="7609"/>
              <w:tab w:val="right" w:pos="9026" w:leader="dot"/>
            </w:tabs>
            <w:rPr/>
          </w:pPr>
          <w:hyperlink w:anchor="__RefHeading___Toc10507070_73709187">
            <w:r>
              <w:rPr>
                <w:webHidden/>
                <w:rStyle w:val="IndexLink"/>
                <w:rtl w:val="true"/>
              </w:rPr>
              <w:t>في سجود السَّهو</w:t>
            </w:r>
            <w:r>
              <w:rPr>
                <w:rStyle w:val="IndexLink"/>
                <w:rtl w:val="true"/>
              </w:rPr>
              <w:tab/>
            </w:r>
            <w:r>
              <w:rPr>
                <w:rStyle w:val="IndexLink"/>
              </w:rPr>
              <w:t>374</w:t>
            </w:r>
          </w:hyperlink>
        </w:p>
        <w:p>
          <w:pPr>
            <w:pStyle w:val="Contents6"/>
            <w:tabs>
              <w:tab w:val="clear" w:pos="7609"/>
              <w:tab w:val="right" w:pos="9026" w:leader="dot"/>
            </w:tabs>
            <w:rPr/>
          </w:pPr>
          <w:hyperlink w:anchor="__RefHeading___Toc10507072_7370918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0507074_73709187">
            <w:r>
              <w:rPr>
                <w:webHidden/>
                <w:rStyle w:val="IndexLink"/>
                <w:rtl w:val="true"/>
              </w:rPr>
              <w:t>مسائل</w:t>
            </w:r>
            <w:r>
              <w:rPr>
                <w:rStyle w:val="IndexLink"/>
                <w:rtl w:val="true"/>
              </w:rPr>
              <w:t>:</w:t>
              <w:tab/>
            </w:r>
            <w:r>
              <w:rPr>
                <w:rStyle w:val="IndexLink"/>
              </w:rPr>
              <w:t>374</w:t>
            </w:r>
          </w:hyperlink>
        </w:p>
        <w:p>
          <w:pPr>
            <w:pStyle w:val="Contents6"/>
            <w:tabs>
              <w:tab w:val="clear" w:pos="7609"/>
              <w:tab w:val="right" w:pos="9026" w:leader="dot"/>
            </w:tabs>
            <w:rPr/>
          </w:pPr>
          <w:hyperlink w:anchor="__RefHeading___Toc10507076_7370918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0507078_73709187">
            <w:r>
              <w:rPr>
                <w:webHidden/>
                <w:rStyle w:val="IndexLink"/>
                <w:rtl w:val="true"/>
              </w:rPr>
              <w:t>في موجبات سجود السّهو</w:t>
            </w:r>
            <w:r>
              <w:rPr>
                <w:rStyle w:val="IndexLink"/>
                <w:rtl w:val="true"/>
              </w:rPr>
              <w:tab/>
            </w:r>
            <w:r>
              <w:rPr>
                <w:rStyle w:val="IndexLink"/>
              </w:rPr>
              <w:t>374</w:t>
            </w:r>
          </w:hyperlink>
        </w:p>
        <w:p>
          <w:pPr>
            <w:pStyle w:val="Contents6"/>
            <w:tabs>
              <w:tab w:val="clear" w:pos="7609"/>
              <w:tab w:val="right" w:pos="9026" w:leader="dot"/>
            </w:tabs>
            <w:rPr/>
          </w:pPr>
          <w:hyperlink w:anchor="__RefHeading___Toc10507080_73709187">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10507082_73709187">
            <w:r>
              <w:rPr>
                <w:webHidden/>
                <w:rStyle w:val="IndexLink"/>
                <w:rtl w:val="true"/>
              </w:rPr>
              <w:t>الكلام غير العمدي</w:t>
            </w:r>
            <w:r>
              <w:rPr>
                <w:rStyle w:val="IndexLink"/>
                <w:rtl w:val="true"/>
              </w:rPr>
              <w:tab/>
            </w:r>
            <w:r>
              <w:rPr>
                <w:rStyle w:val="IndexLink"/>
              </w:rPr>
              <w:t>374</w:t>
            </w:r>
          </w:hyperlink>
        </w:p>
        <w:p>
          <w:pPr>
            <w:pStyle w:val="Contents6"/>
            <w:tabs>
              <w:tab w:val="clear" w:pos="7609"/>
              <w:tab w:val="right" w:pos="9026" w:leader="dot"/>
            </w:tabs>
            <w:rPr/>
          </w:pPr>
          <w:hyperlink w:anchor="__RefHeading___Toc10507084_73709187">
            <w:r>
              <w:rPr>
                <w:webHidden/>
                <w:rStyle w:val="IndexLink"/>
                <w:rtl w:val="true"/>
              </w:rPr>
              <w:t>القعود في حال القيام والعكس</w:t>
            </w:r>
            <w:r>
              <w:rPr>
                <w:rStyle w:val="IndexLink"/>
                <w:rtl w:val="true"/>
              </w:rPr>
              <w:tab/>
            </w:r>
            <w:r>
              <w:rPr>
                <w:rStyle w:val="IndexLink"/>
              </w:rPr>
              <w:t>378</w:t>
            </w:r>
          </w:hyperlink>
        </w:p>
        <w:p>
          <w:pPr>
            <w:pStyle w:val="Contents6"/>
            <w:tabs>
              <w:tab w:val="clear" w:pos="7609"/>
              <w:tab w:val="right" w:pos="9026" w:leader="dot"/>
            </w:tabs>
            <w:rPr/>
          </w:pPr>
          <w:hyperlink w:anchor="__RefHeading___Toc10507086_73709187">
            <w:r>
              <w:rPr>
                <w:webHidden/>
                <w:rStyle w:val="IndexLink"/>
                <w:rtl w:val="true"/>
              </w:rPr>
              <w:t>السَّلام في غير محلّه</w:t>
            </w:r>
            <w:r>
              <w:rPr>
                <w:rStyle w:val="IndexLink"/>
                <w:rtl w:val="true"/>
              </w:rPr>
              <w:tab/>
            </w:r>
            <w:r>
              <w:rPr>
                <w:rStyle w:val="IndexLink"/>
              </w:rPr>
              <w:t>381</w:t>
            </w:r>
          </w:hyperlink>
        </w:p>
        <w:p>
          <w:pPr>
            <w:pStyle w:val="Contents6"/>
            <w:tabs>
              <w:tab w:val="clear" w:pos="7609"/>
              <w:tab w:val="right" w:pos="9026" w:leader="dot"/>
            </w:tabs>
            <w:rPr/>
          </w:pPr>
          <w:hyperlink w:anchor="__RefHeading___Toc10507088_73709187">
            <w:r>
              <w:rPr>
                <w:webHidden/>
                <w:rStyle w:val="IndexLink"/>
                <w:rtl w:val="true"/>
              </w:rPr>
              <w:t>الشكّ بين الأربع والخمس</w:t>
            </w:r>
            <w:r>
              <w:rPr>
                <w:rStyle w:val="IndexLink"/>
                <w:rtl w:val="true"/>
              </w:rPr>
              <w:tab/>
            </w:r>
            <w:r>
              <w:rPr>
                <w:rStyle w:val="IndexLink"/>
              </w:rPr>
              <w:t>384</w:t>
            </w:r>
          </w:hyperlink>
        </w:p>
        <w:p>
          <w:pPr>
            <w:pStyle w:val="Contents6"/>
            <w:tabs>
              <w:tab w:val="clear" w:pos="7609"/>
              <w:tab w:val="right" w:pos="9026" w:leader="dot"/>
            </w:tabs>
            <w:rPr/>
          </w:pPr>
          <w:hyperlink w:anchor="__RefHeading___Toc10507090_73709187">
            <w:r>
              <w:rPr>
                <w:webHidden/>
                <w:rStyle w:val="IndexLink"/>
                <w:rtl w:val="true"/>
              </w:rPr>
              <w:t>نسيان السّجدة الواحدة</w:t>
            </w:r>
            <w:r>
              <w:rPr>
                <w:rStyle w:val="IndexLink"/>
                <w:rtl w:val="true"/>
              </w:rPr>
              <w:tab/>
            </w:r>
            <w:r>
              <w:rPr>
                <w:rStyle w:val="IndexLink"/>
              </w:rPr>
              <w:t>384</w:t>
            </w:r>
          </w:hyperlink>
        </w:p>
        <w:p>
          <w:pPr>
            <w:pStyle w:val="Contents6"/>
            <w:tabs>
              <w:tab w:val="clear" w:pos="7609"/>
              <w:tab w:val="right" w:pos="9026" w:leader="dot"/>
            </w:tabs>
            <w:rPr/>
          </w:pPr>
          <w:hyperlink w:anchor="__RefHeading___Toc10507092_73709187">
            <w:r>
              <w:rPr>
                <w:webHidden/>
                <w:rStyle w:val="IndexLink"/>
                <w:rtl w:val="true"/>
              </w:rPr>
              <w:t>نسيان التشهّد</w:t>
            </w:r>
            <w:r>
              <w:rPr>
                <w:rStyle w:val="IndexLink"/>
                <w:rtl w:val="true"/>
              </w:rPr>
              <w:tab/>
            </w:r>
            <w:r>
              <w:rPr>
                <w:rStyle w:val="IndexLink"/>
              </w:rPr>
              <w:t>384</w:t>
            </w:r>
          </w:hyperlink>
        </w:p>
        <w:p>
          <w:pPr>
            <w:pStyle w:val="Contents6"/>
            <w:tabs>
              <w:tab w:val="clear" w:pos="7609"/>
              <w:tab w:val="right" w:pos="9026" w:leader="dot"/>
            </w:tabs>
            <w:rPr/>
          </w:pPr>
          <w:hyperlink w:anchor="__RefHeading___Toc10507094_73709187">
            <w:r>
              <w:rPr>
                <w:webHidden/>
                <w:rStyle w:val="IndexLink"/>
                <w:rtl w:val="true"/>
              </w:rPr>
              <w:t>الزيادة أو النقيصة غير المبطلة</w:t>
            </w:r>
            <w:r>
              <w:rPr>
                <w:rStyle w:val="IndexLink"/>
                <w:rtl w:val="true"/>
              </w:rPr>
              <w:tab/>
            </w:r>
            <w:r>
              <w:rPr>
                <w:rStyle w:val="IndexLink"/>
              </w:rPr>
              <w:t>385</w:t>
            </w:r>
          </w:hyperlink>
        </w:p>
        <w:p>
          <w:pPr>
            <w:pStyle w:val="Contents6"/>
            <w:tabs>
              <w:tab w:val="clear" w:pos="7609"/>
              <w:tab w:val="right" w:pos="9026" w:leader="dot"/>
            </w:tabs>
            <w:rPr/>
          </w:pPr>
          <w:hyperlink w:anchor="__RefHeading___Toc10507096_73709187">
            <w:r>
              <w:rPr>
                <w:webHidden/>
                <w:rStyle w:val="IndexLink"/>
                <w:rtl w:val="true"/>
              </w:rPr>
              <w:t>الشكّ في الزّيادة والنقيصة</w:t>
            </w:r>
            <w:r>
              <w:rPr>
                <w:rStyle w:val="IndexLink"/>
                <w:rtl w:val="true"/>
              </w:rPr>
              <w:tab/>
            </w:r>
            <w:r>
              <w:rPr>
                <w:rStyle w:val="IndexLink"/>
              </w:rPr>
              <w:t>389</w:t>
            </w:r>
          </w:hyperlink>
        </w:p>
        <w:p>
          <w:pPr>
            <w:pStyle w:val="Contents6"/>
            <w:tabs>
              <w:tab w:val="clear" w:pos="7609"/>
              <w:tab w:val="right" w:pos="9026" w:leader="dot"/>
            </w:tabs>
            <w:rPr/>
          </w:pPr>
          <w:hyperlink w:anchor="__RefHeading___Toc10507098_73709187">
            <w:r>
              <w:rPr>
                <w:webHidden/>
                <w:rStyle w:val="IndexLink"/>
                <w:rtl w:val="true"/>
              </w:rPr>
              <w:t>بعض أحكام سجود السَّهو</w:t>
            </w:r>
            <w:r>
              <w:rPr>
                <w:rStyle w:val="IndexLink"/>
                <w:rtl w:val="true"/>
              </w:rPr>
              <w:tab/>
            </w:r>
            <w:r>
              <w:rPr>
                <w:rStyle w:val="IndexLink"/>
              </w:rPr>
              <w:t>391</w:t>
            </w:r>
          </w:hyperlink>
        </w:p>
        <w:p>
          <w:pPr>
            <w:pStyle w:val="Contents6"/>
            <w:tabs>
              <w:tab w:val="clear" w:pos="7609"/>
              <w:tab w:val="right" w:pos="9026" w:leader="dot"/>
            </w:tabs>
            <w:rPr/>
          </w:pPr>
          <w:hyperlink w:anchor="__RefHeading___Toc10507100_73709187">
            <w:r>
              <w:rPr>
                <w:webHidden/>
                <w:rStyle w:val="IndexLink"/>
                <w:rtl w:val="true"/>
              </w:rPr>
              <w:t>تداخل الأسباب</w:t>
            </w:r>
            <w:r>
              <w:rPr>
                <w:rStyle w:val="IndexLink"/>
                <w:rtl w:val="true"/>
              </w:rPr>
              <w:tab/>
            </w:r>
            <w:r>
              <w:rPr>
                <w:rStyle w:val="IndexLink"/>
              </w:rPr>
              <w:t>391</w:t>
            </w:r>
          </w:hyperlink>
        </w:p>
        <w:p>
          <w:pPr>
            <w:pStyle w:val="Contents6"/>
            <w:tabs>
              <w:tab w:val="clear" w:pos="7609"/>
              <w:tab w:val="right" w:pos="9026" w:leader="dot"/>
            </w:tabs>
            <w:rPr/>
          </w:pPr>
          <w:hyperlink w:anchor="__RefHeading___Toc10507102_73709187">
            <w:r>
              <w:rPr>
                <w:webHidden/>
                <w:rStyle w:val="IndexLink"/>
                <w:rtl w:val="true"/>
              </w:rPr>
              <w:t>الترتيب بين هذا السّجود وبين صلاة الاحتياط وقضاء الأجزاء</w:t>
            </w:r>
            <w:r>
              <w:rPr>
                <w:rStyle w:val="IndexLink"/>
                <w:rtl w:val="true"/>
              </w:rPr>
              <w:tab/>
            </w:r>
            <w:r>
              <w:rPr>
                <w:rStyle w:val="IndexLink"/>
              </w:rPr>
              <w:t>394</w:t>
            </w:r>
          </w:hyperlink>
        </w:p>
        <w:p>
          <w:pPr>
            <w:pStyle w:val="Contents6"/>
            <w:tabs>
              <w:tab w:val="clear" w:pos="7609"/>
              <w:tab w:val="right" w:pos="9026" w:leader="dot"/>
            </w:tabs>
            <w:rPr/>
          </w:pPr>
          <w:hyperlink w:anchor="__RefHeading___Toc10507104_73709187">
            <w:r>
              <w:rPr>
                <w:webHidden/>
                <w:rStyle w:val="IndexLink"/>
                <w:rtl w:val="true"/>
              </w:rPr>
              <w:t>يجب الإتيان به فوراً، ومع تركه لا تبطل الصَّلاة</w:t>
            </w:r>
            <w:r>
              <w:rPr>
                <w:rStyle w:val="IndexLink"/>
                <w:rtl w:val="true"/>
              </w:rPr>
              <w:tab/>
            </w:r>
            <w:r>
              <w:rPr>
                <w:rStyle w:val="IndexLink"/>
              </w:rPr>
              <w:t>395</w:t>
            </w:r>
          </w:hyperlink>
        </w:p>
        <w:p>
          <w:pPr>
            <w:pStyle w:val="Contents6"/>
            <w:tabs>
              <w:tab w:val="clear" w:pos="7609"/>
              <w:tab w:val="right" w:pos="9026" w:leader="dot"/>
            </w:tabs>
            <w:rPr/>
          </w:pPr>
          <w:hyperlink w:anchor="__RefHeading___Toc10507106_73709187">
            <w:r>
              <w:rPr>
                <w:webHidden/>
                <w:rStyle w:val="IndexLink"/>
                <w:rtl w:val="true"/>
              </w:rPr>
              <w:t>في ما لو ترك المُصلّي سجدتي السّهو عمداً</w:t>
            </w:r>
            <w:r>
              <w:rPr>
                <w:rStyle w:val="IndexLink"/>
                <w:rtl w:val="true"/>
              </w:rPr>
              <w:tab/>
            </w:r>
            <w:r>
              <w:rPr>
                <w:rStyle w:val="IndexLink"/>
              </w:rPr>
              <w:t>396</w:t>
            </w:r>
          </w:hyperlink>
        </w:p>
        <w:p>
          <w:pPr>
            <w:pStyle w:val="Contents6"/>
            <w:tabs>
              <w:tab w:val="clear" w:pos="7609"/>
              <w:tab w:val="right" w:pos="9026" w:leader="dot"/>
            </w:tabs>
            <w:rPr/>
          </w:pPr>
          <w:hyperlink w:anchor="__RefHeading___Toc10507108_73709187">
            <w:r>
              <w:rPr>
                <w:webHidden/>
                <w:rStyle w:val="IndexLink"/>
                <w:rtl w:val="true"/>
              </w:rPr>
              <w:t>لو لم يأتي بهما فوراً، لم يسقط الأمر بهما بالعصيان</w:t>
            </w:r>
            <w:r>
              <w:rPr>
                <w:rStyle w:val="IndexLink"/>
                <w:rtl w:val="true"/>
              </w:rPr>
              <w:tab/>
            </w:r>
            <w:r>
              <w:rPr>
                <w:rStyle w:val="IndexLink"/>
              </w:rPr>
              <w:t>398</w:t>
            </w:r>
          </w:hyperlink>
        </w:p>
        <w:p>
          <w:pPr>
            <w:pStyle w:val="Contents6"/>
            <w:tabs>
              <w:tab w:val="clear" w:pos="7609"/>
              <w:tab w:val="right" w:pos="9026" w:leader="dot"/>
            </w:tabs>
            <w:rPr/>
          </w:pPr>
          <w:hyperlink w:anchor="__RefHeading___Toc10507110_73709187">
            <w:r>
              <w:rPr>
                <w:webHidden/>
                <w:rStyle w:val="IndexLink"/>
                <w:rtl w:val="true"/>
              </w:rPr>
              <w:t>هل يقدح فعل المنافي بينهما وبين الصَّلاة</w:t>
            </w:r>
            <w:r>
              <w:rPr>
                <w:rStyle w:val="IndexLink"/>
                <w:rtl w:val="true"/>
              </w:rPr>
              <w:tab/>
            </w:r>
            <w:r>
              <w:rPr>
                <w:rStyle w:val="IndexLink"/>
              </w:rPr>
              <w:t>398</w:t>
            </w:r>
          </w:hyperlink>
        </w:p>
        <w:p>
          <w:pPr>
            <w:pStyle w:val="Contents6"/>
            <w:tabs>
              <w:tab w:val="clear" w:pos="7609"/>
              <w:tab w:val="right" w:pos="9026" w:leader="dot"/>
            </w:tabs>
            <w:rPr/>
          </w:pPr>
          <w:hyperlink w:anchor="__RefHeading___Toc10507112_73709187">
            <w:r>
              <w:rPr>
                <w:webHidden/>
                <w:rStyle w:val="IndexLink"/>
                <w:rtl w:val="true"/>
              </w:rPr>
              <w:t>لو سجد للكلام فبان أنّ الموجب غيره</w:t>
            </w:r>
            <w:r>
              <w:rPr>
                <w:rStyle w:val="IndexLink"/>
                <w:rtl w:val="true"/>
              </w:rPr>
              <w:tab/>
            </w:r>
            <w:r>
              <w:rPr>
                <w:rStyle w:val="IndexLink"/>
              </w:rPr>
              <w:t>399</w:t>
            </w:r>
          </w:hyperlink>
        </w:p>
        <w:p>
          <w:pPr>
            <w:pStyle w:val="Contents6"/>
            <w:tabs>
              <w:tab w:val="clear" w:pos="7609"/>
              <w:tab w:val="right" w:pos="9026" w:leader="dot"/>
            </w:tabs>
            <w:rPr/>
          </w:pPr>
          <w:hyperlink w:anchor="__RefHeading___Toc10507114_73709187">
            <w:r>
              <w:rPr>
                <w:webHidden/>
                <w:rStyle w:val="IndexLink"/>
                <w:rtl w:val="true"/>
              </w:rPr>
              <w:t>إذا شكّ في أنّه هل سَجَد سجدتين أو سجدَ سجدة واحدة</w:t>
            </w:r>
            <w:r>
              <w:rPr>
                <w:rStyle w:val="IndexLink"/>
                <w:rtl w:val="true"/>
              </w:rPr>
              <w:tab/>
            </w:r>
            <w:r>
              <w:rPr>
                <w:rStyle w:val="IndexLink"/>
              </w:rPr>
              <w:t>400</w:t>
            </w:r>
          </w:hyperlink>
        </w:p>
        <w:p>
          <w:pPr>
            <w:pStyle w:val="Contents6"/>
            <w:tabs>
              <w:tab w:val="clear" w:pos="7609"/>
              <w:tab w:val="right" w:pos="9026" w:leader="dot"/>
            </w:tabs>
            <w:rPr/>
          </w:pPr>
          <w:hyperlink w:anchor="__RefHeading___Toc10507116_73709187">
            <w:r>
              <w:rPr>
                <w:webHidden/>
                <w:rStyle w:val="IndexLink"/>
                <w:rtl w:val="true"/>
              </w:rPr>
              <w:t>إذا شكّ في الإتيان بهما بعد العلم بوجوبهما</w:t>
            </w:r>
            <w:r>
              <w:rPr>
                <w:rStyle w:val="IndexLink"/>
                <w:rtl w:val="true"/>
              </w:rPr>
              <w:tab/>
            </w:r>
            <w:r>
              <w:rPr>
                <w:rStyle w:val="IndexLink"/>
              </w:rPr>
              <w:t>401</w:t>
            </w:r>
          </w:hyperlink>
        </w:p>
        <w:p>
          <w:pPr>
            <w:pStyle w:val="Contents6"/>
            <w:tabs>
              <w:tab w:val="clear" w:pos="7609"/>
              <w:tab w:val="right" w:pos="9026" w:leader="dot"/>
            </w:tabs>
            <w:rPr/>
          </w:pPr>
          <w:hyperlink w:anchor="__RefHeading___Toc10507118_73709187">
            <w:r>
              <w:rPr>
                <w:webHidden/>
                <w:rStyle w:val="IndexLink"/>
                <w:rtl w:val="true"/>
              </w:rPr>
              <w:t>شرائط سّجدة السّهو وموانعها</w:t>
            </w:r>
            <w:r>
              <w:rPr>
                <w:rStyle w:val="IndexLink"/>
                <w:rtl w:val="true"/>
              </w:rPr>
              <w:tab/>
            </w:r>
            <w:r>
              <w:rPr>
                <w:rStyle w:val="IndexLink"/>
              </w:rPr>
              <w:t>402</w:t>
            </w:r>
          </w:hyperlink>
        </w:p>
        <w:p>
          <w:pPr>
            <w:pStyle w:val="Contents6"/>
            <w:tabs>
              <w:tab w:val="clear" w:pos="7609"/>
              <w:tab w:val="right" w:pos="9026" w:leader="dot"/>
            </w:tabs>
            <w:rPr/>
          </w:pPr>
          <w:hyperlink w:anchor="__RefHeading___Toc10507120_73709187">
            <w:r>
              <w:rPr>
                <w:webHidden/>
                <w:rStyle w:val="IndexLink"/>
                <w:rtl w:val="true"/>
              </w:rPr>
              <w:t>محلّ سجدة السهو</w:t>
            </w:r>
            <w:r>
              <w:rPr>
                <w:rStyle w:val="IndexLink"/>
                <w:rtl w:val="true"/>
              </w:rPr>
              <w:tab/>
            </w:r>
            <w:r>
              <w:rPr>
                <w:rStyle w:val="IndexLink"/>
              </w:rPr>
              <w:t>404</w:t>
            </w:r>
          </w:hyperlink>
        </w:p>
        <w:p>
          <w:pPr>
            <w:pStyle w:val="Contents6"/>
            <w:tabs>
              <w:tab w:val="clear" w:pos="7609"/>
              <w:tab w:val="right" w:pos="9026" w:leader="dot"/>
            </w:tabs>
            <w:rPr/>
          </w:pPr>
          <w:hyperlink w:anchor="__RefHeading___Toc10507122_73709187">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10507124_73709187">
            <w:r>
              <w:rPr>
                <w:webHidden/>
                <w:rStyle w:val="IndexLink"/>
                <w:rtl w:val="true"/>
              </w:rPr>
              <w:t>أجزاء سجدة السَّهو</w:t>
            </w:r>
            <w:r>
              <w:rPr>
                <w:rStyle w:val="IndexLink"/>
                <w:rtl w:val="true"/>
              </w:rPr>
              <w:tab/>
            </w:r>
            <w:r>
              <w:rPr>
                <w:rStyle w:val="IndexLink"/>
              </w:rPr>
              <w:t>405</w:t>
            </w:r>
          </w:hyperlink>
        </w:p>
        <w:p>
          <w:pPr>
            <w:pStyle w:val="Contents6"/>
            <w:tabs>
              <w:tab w:val="clear" w:pos="7609"/>
              <w:tab w:val="right" w:pos="9026" w:leader="dot"/>
            </w:tabs>
            <w:rPr/>
          </w:pPr>
          <w:hyperlink w:anchor="__RefHeading___Toc10507126_73709187">
            <w:r>
              <w:rPr>
                <w:webHidden/>
                <w:rStyle w:val="IndexLink"/>
                <w:rtl w:val="true"/>
              </w:rPr>
              <w:t>النيّة</w:t>
            </w:r>
            <w:r>
              <w:rPr>
                <w:rStyle w:val="IndexLink"/>
                <w:rtl w:val="true"/>
              </w:rPr>
              <w:tab/>
            </w:r>
            <w:r>
              <w:rPr>
                <w:rStyle w:val="IndexLink"/>
              </w:rPr>
              <w:t>406</w:t>
            </w:r>
          </w:hyperlink>
        </w:p>
        <w:p>
          <w:pPr>
            <w:pStyle w:val="Contents6"/>
            <w:tabs>
              <w:tab w:val="clear" w:pos="7609"/>
              <w:tab w:val="right" w:pos="9026" w:leader="dot"/>
            </w:tabs>
            <w:rPr/>
          </w:pPr>
          <w:hyperlink w:anchor="__RefHeading___Toc10507128_73709187">
            <w:r>
              <w:rPr>
                <w:webHidden/>
                <w:rStyle w:val="IndexLink"/>
                <w:rtl w:val="true"/>
              </w:rPr>
              <w:t>كيفيّة السَّجدتين</w:t>
            </w:r>
            <w:r>
              <w:rPr>
                <w:rStyle w:val="IndexLink"/>
                <w:rtl w:val="true"/>
              </w:rPr>
              <w:tab/>
            </w:r>
            <w:r>
              <w:rPr>
                <w:rStyle w:val="IndexLink"/>
              </w:rPr>
              <w:t>406</w:t>
            </w:r>
          </w:hyperlink>
        </w:p>
        <w:p>
          <w:pPr>
            <w:pStyle w:val="Contents6"/>
            <w:tabs>
              <w:tab w:val="clear" w:pos="7609"/>
              <w:tab w:val="right" w:pos="9026" w:leader="dot"/>
            </w:tabs>
            <w:rPr/>
          </w:pPr>
          <w:hyperlink w:anchor="__RefHeading___Toc10507130_73709187">
            <w:r>
              <w:rPr>
                <w:webHidden/>
                <w:rStyle w:val="IndexLink"/>
                <w:rtl w:val="true"/>
              </w:rPr>
              <w:t>حكم التشهّد وكيفيّته</w:t>
            </w:r>
            <w:r>
              <w:rPr>
                <w:rStyle w:val="IndexLink"/>
                <w:rtl w:val="true"/>
              </w:rPr>
              <w:tab/>
            </w:r>
            <w:r>
              <w:rPr>
                <w:rStyle w:val="IndexLink"/>
              </w:rPr>
              <w:t>410</w:t>
            </w:r>
          </w:hyperlink>
        </w:p>
        <w:p>
          <w:pPr>
            <w:pStyle w:val="Contents6"/>
            <w:tabs>
              <w:tab w:val="clear" w:pos="7609"/>
              <w:tab w:val="right" w:pos="9026" w:leader="dot"/>
            </w:tabs>
            <w:rPr/>
          </w:pPr>
          <w:hyperlink w:anchor="__RefHeading___Toc10507132_73709187">
            <w:r>
              <w:rPr>
                <w:webHidden/>
                <w:rStyle w:val="IndexLink"/>
                <w:rtl w:val="true"/>
              </w:rPr>
              <w:t>فصل</w:t>
            </w:r>
            <w:r>
              <w:rPr>
                <w:rStyle w:val="IndexLink"/>
                <w:rtl w:val="true"/>
              </w:rPr>
              <w:t xml:space="preserve">: </w:t>
            </w:r>
            <w:r>
              <w:rPr>
                <w:rStyle w:val="IndexLink"/>
                <w:rtl w:val="true"/>
              </w:rPr>
              <w:t>في صلاة القضاء</w:t>
            </w:r>
            <w:r>
              <w:rPr>
                <w:rStyle w:val="IndexLink"/>
                <w:rtl w:val="true"/>
              </w:rPr>
              <w:tab/>
            </w:r>
            <w:r>
              <w:rPr>
                <w:rStyle w:val="IndexLink"/>
              </w:rPr>
              <w:t>414</w:t>
            </w:r>
          </w:hyperlink>
        </w:p>
        <w:p>
          <w:pPr>
            <w:pStyle w:val="Contents6"/>
            <w:tabs>
              <w:tab w:val="clear" w:pos="7609"/>
              <w:tab w:val="right" w:pos="9026" w:leader="dot"/>
            </w:tabs>
            <w:rPr/>
          </w:pPr>
          <w:hyperlink w:anchor="__RefHeading___Toc10507134_73709187">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10507136_73709187">
            <w:r>
              <w:rPr>
                <w:webHidden/>
                <w:rStyle w:val="IndexLink"/>
                <w:rtl w:val="true"/>
              </w:rPr>
              <w:t>هل يكون القضاء بالأمر الأوّل أو بأمرٍ جديد؟</w:t>
            </w:r>
            <w:r>
              <w:rPr>
                <w:rStyle w:val="IndexLink"/>
                <w:rtl w:val="true"/>
              </w:rPr>
              <w:tab/>
            </w:r>
            <w:r>
              <w:rPr>
                <w:rStyle w:val="IndexLink"/>
              </w:rPr>
              <w:t>414</w:t>
            </w:r>
          </w:hyperlink>
        </w:p>
        <w:p>
          <w:pPr>
            <w:pStyle w:val="Contents6"/>
            <w:tabs>
              <w:tab w:val="clear" w:pos="7609"/>
              <w:tab w:val="right" w:pos="9026" w:leader="dot"/>
            </w:tabs>
            <w:rPr/>
          </w:pPr>
          <w:hyperlink w:anchor="__RefHeading___Toc10507138_73709187">
            <w:r>
              <w:rPr>
                <w:webHidden/>
                <w:rStyle w:val="IndexLink"/>
                <w:rtl w:val="true"/>
              </w:rPr>
              <w:t>وجوب قضاء الفائت مطلقاً</w:t>
            </w:r>
            <w:r>
              <w:rPr>
                <w:rStyle w:val="IndexLink"/>
                <w:rtl w:val="true"/>
              </w:rPr>
              <w:tab/>
            </w:r>
            <w:r>
              <w:rPr>
                <w:rStyle w:val="IndexLink"/>
              </w:rPr>
              <w:t>416</w:t>
            </w:r>
          </w:hyperlink>
        </w:p>
        <w:p>
          <w:pPr>
            <w:pStyle w:val="Contents6"/>
            <w:tabs>
              <w:tab w:val="clear" w:pos="7609"/>
              <w:tab w:val="right" w:pos="9026" w:leader="dot"/>
            </w:tabs>
            <w:rPr/>
          </w:pPr>
          <w:hyperlink w:anchor="__RefHeading___Toc10507140_73709187">
            <w:r>
              <w:rPr>
                <w:webHidden/>
                <w:rStyle w:val="IndexLink"/>
                <w:rtl w:val="true"/>
              </w:rPr>
              <w:t>الإخلال بما يعتبر في الصَّلاة</w:t>
            </w:r>
            <w:r>
              <w:rPr>
                <w:rStyle w:val="IndexLink"/>
                <w:rtl w:val="true"/>
              </w:rPr>
              <w:tab/>
            </w:r>
            <w:r>
              <w:rPr>
                <w:rStyle w:val="IndexLink"/>
              </w:rPr>
              <w:t>418</w:t>
            </w:r>
          </w:hyperlink>
        </w:p>
        <w:p>
          <w:pPr>
            <w:pStyle w:val="Contents6"/>
            <w:tabs>
              <w:tab w:val="clear" w:pos="7609"/>
              <w:tab w:val="right" w:pos="9026" w:leader="dot"/>
            </w:tabs>
            <w:rPr/>
          </w:pPr>
          <w:hyperlink w:anchor="__RefHeading___Toc10507142_73709187">
            <w:r>
              <w:rPr>
                <w:webHidden/>
                <w:rStyle w:val="IndexLink"/>
                <w:rtl w:val="true"/>
              </w:rPr>
              <w:t>في بيان موارد ثبوت وجوب القضاء، وموارد ثبوت عدمه</w:t>
            </w:r>
            <w:r>
              <w:rPr>
                <w:rStyle w:val="IndexLink"/>
                <w:rtl w:val="true"/>
              </w:rPr>
              <w:tab/>
            </w:r>
            <w:r>
              <w:rPr>
                <w:rStyle w:val="IndexLink"/>
              </w:rPr>
              <w:t>420</w:t>
            </w:r>
          </w:hyperlink>
        </w:p>
        <w:p>
          <w:pPr>
            <w:pStyle w:val="Contents6"/>
            <w:tabs>
              <w:tab w:val="clear" w:pos="7609"/>
              <w:tab w:val="right" w:pos="9026" w:leader="dot"/>
            </w:tabs>
            <w:rPr/>
          </w:pPr>
          <w:hyperlink w:anchor="__RefHeading___Toc10507144_73709187">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10507146_73709187">
            <w:r>
              <w:rPr>
                <w:webHidden/>
                <w:rStyle w:val="IndexLink"/>
                <w:rtl w:val="true"/>
              </w:rPr>
              <w:t>موارد ثبوت وجوب القضاء بدليل خاص</w:t>
            </w:r>
            <w:r>
              <w:rPr>
                <w:rStyle w:val="IndexLink"/>
                <w:rtl w:val="true"/>
              </w:rPr>
              <w:tab/>
            </w:r>
            <w:r>
              <w:rPr>
                <w:rStyle w:val="IndexLink"/>
              </w:rPr>
              <w:t>420</w:t>
            </w:r>
          </w:hyperlink>
        </w:p>
        <w:p>
          <w:pPr>
            <w:pStyle w:val="Contents6"/>
            <w:tabs>
              <w:tab w:val="clear" w:pos="7609"/>
              <w:tab w:val="right" w:pos="9026" w:leader="dot"/>
            </w:tabs>
            <w:rPr/>
          </w:pPr>
          <w:hyperlink w:anchor="__RefHeading___Toc10507148_73709187">
            <w:r>
              <w:rPr>
                <w:webHidden/>
                <w:rStyle w:val="IndexLink"/>
                <w:rtl w:val="true"/>
              </w:rPr>
              <w:t>الصَّلاة التي تُركت في حال الجنون</w:t>
            </w:r>
            <w:r>
              <w:rPr>
                <w:rStyle w:val="IndexLink"/>
                <w:rtl w:val="true"/>
              </w:rPr>
              <w:tab/>
            </w:r>
            <w:r>
              <w:rPr>
                <w:rStyle w:val="IndexLink"/>
              </w:rPr>
              <w:t>423</w:t>
            </w:r>
          </w:hyperlink>
        </w:p>
        <w:p>
          <w:pPr>
            <w:pStyle w:val="Contents6"/>
            <w:tabs>
              <w:tab w:val="clear" w:pos="7609"/>
              <w:tab w:val="right" w:pos="9026" w:leader="dot"/>
            </w:tabs>
            <w:rPr/>
          </w:pPr>
          <w:hyperlink w:anchor="__RefHeading___Toc10507150_73709187">
            <w:r>
              <w:rPr>
                <w:webHidden/>
                <w:rStyle w:val="IndexLink"/>
                <w:rtl w:val="true"/>
              </w:rPr>
              <w:t>عدم وجوب القضاء على الكافر</w:t>
            </w:r>
            <w:r>
              <w:rPr>
                <w:rStyle w:val="IndexLink"/>
                <w:rtl w:val="true"/>
              </w:rPr>
              <w:tab/>
            </w:r>
            <w:r>
              <w:rPr>
                <w:rStyle w:val="IndexLink"/>
              </w:rPr>
              <w:t>430</w:t>
            </w:r>
          </w:hyperlink>
        </w:p>
        <w:p>
          <w:pPr>
            <w:pStyle w:val="Contents6"/>
            <w:tabs>
              <w:tab w:val="clear" w:pos="7609"/>
              <w:tab w:val="right" w:pos="9026" w:leader="dot"/>
            </w:tabs>
            <w:rPr/>
          </w:pPr>
          <w:hyperlink w:anchor="__RefHeading___Toc10507152_73709187">
            <w:r>
              <w:rPr>
                <w:webHidden/>
                <w:rStyle w:val="IndexLink"/>
                <w:rtl w:val="true"/>
              </w:rPr>
              <w:t>أقول</w:t>
            </w:r>
            <w:r>
              <w:rPr>
                <w:rStyle w:val="IndexLink"/>
                <w:rtl w:val="true"/>
              </w:rPr>
              <w:t xml:space="preserve">: </w:t>
            </w:r>
            <w:r>
              <w:rPr>
                <w:rStyle w:val="IndexLink"/>
                <w:rtl w:val="true"/>
              </w:rPr>
              <w:t>بقي الكلام في أمرين</w:t>
            </w:r>
            <w:r>
              <w:rPr>
                <w:rStyle w:val="IndexLink"/>
                <w:rtl w:val="true"/>
              </w:rPr>
              <w:t>:</w:t>
              <w:tab/>
            </w:r>
            <w:r>
              <w:rPr>
                <w:rStyle w:val="IndexLink"/>
              </w:rPr>
              <w:t>432</w:t>
            </w:r>
          </w:hyperlink>
        </w:p>
        <w:p>
          <w:pPr>
            <w:pStyle w:val="Contents6"/>
            <w:tabs>
              <w:tab w:val="clear" w:pos="7609"/>
              <w:tab w:val="right" w:pos="9026" w:leader="dot"/>
            </w:tabs>
            <w:rPr/>
          </w:pPr>
          <w:hyperlink w:anchor="__RefHeading___Toc10507154_73709187">
            <w:r>
              <w:rPr>
                <w:webHidden/>
                <w:rStyle w:val="IndexLink"/>
                <w:rtl w:val="true"/>
              </w:rPr>
              <w:t>هل يجب على المرتدّ قضاء ما فات منه حال رِدّته</w:t>
            </w:r>
            <w:r>
              <w:rPr>
                <w:rStyle w:val="IndexLink"/>
                <w:rtl w:val="true"/>
              </w:rPr>
              <w:tab/>
            </w:r>
            <w:r>
              <w:rPr>
                <w:rStyle w:val="IndexLink"/>
              </w:rPr>
              <w:t>432</w:t>
            </w:r>
          </w:hyperlink>
        </w:p>
        <w:p>
          <w:pPr>
            <w:pStyle w:val="Contents6"/>
            <w:tabs>
              <w:tab w:val="clear" w:pos="7609"/>
              <w:tab w:val="right" w:pos="9026" w:leader="dot"/>
            </w:tabs>
            <w:rPr/>
          </w:pPr>
          <w:hyperlink w:anchor="__RefHeading___Toc10507156_73709187">
            <w:r>
              <w:rPr>
                <w:webHidden/>
                <w:rStyle w:val="IndexLink"/>
                <w:rtl w:val="true"/>
              </w:rPr>
              <w:t>قضاء الصَّلاة على المخالف</w:t>
            </w:r>
            <w:r>
              <w:rPr>
                <w:rStyle w:val="IndexLink"/>
                <w:rtl w:val="true"/>
              </w:rPr>
              <w:tab/>
            </w:r>
            <w:r>
              <w:rPr>
                <w:rStyle w:val="IndexLink"/>
              </w:rPr>
              <w:t>433</w:t>
            </w:r>
          </w:hyperlink>
        </w:p>
        <w:p>
          <w:pPr>
            <w:pStyle w:val="Contents6"/>
            <w:tabs>
              <w:tab w:val="clear" w:pos="7609"/>
              <w:tab w:val="right" w:pos="9026" w:leader="dot"/>
            </w:tabs>
            <w:rPr/>
          </w:pPr>
          <w:hyperlink w:anchor="__RefHeading___Toc10507158_73709187">
            <w:r>
              <w:rPr>
                <w:webHidden/>
                <w:rStyle w:val="IndexLink"/>
                <w:rtl w:val="true"/>
              </w:rPr>
              <w:t>المواسعة والمضايقة</w:t>
            </w:r>
            <w:r>
              <w:rPr>
                <w:rStyle w:val="IndexLink"/>
                <w:rtl w:val="true"/>
              </w:rPr>
              <w:tab/>
            </w:r>
            <w:r>
              <w:rPr>
                <w:rStyle w:val="IndexLink"/>
              </w:rPr>
              <w:t>437</w:t>
            </w:r>
          </w:hyperlink>
        </w:p>
        <w:p>
          <w:pPr>
            <w:pStyle w:val="Contents6"/>
            <w:tabs>
              <w:tab w:val="clear" w:pos="7609"/>
              <w:tab w:val="right" w:pos="9026" w:leader="dot"/>
            </w:tabs>
            <w:rPr/>
          </w:pPr>
          <w:hyperlink w:anchor="__RefHeading___Toc10507160_73709187">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10507162_73709187">
            <w:r>
              <w:rPr>
                <w:webHidden/>
                <w:rStyle w:val="IndexLink"/>
                <w:rtl w:val="true"/>
              </w:rPr>
              <w:t>عدم وجوب تقديم الفائتة على الحاضرة</w:t>
            </w:r>
            <w:r>
              <w:rPr>
                <w:rStyle w:val="IndexLink"/>
                <w:rtl w:val="true"/>
              </w:rPr>
              <w:tab/>
            </w:r>
            <w:r>
              <w:rPr>
                <w:rStyle w:val="IndexLink"/>
              </w:rPr>
              <w:t>449</w:t>
            </w:r>
          </w:hyperlink>
        </w:p>
        <w:p>
          <w:pPr>
            <w:pStyle w:val="Contents6"/>
            <w:tabs>
              <w:tab w:val="clear" w:pos="7609"/>
              <w:tab w:val="right" w:pos="9026" w:leader="dot"/>
            </w:tabs>
            <w:rPr/>
          </w:pPr>
          <w:hyperlink w:anchor="__RefHeading___Toc10507164_73709187">
            <w:r>
              <w:rPr>
                <w:webHidden/>
                <w:rStyle w:val="IndexLink"/>
                <w:rtl w:val="true"/>
              </w:rPr>
              <w:t>أدلّة اعتبار الترتيب</w:t>
            </w:r>
            <w:r>
              <w:rPr>
                <w:rStyle w:val="IndexLink"/>
                <w:rtl w:val="true"/>
              </w:rPr>
              <w:tab/>
            </w:r>
            <w:r>
              <w:rPr>
                <w:rStyle w:val="IndexLink"/>
              </w:rPr>
              <w:t>451</w:t>
            </w:r>
          </w:hyperlink>
        </w:p>
        <w:p>
          <w:pPr>
            <w:pStyle w:val="Contents6"/>
            <w:tabs>
              <w:tab w:val="clear" w:pos="7609"/>
              <w:tab w:val="right" w:pos="9026" w:leader="dot"/>
            </w:tabs>
            <w:rPr/>
          </w:pPr>
          <w:hyperlink w:anchor="__RefHeading___Toc10507166_73709187">
            <w:r>
              <w:rPr>
                <w:webHidden/>
                <w:rStyle w:val="IndexLink"/>
                <w:rtl w:val="true"/>
              </w:rPr>
              <w:t>الترتيب في قضاء الفوائت</w:t>
            </w:r>
            <w:r>
              <w:rPr>
                <w:rStyle w:val="IndexLink"/>
                <w:rtl w:val="true"/>
              </w:rPr>
              <w:tab/>
            </w:r>
            <w:r>
              <w:rPr>
                <w:rStyle w:val="IndexLink"/>
              </w:rPr>
              <w:t>462</w:t>
            </w:r>
          </w:hyperlink>
        </w:p>
        <w:p>
          <w:pPr>
            <w:pStyle w:val="Contents6"/>
            <w:tabs>
              <w:tab w:val="clear" w:pos="7609"/>
              <w:tab w:val="right" w:pos="9026" w:leader="dot"/>
            </w:tabs>
            <w:rPr/>
          </w:pPr>
          <w:hyperlink w:anchor="__RefHeading___Toc10507168_73709187">
            <w:r>
              <w:rPr>
                <w:webHidden/>
                <w:rStyle w:val="IndexLink"/>
                <w:rtl w:val="true"/>
              </w:rPr>
              <w:t>عدم اعتبار الترتيب في الفوائت إذا جهل الترتيب</w:t>
            </w:r>
            <w:r>
              <w:rPr>
                <w:rStyle w:val="IndexLink"/>
                <w:rtl w:val="true"/>
              </w:rPr>
              <w:tab/>
            </w:r>
            <w:r>
              <w:rPr>
                <w:rStyle w:val="IndexLink"/>
              </w:rPr>
              <w:t>466</w:t>
            </w:r>
          </w:hyperlink>
        </w:p>
        <w:p>
          <w:pPr>
            <w:pStyle w:val="Contents6"/>
            <w:tabs>
              <w:tab w:val="clear" w:pos="7609"/>
              <w:tab w:val="right" w:pos="9026" w:leader="dot"/>
            </w:tabs>
            <w:rPr/>
          </w:pPr>
          <w:hyperlink w:anchor="__RefHeading___Toc10507170_73709187">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10507172_73709187">
            <w:r>
              <w:rPr>
                <w:webHidden/>
                <w:rStyle w:val="IndexLink"/>
                <w:rtl w:val="true"/>
              </w:rPr>
              <w:t>فروع قضاء الفوائت</w:t>
            </w:r>
            <w:r>
              <w:rPr>
                <w:rStyle w:val="IndexLink"/>
                <w:rtl w:val="true"/>
              </w:rPr>
              <w:tab/>
            </w:r>
            <w:r>
              <w:rPr>
                <w:rStyle w:val="IndexLink"/>
              </w:rPr>
              <w:t>468</w:t>
            </w:r>
          </w:hyperlink>
        </w:p>
        <w:p>
          <w:pPr>
            <w:pStyle w:val="Contents6"/>
            <w:tabs>
              <w:tab w:val="clear" w:pos="7609"/>
              <w:tab w:val="right" w:pos="9026" w:leader="dot"/>
            </w:tabs>
            <w:rPr/>
          </w:pPr>
          <w:hyperlink w:anchor="__RefHeading___Toc10507174_73709187">
            <w:r>
              <w:rPr>
                <w:webHidden/>
                <w:rStyle w:val="IndexLink"/>
                <w:rtl w:val="true"/>
              </w:rPr>
              <w:t>حكم عدم العلم بعدد ركعات الفريضة الفائتة</w:t>
            </w:r>
            <w:r>
              <w:rPr>
                <w:rStyle w:val="IndexLink"/>
                <w:rtl w:val="true"/>
              </w:rPr>
              <w:tab/>
            </w:r>
            <w:r>
              <w:rPr>
                <w:rStyle w:val="IndexLink"/>
              </w:rPr>
              <w:t>470</w:t>
            </w:r>
          </w:hyperlink>
        </w:p>
        <w:p>
          <w:pPr>
            <w:pStyle w:val="Contents6"/>
            <w:tabs>
              <w:tab w:val="clear" w:pos="7609"/>
              <w:tab w:val="right" w:pos="9026" w:leader="dot"/>
            </w:tabs>
            <w:rPr/>
          </w:pPr>
          <w:hyperlink w:anchor="__RefHeading___Toc10507176_73709187">
            <w:r>
              <w:rPr>
                <w:webHidden/>
                <w:rStyle w:val="IndexLink"/>
                <w:rtl w:val="true"/>
              </w:rPr>
              <w:t>كيفيّة قضاء الفوائت في الحضر والسّفر</w:t>
            </w:r>
            <w:r>
              <w:rPr>
                <w:rStyle w:val="IndexLink"/>
                <w:rtl w:val="true"/>
              </w:rPr>
              <w:tab/>
            </w:r>
            <w:r>
              <w:rPr>
                <w:rStyle w:val="IndexLink"/>
              </w:rPr>
              <w:t>471</w:t>
            </w:r>
          </w:hyperlink>
        </w:p>
        <w:p>
          <w:pPr>
            <w:pStyle w:val="Contents6"/>
            <w:tabs>
              <w:tab w:val="clear" w:pos="7609"/>
              <w:tab w:val="right" w:pos="9026" w:leader="dot"/>
            </w:tabs>
            <w:rPr/>
          </w:pPr>
          <w:hyperlink w:anchor="__RefHeading___Toc10507178_73709187">
            <w:r>
              <w:rPr>
                <w:webHidden/>
                <w:rStyle w:val="IndexLink"/>
                <w:rtl w:val="true"/>
              </w:rPr>
              <w:t>يُستحبّ قضاء النوافل المُرتبة</w:t>
            </w:r>
            <w:r>
              <w:rPr>
                <w:rStyle w:val="IndexLink"/>
                <w:rtl w:val="true"/>
              </w:rPr>
              <w:tab/>
            </w:r>
            <w:r>
              <w:rPr>
                <w:rStyle w:val="IndexLink"/>
              </w:rPr>
              <w:t>479</w:t>
            </w:r>
          </w:hyperlink>
        </w:p>
        <w:p>
          <w:pPr>
            <w:pStyle w:val="Contents3"/>
            <w:tabs>
              <w:tab w:val="clear" w:pos="8459"/>
              <w:tab w:val="right" w:pos="9026" w:leader="dot"/>
            </w:tabs>
            <w:rPr/>
          </w:pPr>
          <w:hyperlink w:anchor="__RefHeading___Toc10507180_73709187">
            <w:r>
              <w:rPr>
                <w:webHidden/>
                <w:rStyle w:val="IndexLink"/>
                <w:rtl w:val="true"/>
              </w:rPr>
              <w:t>الباب السادس</w:t>
            </w:r>
            <w:r>
              <w:rPr>
                <w:rStyle w:val="IndexLink"/>
                <w:rtl w:val="true"/>
              </w:rPr>
              <w:t xml:space="preserve">: </w:t>
            </w:r>
            <w:r>
              <w:rPr>
                <w:rStyle w:val="IndexLink"/>
                <w:rtl w:val="true"/>
              </w:rPr>
              <w:t>في صلاة الجماعة</w:t>
            </w:r>
            <w:r>
              <w:rPr>
                <w:rStyle w:val="IndexLink"/>
                <w:rtl w:val="true"/>
              </w:rPr>
              <w:tab/>
            </w:r>
            <w:r>
              <w:rPr>
                <w:rStyle w:val="IndexLink"/>
              </w:rPr>
              <w:t>480</w:t>
            </w:r>
          </w:hyperlink>
        </w:p>
        <w:p>
          <w:pPr>
            <w:pStyle w:val="Contents4"/>
            <w:tabs>
              <w:tab w:val="clear" w:pos="8176"/>
              <w:tab w:val="right" w:pos="9026" w:leader="dot"/>
            </w:tabs>
            <w:rPr/>
          </w:pPr>
          <w:hyperlink w:anchor="__RefHeading___Toc10507182_73709187">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10507184_73709187">
            <w:r>
              <w:rPr>
                <w:webHidden/>
                <w:rStyle w:val="IndexLink"/>
                <w:rtl w:val="true"/>
              </w:rPr>
              <w:t>لا دليل على مشروعيّتها في مطلق الفرائض</w:t>
            </w:r>
            <w:r>
              <w:rPr>
                <w:rStyle w:val="IndexLink"/>
                <w:rtl w:val="true"/>
              </w:rPr>
              <w:tab/>
            </w:r>
            <w:r>
              <w:rPr>
                <w:rStyle w:val="IndexLink"/>
              </w:rPr>
              <w:t>482</w:t>
            </w:r>
          </w:hyperlink>
        </w:p>
        <w:p>
          <w:pPr>
            <w:pStyle w:val="Contents4"/>
            <w:tabs>
              <w:tab w:val="clear" w:pos="8176"/>
              <w:tab w:val="right" w:pos="9026" w:leader="dot"/>
            </w:tabs>
            <w:rPr/>
          </w:pPr>
          <w:hyperlink w:anchor="__RefHeading___Toc10507186_73709187">
            <w:r>
              <w:rPr>
                <w:webHidden/>
                <w:rStyle w:val="IndexLink"/>
                <w:rtl w:val="true"/>
              </w:rPr>
              <w:t>الجماعة الواجبة بالعَرَض</w:t>
            </w:r>
            <w:r>
              <w:rPr>
                <w:rStyle w:val="IndexLink"/>
                <w:rtl w:val="true"/>
              </w:rPr>
              <w:tab/>
            </w:r>
            <w:r>
              <w:rPr>
                <w:rStyle w:val="IndexLink"/>
              </w:rPr>
              <w:t>488</w:t>
            </w:r>
          </w:hyperlink>
        </w:p>
        <w:p>
          <w:pPr>
            <w:pStyle w:val="Contents5"/>
            <w:tabs>
              <w:tab w:val="clear" w:pos="7892"/>
              <w:tab w:val="right" w:pos="9026" w:leader="dot"/>
            </w:tabs>
            <w:rPr/>
          </w:pPr>
          <w:hyperlink w:anchor="__RefHeading___Toc10507188_7370918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0507190_73709187">
            <w:r>
              <w:rPr>
                <w:webHidden/>
                <w:rStyle w:val="IndexLink"/>
                <w:rtl w:val="true"/>
              </w:rPr>
              <w:t>الجماعة المنذورة</w:t>
            </w:r>
            <w:r>
              <w:rPr>
                <w:rStyle w:val="IndexLink"/>
                <w:rtl w:val="true"/>
              </w:rPr>
              <w:tab/>
            </w:r>
            <w:r>
              <w:rPr>
                <w:rStyle w:val="IndexLink"/>
              </w:rPr>
              <w:t>490</w:t>
            </w:r>
          </w:hyperlink>
        </w:p>
        <w:p>
          <w:pPr>
            <w:pStyle w:val="Contents4"/>
            <w:tabs>
              <w:tab w:val="clear" w:pos="8176"/>
              <w:tab w:val="right" w:pos="9026" w:leader="dot"/>
            </w:tabs>
            <w:rPr/>
          </w:pPr>
          <w:hyperlink w:anchor="__RefHeading___Toc10507192_73709187">
            <w:r>
              <w:rPr>
                <w:webHidden/>
                <w:rStyle w:val="IndexLink"/>
                <w:rtl w:val="true"/>
              </w:rPr>
              <w:t>عدم مشروعيّة الجماعة في النافلة</w:t>
            </w:r>
            <w:r>
              <w:rPr>
                <w:rStyle w:val="IndexLink"/>
                <w:rtl w:val="true"/>
              </w:rPr>
              <w:tab/>
            </w:r>
            <w:r>
              <w:rPr>
                <w:rStyle w:val="IndexLink"/>
              </w:rPr>
              <w:t>493</w:t>
            </w:r>
          </w:hyperlink>
        </w:p>
        <w:p>
          <w:pPr>
            <w:pStyle w:val="Contents4"/>
            <w:tabs>
              <w:tab w:val="clear" w:pos="8176"/>
              <w:tab w:val="right" w:pos="9026" w:leader="dot"/>
            </w:tabs>
            <w:rPr/>
          </w:pPr>
          <w:hyperlink w:anchor="__RefHeading___Toc10507194_73709187">
            <w:r>
              <w:rPr>
                <w:webHidden/>
                <w:rStyle w:val="IndexLink"/>
                <w:rtl w:val="true"/>
              </w:rPr>
              <w:t>الجماعة في صلاة الغدير</w:t>
            </w:r>
            <w:r>
              <w:rPr>
                <w:rStyle w:val="IndexLink"/>
                <w:rtl w:val="true"/>
              </w:rPr>
              <w:tab/>
            </w:r>
            <w:r>
              <w:rPr>
                <w:rStyle w:val="IndexLink"/>
              </w:rPr>
              <w:t>496</w:t>
            </w:r>
          </w:hyperlink>
        </w:p>
        <w:p>
          <w:pPr>
            <w:pStyle w:val="Contents4"/>
            <w:tabs>
              <w:tab w:val="clear" w:pos="8176"/>
              <w:tab w:val="right" w:pos="9026" w:leader="dot"/>
            </w:tabs>
            <w:rPr/>
          </w:pPr>
          <w:hyperlink w:anchor="__RefHeading___Toc10507196_73709187">
            <w:r>
              <w:rPr>
                <w:webHidden/>
                <w:rStyle w:val="IndexLink"/>
                <w:rtl w:val="true"/>
              </w:rPr>
              <w:t>ضابط ما يصحّ الإئتمام فيه من الصَّلوات وما لا يصحّ‌</w:t>
            </w:r>
            <w:r>
              <w:rPr>
                <w:rStyle w:val="IndexLink"/>
                <w:rtl w:val="true"/>
              </w:rPr>
              <w:tab/>
            </w:r>
            <w:r>
              <w:rPr>
                <w:rStyle w:val="IndexLink"/>
              </w:rPr>
              <w:t>500</w:t>
            </w:r>
          </w:hyperlink>
        </w:p>
        <w:p>
          <w:pPr>
            <w:pStyle w:val="Contents4"/>
            <w:tabs>
              <w:tab w:val="clear" w:pos="8176"/>
              <w:tab w:val="right" w:pos="9026" w:leader="dot"/>
            </w:tabs>
            <w:rPr/>
          </w:pPr>
          <w:hyperlink w:anchor="__RefHeading___Toc10507198_73709187">
            <w:r>
              <w:rPr>
                <w:webHidden/>
                <w:rStyle w:val="IndexLink"/>
                <w:rtl w:val="true"/>
              </w:rPr>
              <w:t>فيما تنعقد به الجماعة</w:t>
            </w:r>
            <w:r>
              <w:rPr>
                <w:rStyle w:val="IndexLink"/>
                <w:rtl w:val="true"/>
              </w:rPr>
              <w:tab/>
            </w:r>
            <w:r>
              <w:rPr>
                <w:rStyle w:val="IndexLink"/>
              </w:rPr>
              <w:t>506</w:t>
            </w:r>
          </w:hyperlink>
        </w:p>
        <w:p>
          <w:pPr>
            <w:pStyle w:val="Contents4"/>
            <w:tabs>
              <w:tab w:val="clear" w:pos="8176"/>
              <w:tab w:val="right" w:pos="9026" w:leader="dot"/>
            </w:tabs>
            <w:rPr/>
          </w:pPr>
          <w:hyperlink w:anchor="__RefHeading___Toc10507200_73709187">
            <w:r>
              <w:rPr>
                <w:webHidden/>
                <w:rStyle w:val="IndexLink"/>
                <w:rtl w:val="true"/>
              </w:rPr>
              <w:t>حكم الشكّ في شرائط الجماعة</w:t>
            </w:r>
            <w:r>
              <w:rPr>
                <w:rStyle w:val="IndexLink"/>
                <w:rtl w:val="true"/>
              </w:rPr>
              <w:tab/>
            </w:r>
            <w:r>
              <w:rPr>
                <w:rStyle w:val="IndexLink"/>
              </w:rPr>
              <w:t>508</w:t>
            </w:r>
          </w:hyperlink>
        </w:p>
        <w:p>
          <w:pPr>
            <w:pStyle w:val="Contents4"/>
            <w:tabs>
              <w:tab w:val="clear" w:pos="8176"/>
              <w:tab w:val="right" w:pos="9026" w:leader="dot"/>
            </w:tabs>
            <w:rPr/>
          </w:pPr>
          <w:hyperlink w:anchor="__RefHeading___Toc10507202_73709187">
            <w:r>
              <w:rPr>
                <w:webHidden/>
                <w:rStyle w:val="IndexLink"/>
                <w:rtl w:val="true"/>
              </w:rPr>
              <w:t>شروط صلاة الجماعة</w:t>
            </w:r>
            <w:r>
              <w:rPr>
                <w:rStyle w:val="IndexLink"/>
                <w:rtl w:val="true"/>
              </w:rPr>
              <w:tab/>
            </w:r>
            <w:r>
              <w:rPr>
                <w:rStyle w:val="IndexLink"/>
              </w:rPr>
              <w:t>513</w:t>
            </w:r>
          </w:hyperlink>
        </w:p>
        <w:p>
          <w:pPr>
            <w:pStyle w:val="Contents5"/>
            <w:tabs>
              <w:tab w:val="clear" w:pos="7892"/>
              <w:tab w:val="right" w:pos="9026" w:leader="dot"/>
            </w:tabs>
            <w:rPr/>
          </w:pPr>
          <w:hyperlink w:anchor="__RefHeading___Toc10507204_73709187">
            <w:r>
              <w:rPr>
                <w:webHidden/>
                <w:rStyle w:val="IndexLink"/>
                <w:rtl w:val="true"/>
              </w:rPr>
              <w:t>اعتبار نيّة الجماعة</w:t>
            </w:r>
            <w:r>
              <w:rPr>
                <w:rStyle w:val="IndexLink"/>
                <w:rtl w:val="true"/>
              </w:rPr>
              <w:tab/>
            </w:r>
            <w:r>
              <w:rPr>
                <w:rStyle w:val="IndexLink"/>
              </w:rPr>
              <w:t>513</w:t>
            </w:r>
          </w:hyperlink>
        </w:p>
        <w:p>
          <w:pPr>
            <w:pStyle w:val="Contents6"/>
            <w:tabs>
              <w:tab w:val="clear" w:pos="7609"/>
              <w:tab w:val="right" w:pos="9026" w:leader="dot"/>
            </w:tabs>
            <w:rPr/>
          </w:pPr>
          <w:hyperlink w:anchor="__RefHeading___Toc10507206_73709187">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10507208_73709187">
            <w:r>
              <w:rPr>
                <w:webHidden/>
                <w:rStyle w:val="IndexLink"/>
                <w:rtl w:val="true"/>
              </w:rPr>
              <w:t>فروع</w:t>
            </w:r>
            <w:r>
              <w:rPr>
                <w:rStyle w:val="IndexLink"/>
                <w:rtl w:val="true"/>
              </w:rPr>
              <w:t>:</w:t>
              <w:tab/>
            </w:r>
            <w:r>
              <w:rPr>
                <w:rStyle w:val="IndexLink"/>
              </w:rPr>
              <w:t>518</w:t>
            </w:r>
          </w:hyperlink>
        </w:p>
        <w:p>
          <w:pPr>
            <w:pStyle w:val="Contents6"/>
            <w:tabs>
              <w:tab w:val="clear" w:pos="7609"/>
              <w:tab w:val="right" w:pos="9026" w:leader="dot"/>
            </w:tabs>
            <w:rPr/>
          </w:pPr>
          <w:hyperlink w:anchor="__RefHeading___Toc10507210_73709187">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10507212_73709187">
            <w:r>
              <w:rPr>
                <w:webHidden/>
                <w:rStyle w:val="IndexLink"/>
                <w:rtl w:val="true"/>
              </w:rPr>
              <w:t>يجبُ وحدة الإمام إجماعاً</w:t>
            </w:r>
            <w:r>
              <w:rPr>
                <w:rStyle w:val="IndexLink"/>
                <w:rtl w:val="true"/>
              </w:rPr>
              <w:tab/>
            </w:r>
            <w:r>
              <w:rPr>
                <w:rStyle w:val="IndexLink"/>
              </w:rPr>
              <w:t>518</w:t>
            </w:r>
          </w:hyperlink>
        </w:p>
        <w:p>
          <w:pPr>
            <w:pStyle w:val="Contents6"/>
            <w:tabs>
              <w:tab w:val="clear" w:pos="7609"/>
              <w:tab w:val="right" w:pos="9026" w:leader="dot"/>
            </w:tabs>
            <w:rPr/>
          </w:pPr>
          <w:hyperlink w:anchor="__RefHeading___Toc10507214_73709187">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10507216_73709187">
            <w:r>
              <w:rPr>
                <w:webHidden/>
                <w:rStyle w:val="IndexLink"/>
                <w:rtl w:val="true"/>
              </w:rPr>
              <w:t>الجماعة من الكيفيّات الطارئة لا من القيود المنوِّعة</w:t>
            </w:r>
            <w:r>
              <w:rPr>
                <w:rStyle w:val="IndexLink"/>
                <w:rtl w:val="true"/>
              </w:rPr>
              <w:tab/>
            </w:r>
            <w:r>
              <w:rPr>
                <w:rStyle w:val="IndexLink"/>
              </w:rPr>
              <w:t>519</w:t>
            </w:r>
          </w:hyperlink>
        </w:p>
        <w:p>
          <w:pPr>
            <w:pStyle w:val="Contents6"/>
            <w:tabs>
              <w:tab w:val="clear" w:pos="7609"/>
              <w:tab w:val="right" w:pos="9026" w:leader="dot"/>
            </w:tabs>
            <w:rPr/>
          </w:pPr>
          <w:hyperlink w:anchor="__RefHeading___Toc10507218_73709187">
            <w:r>
              <w:rPr>
                <w:webHidden/>
                <w:rStyle w:val="IndexLink"/>
                <w:rtl w:val="true"/>
              </w:rPr>
              <w:t>بطلان الجماعة لا يوجب بطلان الصَّلاة</w:t>
            </w:r>
            <w:r>
              <w:rPr>
                <w:rStyle w:val="IndexLink"/>
                <w:rtl w:val="true"/>
              </w:rPr>
              <w:tab/>
            </w:r>
            <w:r>
              <w:rPr>
                <w:rStyle w:val="IndexLink"/>
              </w:rPr>
              <w:t>521</w:t>
            </w:r>
          </w:hyperlink>
        </w:p>
        <w:p>
          <w:pPr>
            <w:pStyle w:val="Contents6"/>
            <w:tabs>
              <w:tab w:val="clear" w:pos="7609"/>
              <w:tab w:val="right" w:pos="9026" w:leader="dot"/>
            </w:tabs>
            <w:rPr/>
          </w:pPr>
          <w:hyperlink w:anchor="__RefHeading___Toc10507220_73709187">
            <w:r>
              <w:rPr>
                <w:webHidden/>
                <w:rStyle w:val="IndexLink"/>
                <w:rtl w:val="true"/>
              </w:rPr>
              <w:t>الشكّ في نيّة الإتمام</w:t>
            </w:r>
            <w:r>
              <w:rPr>
                <w:rStyle w:val="IndexLink"/>
                <w:rtl w:val="true"/>
              </w:rPr>
              <w:tab/>
            </w:r>
            <w:r>
              <w:rPr>
                <w:rStyle w:val="IndexLink"/>
              </w:rPr>
              <w:t>524</w:t>
            </w:r>
          </w:hyperlink>
        </w:p>
        <w:p>
          <w:pPr>
            <w:pStyle w:val="Contents6"/>
            <w:tabs>
              <w:tab w:val="clear" w:pos="7609"/>
              <w:tab w:val="right" w:pos="9026" w:leader="dot"/>
            </w:tabs>
            <w:rPr/>
          </w:pPr>
          <w:hyperlink w:anchor="__RefHeading___Toc10507222_73709187">
            <w:r>
              <w:rPr>
                <w:webHidden/>
                <w:rStyle w:val="IndexLink"/>
                <w:rtl w:val="true"/>
              </w:rPr>
              <w:t>إذا نوى الإقتداء بشخصٍ فبانَ غيره</w:t>
            </w:r>
            <w:r>
              <w:rPr>
                <w:rStyle w:val="IndexLink"/>
                <w:rtl w:val="true"/>
              </w:rPr>
              <w:tab/>
            </w:r>
            <w:r>
              <w:rPr>
                <w:rStyle w:val="IndexLink"/>
              </w:rPr>
              <w:t>528</w:t>
            </w:r>
          </w:hyperlink>
        </w:p>
        <w:p>
          <w:pPr>
            <w:pStyle w:val="Contents6"/>
            <w:tabs>
              <w:tab w:val="clear" w:pos="7609"/>
              <w:tab w:val="right" w:pos="9026" w:leader="dot"/>
            </w:tabs>
            <w:rPr/>
          </w:pPr>
          <w:hyperlink w:anchor="__RefHeading___Toc10507224_73709187">
            <w:r>
              <w:rPr>
                <w:webHidden/>
                <w:rStyle w:val="IndexLink"/>
                <w:rtl w:val="true"/>
              </w:rPr>
              <w:t>حكم التداعي في الإمامة والمأموميّة</w:t>
            </w:r>
            <w:r>
              <w:rPr>
                <w:rStyle w:val="IndexLink"/>
                <w:rtl w:val="true"/>
              </w:rPr>
              <w:tab/>
            </w:r>
            <w:r>
              <w:rPr>
                <w:rStyle w:val="IndexLink"/>
              </w:rPr>
              <w:t>533</w:t>
            </w:r>
          </w:hyperlink>
        </w:p>
        <w:p>
          <w:pPr>
            <w:pStyle w:val="Contents6"/>
            <w:tabs>
              <w:tab w:val="clear" w:pos="7609"/>
              <w:tab w:val="right" w:pos="9026" w:leader="dot"/>
            </w:tabs>
            <w:rPr/>
          </w:pPr>
          <w:hyperlink w:anchor="__RefHeading___Toc10507226_73709187">
            <w:r>
              <w:rPr>
                <w:webHidden/>
                <w:rStyle w:val="IndexLink"/>
                <w:rtl w:val="true"/>
              </w:rPr>
              <w:t>نقل النيّة من إمام إلى إمام آخر</w:t>
            </w:r>
            <w:r>
              <w:rPr>
                <w:rStyle w:val="IndexLink"/>
                <w:rtl w:val="true"/>
              </w:rPr>
              <w:tab/>
            </w:r>
            <w:r>
              <w:rPr>
                <w:rStyle w:val="IndexLink"/>
              </w:rPr>
              <w:t>536</w:t>
            </w:r>
          </w:hyperlink>
        </w:p>
        <w:p>
          <w:pPr>
            <w:pStyle w:val="Contents6"/>
            <w:tabs>
              <w:tab w:val="clear" w:pos="7609"/>
              <w:tab w:val="right" w:pos="9026" w:leader="dot"/>
            </w:tabs>
            <w:rPr/>
          </w:pPr>
          <w:hyperlink w:anchor="__RefHeading___Toc10507228_73709187">
            <w:r>
              <w:rPr>
                <w:webHidden/>
                <w:rStyle w:val="IndexLink"/>
                <w:rtl w:val="true"/>
              </w:rPr>
              <w:t>الدخول في الجماعة في الأثناء</w:t>
            </w:r>
            <w:r>
              <w:rPr>
                <w:rStyle w:val="IndexLink"/>
                <w:rtl w:val="true"/>
              </w:rPr>
              <w:tab/>
            </w:r>
            <w:r>
              <w:rPr>
                <w:rStyle w:val="IndexLink"/>
              </w:rPr>
              <w:t>537</w:t>
            </w:r>
          </w:hyperlink>
        </w:p>
        <w:p>
          <w:pPr>
            <w:pStyle w:val="Contents6"/>
            <w:tabs>
              <w:tab w:val="clear" w:pos="7609"/>
              <w:tab w:val="right" w:pos="9026" w:leader="dot"/>
            </w:tabs>
            <w:rPr/>
          </w:pPr>
          <w:hyperlink w:anchor="__RefHeading___Toc10507230_73709187">
            <w:r>
              <w:rPr>
                <w:webHidden/>
                <w:rStyle w:val="IndexLink"/>
                <w:rtl w:val="true"/>
              </w:rPr>
              <w:t>العدول من الائتمام إلى الانفراد</w:t>
            </w:r>
            <w:r>
              <w:rPr>
                <w:rStyle w:val="IndexLink"/>
                <w:rtl w:val="true"/>
              </w:rPr>
              <w:tab/>
            </w:r>
            <w:r>
              <w:rPr>
                <w:rStyle w:val="IndexLink"/>
              </w:rPr>
              <w:t>539</w:t>
            </w:r>
          </w:hyperlink>
        </w:p>
        <w:p>
          <w:pPr>
            <w:pStyle w:val="Contents2"/>
            <w:tabs>
              <w:tab w:val="clear" w:pos="8743"/>
              <w:tab w:val="right" w:pos="9026" w:leader="dot"/>
            </w:tabs>
            <w:rPr/>
          </w:pPr>
          <w:hyperlink w:anchor="__RefHeading___Toc10507232_73709187">
            <w:r>
              <w:rPr>
                <w:webHidden/>
                <w:rStyle w:val="IndexLink"/>
                <w:rtl w:val="true"/>
              </w:rPr>
              <w:t>فهرس الموضوعات</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1_107951"/>
      <w:bookmarkStart w:id="1" w:name="pg11801_107951"/>
      <w:bookmarkEnd w:id="1"/>
    </w:p>
    <w:p>
      <w:pPr>
        <w:pStyle w:val="Heading2"/>
        <w:numPr>
          <w:ilvl w:val="1"/>
          <w:numId w:val="1"/>
        </w:numPr>
        <w:rPr/>
      </w:pPr>
      <w:bookmarkStart w:id="2" w:name="pg11801_107951"/>
      <w:bookmarkStart w:id="3" w:name="__RefHeading___Toc1050670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06708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1_107955"/>
      <w:bookmarkStart w:id="8" w:name="pg11801_107955"/>
      <w:bookmarkEnd w:id="8"/>
    </w:p>
    <w:p>
      <w:pPr>
        <w:pStyle w:val="Heading2"/>
        <w:numPr>
          <w:ilvl w:val="1"/>
          <w:numId w:val="1"/>
        </w:numPr>
        <w:rPr/>
      </w:pPr>
      <w:bookmarkStart w:id="9" w:name="pg11801_107955"/>
      <w:bookmarkStart w:id="10" w:name="__RefHeading___Toc10506710_73709187"/>
      <w:bookmarkStart w:id="11" w:name="_Toc3"/>
      <w:bookmarkEnd w:id="9"/>
      <w:bookmarkEnd w:id="10"/>
      <w:r>
        <w:rPr>
          <w:rtl w:val="true"/>
        </w:rPr>
        <w:t>تتمة كتاب الصلاة</w:t>
      </w:r>
      <w:bookmarkEnd w:id="11"/>
    </w:p>
    <w:p>
      <w:pPr>
        <w:pStyle w:val="Heading3"/>
        <w:numPr>
          <w:ilvl w:val="2"/>
          <w:numId w:val="1"/>
        </w:numPr>
        <w:rPr/>
      </w:pPr>
      <w:bookmarkStart w:id="12" w:name="__RefHeading___Toc10506712_73709187"/>
      <w:bookmarkStart w:id="13" w:name="_Toc4"/>
      <w:bookmarkEnd w:id="12"/>
      <w:r>
        <w:rPr>
          <w:rtl w:val="true"/>
        </w:rPr>
        <w:t>الفصل الثالث</w:t>
      </w:r>
      <w:r>
        <w:rPr>
          <w:rtl w:val="true"/>
        </w:rPr>
        <w:t xml:space="preserve">: </w:t>
      </w:r>
      <w:r>
        <w:rPr>
          <w:rtl w:val="true"/>
        </w:rPr>
        <w:t>في صلاة الكسوف</w:t>
      </w:r>
      <w:r>
        <w:rPr>
          <w:rtl w:val="true"/>
        </w:rPr>
        <w:t>.</w:t>
      </w:r>
      <w:bookmarkEnd w:id="13"/>
    </w:p>
    <w:p>
      <w:pPr>
        <w:pStyle w:val="Heading3"/>
        <w:numPr>
          <w:ilvl w:val="2"/>
          <w:numId w:val="1"/>
        </w:numPr>
        <w:rPr/>
      </w:pPr>
      <w:bookmarkStart w:id="14" w:name="__RefHeading___Toc10506714_73709187"/>
      <w:bookmarkStart w:id="15" w:name="_Toc5"/>
      <w:bookmarkEnd w:id="14"/>
      <w:r>
        <w:rPr>
          <w:rtl w:val="true"/>
        </w:rPr>
        <w:t>تتمة باب الثالث في بقية الصلوات</w:t>
      </w:r>
      <w:bookmarkEnd w:id="15"/>
    </w:p>
    <w:p>
      <w:pPr>
        <w:pStyle w:val="Heading4"/>
        <w:numPr>
          <w:ilvl w:val="3"/>
          <w:numId w:val="1"/>
        </w:numPr>
        <w:rPr/>
      </w:pPr>
      <w:bookmarkStart w:id="16" w:name="__RefHeading___Toc10506716_73709187"/>
      <w:bookmarkStart w:id="17" w:name="_Toc6"/>
      <w:bookmarkEnd w:id="16"/>
      <w:r>
        <w:rPr>
          <w:rtl w:val="true"/>
        </w:rPr>
        <w:t>صلاة الآيات</w:t>
      </w:r>
      <w:bookmarkEnd w:id="17"/>
    </w:p>
    <w:p>
      <w:pPr>
        <w:pStyle w:val="Heading4"/>
        <w:numPr>
          <w:ilvl w:val="3"/>
          <w:numId w:val="1"/>
        </w:numPr>
        <w:rPr/>
      </w:pPr>
      <w:bookmarkStart w:id="18" w:name="__RefHeading___Toc10506718_73709187"/>
      <w:bookmarkStart w:id="19" w:name="_Toc7"/>
      <w:bookmarkEnd w:id="18"/>
      <w:r>
        <w:rPr>
          <w:rtl w:val="true"/>
        </w:rPr>
        <w:t>الفصل الثالث</w:t>
      </w:r>
      <w:r>
        <w:rPr>
          <w:rtl w:val="true"/>
        </w:rPr>
        <w:t xml:space="preserve">: </w:t>
      </w:r>
      <w:r>
        <w:rPr>
          <w:rtl w:val="true"/>
        </w:rPr>
        <w:t>في صلاة الكسوف</w:t>
      </w:r>
      <w:bookmarkEnd w:id="19"/>
    </w:p>
    <w:p>
      <w:pPr>
        <w:pStyle w:val="Heading5"/>
        <w:numPr>
          <w:ilvl w:val="4"/>
          <w:numId w:val="1"/>
        </w:numPr>
        <w:rPr/>
      </w:pPr>
      <w:bookmarkStart w:id="20" w:name="__RefHeading___Toc10506720_73709187"/>
      <w:bookmarkStart w:id="21" w:name="_Toc8"/>
      <w:bookmarkEnd w:id="20"/>
      <w:r>
        <w:rPr>
          <w:rtl w:val="true"/>
        </w:rPr>
        <w:t>اشارة</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وقد تُضاف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فريضة على كلّ مكلّفٍ إجماعاً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روايات كثيرة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جميل بن درّاج،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فريضة، وصلاة الكسوف فريضة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عنه أيضاً،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الكسوف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هذا الحكم بين الرِّجال والنساء، لأنّه مضافاً إليقاعدة الاشتراك، يدلّ عليه خصوص خبر عليّبن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النساء هل على من عَرف منهنّ صلاة النافلة، وصلاة اللّيل، والزوال وصلاة الكسوف، ما على الرِّجال‌؟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2" w:name="pg11801_107956"/>
    </w:p>
    <w:p>
      <w:pPr>
        <w:pStyle w:val="BookText"/>
        <w:rPr/>
      </w:pPr>
      <w:bookmarkEnd w:id="22"/>
      <w:r>
        <w:rPr>
          <w:rFonts w:ascii="Amiri" w:hAnsi="Amiri" w:eastAsia="Amiri" w:cs="Amiri"/>
          <w:color w:val="111111"/>
          <w:sz w:val="28"/>
          <w:sz w:val="28"/>
          <w:szCs w:val="28"/>
          <w:rtl w:val="true"/>
          <w:lang w:bidi="ar-SA"/>
        </w:rPr>
        <w:t>وتَجبُ عند كُسُوف الشّمس، وخُسوف القمر، والزِّلزلة،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فيقعُ الكلام في سببها وكيفيّتها ووقتها وحكمها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0506722_73709187"/>
      <w:bookmarkStart w:id="24" w:name="_Toc9"/>
      <w:bookmarkEnd w:id="23"/>
      <w:r>
        <w:rPr>
          <w:rtl w:val="true"/>
        </w:rPr>
        <w:t>سببها</w:t>
      </w:r>
      <w:bookmarkEnd w:id="24"/>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عند كسوف الشّمس، وخُسوف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انطماس نورهما كلّاً أو بعضها بأيّ سببٍ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رواياتٌ مثل خبر علي بن عبد اللّه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إبراهيم ابن رسول اللّه صلى الله عليه و آله، جرت فيه ثلاث سُنن؛ أمّا واحدة فإنّه لمّامات انكسفت الشّمس،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انكسفت الشّمس لفقد ابن رسول اللّه صلى الله عليه و آله، فصعَدَ رسول اللّه صلى الله عليه و آله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الشّمس والقمر آيتان من آيات اللّه، يجريان بأمره، مطيعان له، لا ينكسفان لموت أحدٍ ولا لحياته، فإذا انكسفتا أو واحدة منهما فصلّوا، ثمّ نزل</w:t>
      </w:r>
      <w:r>
        <w:rPr>
          <w:rStyle w:val="FootnoteAnchor"/>
          <w:rtl w:val="true"/>
        </w:rPr>
        <w:footnoteReference w:id="5"/>
      </w:r>
      <w:r>
        <w:rPr>
          <w:rFonts w:ascii="Amiri" w:hAnsi="Amiri" w:eastAsia="Amiri" w:cs="Amiri"/>
          <w:color w:val="111111"/>
          <w:sz w:val="28"/>
          <w:sz w:val="28"/>
          <w:szCs w:val="28"/>
          <w:rtl w:val="true"/>
          <w:lang w:bidi="ar-SA"/>
        </w:rPr>
        <w:t>فَصلّى بالنّاس صلاة الكسوف</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شمول الحكم لانكساف الشّمس بباقي الكواكب غير القمر، ولو كان بنحو لا يظهر إلّالبعض النّاس، فإنّه يجبُ عليه الصَّلاة وعلى غيره إن اطمئنّوا 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نقلِ خلافٍ عن أحدٍ، بل عن جماعة</w:t>
      </w:r>
      <w:r>
        <w:rPr>
          <w:rStyle w:val="FootnoteAnchor"/>
          <w:rtl w:val="true"/>
        </w:rPr>
        <w:footnoteReference w:id="7"/>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والرِّياح المخوفة، وغيرها من أخاويف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الديلمي،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الزّلزلة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فيحرّك ذلك المَلَك عروق تلك الأرض التي أمره اللّه فتحرّك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وضعف سنده منجبرُ بعمل 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تجبُ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الرِّياح المخوفة، وغيرها من أخاويف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11"/>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وزرارة،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الرِّياح والظُّلَم التي تكون، هل يُصلّي لها؟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أخاويف السّماء من ظلمةٍ أو ريح أو فزع فصلِّ له صلاة الكسوف حتّى يسكن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 w:name="pg11801_107958"/>
    </w:p>
    <w:p>
      <w:pPr>
        <w:pStyle w:val="BookText"/>
        <w:rPr/>
      </w:pPr>
      <w:bookmarkEnd w:id="25"/>
      <w:r>
        <w:rPr>
          <w:rFonts w:ascii="Amiri" w:hAnsi="Amiri" w:eastAsia="Amiri" w:cs="Amiri"/>
          <w:color w:val="111111"/>
          <w:sz w:val="28"/>
          <w:sz w:val="28"/>
          <w:szCs w:val="28"/>
          <w:rtl w:val="true"/>
          <w:lang w:bidi="ar-SA"/>
        </w:rPr>
        <w:t>وهي ركعتان، تشتمل كلّ ركعةٍ على خَمس ركوعات وسَجدتين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أنّه يُحتمل أنْ يكون السؤال سؤالاً عن المشروعيّة لا الوجوب، فلا يدلّ الجواب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السؤال لكونه بالجملة الخبريّة هو السؤال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أخاويف السّماء، المخوّفات الحادثة فوق الأرض، لا المنسوبة إلى خالق السّماء، فما يظهر منها في الأرض، كخروج النّار من الأرض لا يستفاد حكمه منها، إلّاأنّه يمكن الاستدلال لوجوب الصَّلاة عنده بمفهوم العلّة الواردة في خبر</w:t>
      </w:r>
      <w:r>
        <w:rPr>
          <w:rStyle w:val="FootnoteAnchor"/>
          <w:rtl w:val="true"/>
        </w:rPr>
        <w:footnoteReference w:id="15"/>
      </w:r>
      <w:r>
        <w:rPr>
          <w:rFonts w:ascii="Amiri" w:hAnsi="Amiri" w:eastAsia="Amiri" w:cs="Amiri"/>
          <w:color w:val="111111"/>
          <w:sz w:val="28"/>
          <w:sz w:val="28"/>
          <w:szCs w:val="28"/>
          <w:rtl w:val="true"/>
          <w:lang w:bidi="ar-SA"/>
        </w:rPr>
        <w:t>الفضل بن شاذان،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للكسوف صلاةٌ لأنّه من آيات اللّه، لا يُدرى ألرحمةٍ ظهرت أم 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في الرجفة والزّلزلة والرِّيح العظيمة والظُّلمة والآية تَحدث، وما كان مثل ذلك كما يُصلّى في صلاة كسوف الشّمس والقمر سواء</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تقييدهما بمخوف سمائي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تنافي بينهما وبين الصحيح المتقدّم، كي يقيّدان به، فليتأمل</w:t>
      </w:r>
      <w:r>
        <w:rPr>
          <w:rFonts w:eastAsia="Amiri" w:cs="Amiri" w:ascii="Amiri" w:hAnsi="Amiri"/>
          <w:color w:val="111111"/>
          <w:sz w:val="28"/>
          <w:szCs w:val="28"/>
          <w:rtl w:val="true"/>
          <w:lang w:bidi="ar-SA"/>
        </w:rPr>
        <w:t>.</w:t>
      </w:r>
    </w:p>
    <w:p>
      <w:pPr>
        <w:pStyle w:val="Heading5"/>
        <w:numPr>
          <w:ilvl w:val="4"/>
          <w:numId w:val="1"/>
        </w:numPr>
        <w:rPr/>
      </w:pPr>
      <w:bookmarkStart w:id="26" w:name="__RefHeading___Toc10506724_73709187"/>
      <w:bookmarkStart w:id="27" w:name="_Toc10"/>
      <w:bookmarkEnd w:id="26"/>
      <w:r>
        <w:rPr>
          <w:rtl w:val="true"/>
        </w:rPr>
        <w:t>كيفيّة صلاة الآيات</w:t>
      </w:r>
      <w:bookmarkEnd w:id="27"/>
    </w:p>
    <w:p>
      <w:pPr>
        <w:pStyle w:val="Heading6"/>
        <w:numPr>
          <w:ilvl w:val="5"/>
          <w:numId w:val="1"/>
        </w:numPr>
        <w:rPr/>
      </w:pPr>
      <w:bookmarkStart w:id="28" w:name="__RefHeading___Toc10506726_73709187"/>
      <w:bookmarkStart w:id="29" w:name="_Toc11"/>
      <w:bookmarkEnd w:id="28"/>
      <w:r>
        <w:rPr>
          <w:rtl w:val="true"/>
        </w:rPr>
        <w:t>اشارة</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كيفيّتها، وهي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تشتمل كلّ ركعةٍ على خمس ركوعات وسجدتين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ذلك بيننا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ويُكبِّر ويقرأ الحَمد وسورةً أو بعضها، ثمّ يركع ثمّ ينتَصِب، فإنْ كان أتمّ السّورة، قرأ الحَمد ثانياً وسورةً أو بعضها، وهكذا إلى أنْ يركع خمساً، وإنْ لم يكن أتمّها، اكتفى بتمامها عن الفاتحة، فإذا رَكع خمساً، كبّر وسجد سجدتين، ثمّ قام وصنع ثانياً كما صنع أوّلاً، وتشهّد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اعتبار عشر ركوعات، روايات سيمرُّ بعضها عليك، نعم ورد في بعض الأخبار جواز الاكتفاء بأربع ركوعات</w:t>
      </w:r>
      <w:r>
        <w:rPr>
          <w:rStyle w:val="FootnoteAnchor"/>
          <w:rtl w:val="true"/>
        </w:rPr>
        <w:footnoteReference w:id="18"/>
      </w:r>
      <w:r>
        <w:rPr>
          <w:rFonts w:ascii="Amiri" w:hAnsi="Amiri" w:eastAsia="Amiri" w:cs="Amiri"/>
          <w:color w:val="111111"/>
          <w:sz w:val="28"/>
          <w:sz w:val="28"/>
          <w:szCs w:val="28"/>
          <w:rtl w:val="true"/>
          <w:lang w:bidi="ar-SA"/>
        </w:rPr>
        <w:t>، وفي آخر بثمان</w:t>
      </w:r>
      <w:r>
        <w:rPr>
          <w:rStyle w:val="FootnoteAnchor"/>
          <w:rtl w:val="true"/>
        </w:rPr>
        <w:footnoteReference w:id="19"/>
      </w:r>
      <w:r>
        <w:rPr>
          <w:rFonts w:ascii="Amiri" w:hAnsi="Amiri" w:eastAsia="Amiri" w:cs="Amiri"/>
          <w:color w:val="111111"/>
          <w:sz w:val="28"/>
          <w:sz w:val="28"/>
          <w:szCs w:val="28"/>
          <w:rtl w:val="true"/>
          <w:lang w:bidi="ar-SA"/>
        </w:rPr>
        <w:t>، لكنّهما لإعراض الأصحاب عنهما ساقطان عن الحجيّة، فلا يصلحان لمعارضة ما يدلّ على اعتبار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بملاحظة دخول السّجدة في ماهيّة الرّكعة المصطلحة، يقال إنّها ركعتان، كما اشتهر ذلك في كلمات المتأخّرين</w:t>
      </w:r>
      <w:r>
        <w:rPr>
          <w:rStyle w:val="FootnoteAnchor"/>
          <w:rtl w:val="true"/>
        </w:rPr>
        <w:footnoteReference w:id="20"/>
      </w:r>
      <w:r>
        <w:rPr>
          <w:rFonts w:ascii="Amiri" w:hAnsi="Amiri" w:eastAsia="Amiri" w:cs="Amiri"/>
          <w:color w:val="111111"/>
          <w:sz w:val="28"/>
          <w:sz w:val="28"/>
          <w:szCs w:val="28"/>
          <w:rtl w:val="true"/>
          <w:lang w:bidi="ar-SA"/>
        </w:rPr>
        <w:t>، وورد أيضاً كذلك في بعض النصوص، فلو شُكّ في عدد ركوعاتها، كان المرجع إلى الأصل، ولا تشملها أدلّة الشكوك، بل مقتضى الأصل هو البناء على الأقلّ‌، حتّى بناءً على كونها عشر ركعات، لاختصاص أدلّة البناء على الأكثر، وأدلّة البطلان بالشكّ في الأوليين بالركعة المشتملة على السّجدة كما يستفاد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ويُكبِّر ويقرأ الحمد وسورةً أو بعضها ثمّ يركع ثمّ ينتصب، فإنْ كان أتمَّ السّورة قرأ الحمد ثانياً، وسورةً أو بعضها، وهكذا إلى أنْ يركع خمساً، وإنْ لم يكن أتمّها اكتفى بتمامها عن الفاتحة، فإذا ركع خمساً كبّر وسجد سجدتين، ثمّ قام وصنع ثانياً كما صنع أوّلاً، وتشهّد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الكيفيّتان لا خلاف ظاهراً في كونهما مُجزيتان، ويشهد لذلك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الصحيح، عن عمر بن اُذينة، عن رهطٍ، عن الإمامين الباقر والصادق عليهما السلام، ومنهم من رواه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كسوف الشّمس والقمر والرجفة والزّلزلة، عشر ركعات وأربعُ سجدات، صلّاها رسول اللّه صلى الله عليه و آله والنّاس خلفه في كسوف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فتكبّر بافتتاح الصَّلاة، ثمّ تقرأ اُمّ الكتاب وسورة، ثمّ تركع ثمّ ترفع رأسك من الرّكوع، فتقرأ اُمّ الكتاب وسورة، ثمّ تركع الثانية، ثمّ ترفع رأسكَ من الرّكوع فتقرأ اُمّ الكتاب وسورة، ثمّ تركع الثالثة، ثمّ ترفع رأسكَ من الرّكوع فتقرأ اُمّ الكتاب وسورة، ثمّ تركع الرابعة، ثمّ ترفع رأسكَ من الرّكوع فتقرأ اُمّ الكتاب وسورة، ثمّ تركع الخامسة، فإذا رفعتَ رأسك،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تخرّ ساجداً فتسجد سجدتين، ثمّ تقوم فتصنع مثل ما صنعت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قرأ سورةً واحدة في الخمس ركعات، ففرّقها بينها؟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اُمّ القرآن في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قرأخمس سورة مع كلّسورة اُم الكتاب</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قرأتَ سورةً في كلّ ركعة، وإنْ شئت قرأتَ نصف سورة في كلّ ركعة، فإذا قرأتَ سورةً في كلّ ركعة، فاقرأ فاتحة الكتاب، وإنْ قرأتَ نصف سورة أجزأك أنْ لا تقرأ فاتحة الكتاب إلّافي أوّل ركعة حتّى تستأنف اُخرى‌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0" w:name="pg11801_107961"/>
    </w:p>
    <w:p>
      <w:pPr>
        <w:pStyle w:val="Heading6"/>
        <w:numPr>
          <w:ilvl w:val="5"/>
          <w:numId w:val="1"/>
        </w:numPr>
        <w:rPr/>
      </w:pPr>
      <w:bookmarkStart w:id="31" w:name="__RefHeading___Toc10506728_73709187"/>
      <w:bookmarkStart w:id="32" w:name="_Toc12"/>
      <w:bookmarkEnd w:id="30"/>
      <w:bookmarkEnd w:id="31"/>
      <w:r>
        <w:rPr>
          <w:rtl w:val="true"/>
        </w:rPr>
        <w:t>فروع صلاة الآيات</w:t>
      </w:r>
      <w:bookmarkEnd w:id="32"/>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ركع عن إكمال سورة، وجبت الفاتحة في القيام بعده، كما هو المشهور</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القراءة في صلاة الكسوف، هل يقرأ في كلّ ركعة بفاتحة الكتاب‌؟</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اختتمتَ سورةً وبدأت بأُخرى فاقرأ بفاتحة الكتاب، وإنْ قرأت سورةً في ركعتين أو ثلاث، فلا تقرأ بفاتحة الكتاب حتّى تختم السّورة،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ابن جعفر، وقريبٌ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 واستدلّ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انكسفت الشّمس في عهد رسول اللّه صلى الله عليه و آله فصَلّى ركعتين، فقرأ سورة ثمّ ركع فأطال الرّكوع، ثمّ رفع رأسه فقرأ سورةً ثمّ ركع، فعل ذلك خمس مرّات</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الفاتحة تجبُ في كلّ ركعة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تمّت دلالته لدلّ على عدم لزوم الفاتحة حتّى في القيام الأوّل، وحيثُ لا ريب في لزومها فيه، فلابدّ إمّا من طرحه أو حمله على أنّ ترك ذكر الفاتحة إنّما هو لمعهوديّة اعتبارها، ولذلك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صحّة الاستدلال لهذا القول بخبر أبي بصير، المتضمّن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يقرأ في كلّ ركعة مثل سورة يس والنور، وإنْ لم يحسن يقرأ ستّين آية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لا تدلّ على عدم لزوم الزائد على فاتحة واحدة، كي تعارض ما سبق، مع أنّه لو تمّت دلالتها يقيّد إطلاقها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ركع عن إكمال سورة، وأمّا إنْ ركع عن بعضها، فلا إشكال ولا خلاف في عدم وجوب الفاتحة في القيام بعده، وتشهد له النصوص المتقدّمة، إنّما الكلام في أنّ ترك الحمد هل هو عزيمة أم رخصة‌؟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تبعاً للمشهور</w:t>
      </w:r>
      <w:r>
        <w:rPr>
          <w:rStyle w:val="FootnoteAnchor"/>
          <w:rtl w:val="true"/>
        </w:rPr>
        <w:footnoteReference w:id="28"/>
      </w:r>
      <w:r>
        <w:rPr>
          <w:rFonts w:ascii="Amiri" w:hAnsi="Amiri" w:eastAsia="Amiri" w:cs="Amiri"/>
          <w:color w:val="111111"/>
          <w:sz w:val="28"/>
          <w:sz w:val="28"/>
          <w:szCs w:val="28"/>
          <w:rtl w:val="true"/>
          <w:lang w:bidi="ar-SA"/>
        </w:rPr>
        <w:t>إنّه عزيمة، للنهي عنه في طائفة من الأخبار، واستدلّ شيخنا المرتضى رحمه الله</w:t>
      </w:r>
      <w:r>
        <w:rPr>
          <w:rStyle w:val="FootnoteAnchor"/>
          <w:rtl w:val="true"/>
        </w:rPr>
        <w:footnoteReference w:id="29"/>
      </w:r>
      <w:r>
        <w:rPr>
          <w:rFonts w:ascii="Amiri" w:hAnsi="Amiri" w:eastAsia="Amiri" w:cs="Amiri"/>
          <w:color w:val="111111"/>
          <w:sz w:val="28"/>
          <w:sz w:val="28"/>
          <w:szCs w:val="28"/>
          <w:rtl w:val="true"/>
          <w:lang w:bidi="ar-SA"/>
        </w:rPr>
        <w:t>لكونه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عنه لكونه في مقابل الأمر به، مع إكمال السّورة، لا يستفاد منه أزيد من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المقابلة بنفسها لا توجبُ حمل النهي على الرّخصة، والتعبير بالأجزاء في صحيحي الحلبي والرهط لا يكون قرينةً عليه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الإتيان بفاتحة الكتاب في كلٍّ من الخمس ركعات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الواقعتين قبل السَّجدتين،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الفاتحة في ابتداء القراءة في كلّ ركعة، إذ المستفاد من النصوص أنّ صلاة الآيات ركعتان، في كلّ ركعةٍ خمس ركوعات، لاحظ خبر ابن سنان المتقدّم، وخبر ابن ميمون</w:t>
      </w:r>
      <w:r>
        <w:rPr>
          <w:rStyle w:val="FootnoteAnchor"/>
          <w:rtl w:val="true"/>
        </w:rPr>
        <w:footnoteReference w:id="30"/>
      </w:r>
      <w:r>
        <w:rPr>
          <w:rFonts w:ascii="Amiri" w:hAnsi="Amiri" w:eastAsia="Amiri" w:cs="Amiri"/>
          <w:color w:val="111111"/>
          <w:sz w:val="28"/>
          <w:sz w:val="28"/>
          <w:szCs w:val="28"/>
          <w:rtl w:val="true"/>
          <w:lang w:bidi="ar-SA"/>
        </w:rPr>
        <w:t>، وخبر أبي البختري</w:t>
      </w:r>
      <w:r>
        <w:rPr>
          <w:rStyle w:val="FootnoteAnchor"/>
          <w:rtl w:val="true"/>
        </w:rPr>
        <w:footnoteReference w:id="31"/>
      </w:r>
      <w:r>
        <w:rPr>
          <w:rFonts w:ascii="Amiri" w:hAnsi="Amiri" w:eastAsia="Amiri" w:cs="Amiri"/>
          <w:color w:val="111111"/>
          <w:sz w:val="28"/>
          <w:sz w:val="28"/>
          <w:szCs w:val="28"/>
          <w:rtl w:val="true"/>
          <w:lang w:bidi="ar-SA"/>
        </w:rPr>
        <w:t>، وصحيح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قرأتَ نصف سورةٍ أجزأك أنْ لا تقرأ فاتحة الكتاب، إلّافي أوّل ركعة حتّى تستأنف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يُحتمل أن يقرأ من الموضع الذي انتهى إليه أوّلاً من غير أن يقرأ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 لم يتمّ السّورة في القيام الأوّل، جاز له أن يُتمّها في القيام الثاني، فيكون قد قرأ سورةً في قيامين، ويشهد له صحيح البزنطي المتقدّم،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من احتمال حصر التبعيض في توزيع سورةٍ على الخمس، لم أعرف وجهه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على ما نُسب إليهم</w:t>
      </w:r>
      <w:r>
        <w:rPr>
          <w:rStyle w:val="FootnoteAnchor"/>
          <w:rtl w:val="true"/>
        </w:rPr>
        <w:footnoteReference w:id="35"/>
      </w:r>
      <w:r>
        <w:rPr>
          <w:rFonts w:ascii="Amiri" w:hAnsi="Amiri" w:eastAsia="Amiri" w:cs="Amiri"/>
          <w:color w:val="111111"/>
          <w:sz w:val="28"/>
          <w:sz w:val="28"/>
          <w:szCs w:val="28"/>
          <w:rtl w:val="true"/>
          <w:lang w:bidi="ar-SA"/>
        </w:rPr>
        <w:t xml:space="preserve">وجوب إتمام سورة في كلّ ركعةٍ‌،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عدم وجوبه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وجوب سورة كاملة في كلّ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صحيح الرهط من تعيّن تكرار الفاتحة والسّورة في كلّ قيام والاجتزاء عنه بسورة مفرّقة على القيامات الخمسة مع الإتيان بالحمد في الأوّل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وجوب سورةٍ كاملة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صدر الصحيح الظاهر في تعيّن تكرار الفاتحة والسّورة في كلّ قيامٍ‌، محمولٌ على الفضيلة، بقرينة ذيله وسائر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وذيله إنّما يكون مسوقاً لبيان عدم جواز تكرار الفاتحة، مع عدم إكمال السّورة، فلا يدلّ على تعيّن قراءة السّورة التامّة في كلّ ركعة، وإلّا لدلّ على حصر التبعيض في توزيع سورة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فالأقوى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ممّا يقتضيه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قرأت نصف سورة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تجب القراءة عليه في صورة التبعيض من حيث قطع</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الشهيدين</w:t>
      </w:r>
      <w:r>
        <w:rPr>
          <w:rStyle w:val="FootnoteAnchor"/>
          <w:rtl w:val="true"/>
        </w:rPr>
        <w:footnoteReference w:id="40"/>
      </w:r>
      <w:r>
        <w:rPr>
          <w:rFonts w:ascii="Amiri" w:hAnsi="Amiri" w:eastAsia="Amiri" w:cs="Amiri"/>
          <w:color w:val="111111"/>
          <w:sz w:val="28"/>
          <w:sz w:val="28"/>
          <w:szCs w:val="28"/>
          <w:rtl w:val="true"/>
          <w:lang w:bidi="ar-SA"/>
        </w:rPr>
        <w:t>من جواز القراءة من أيّ موضعٍ شاء فيها، وجواز رفضها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وقراءة غيرها من السّور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من حيثُ قَطَع، واستدلّ له بما في صحيح زرارة ومحمّد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نقصتَ من السّورة شيئاً فاقرأ من حيثُ نقصتَ‌، ولا تقرأ فاتحة الكتاب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فيه لوروده مورد توهّم الحَظر، لإحتمال عدم الاجتزاء بالبعض، لا يستفاد منه أزيد من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هذه الصَّلاة ما يعتبر في اليوميّة، سواءٌ أكان اعتباره فيها بما أنّها صلاة أو لم يثبت وجه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إذ صلاة الآيات 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عدم البيان، الاعتماد على ما ذكره في اليوميّة، نعم ما ثبت فيها بعنوان أنّها خاصّة، لا يعتبر في صلاة الآيات، إذ التعدّي حينئذٍ يحتاج إلى دليل، وهو مفقود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3" w:name="pg11801_107966"/>
    </w:p>
    <w:p>
      <w:pPr>
        <w:pStyle w:val="BookText"/>
        <w:rPr/>
      </w:pPr>
      <w:bookmarkEnd w:id="33"/>
      <w:r>
        <w:rPr>
          <w:rFonts w:ascii="Amiri" w:hAnsi="Amiri" w:eastAsia="Amiri" w:cs="Amiri"/>
          <w:color w:val="111111"/>
          <w:sz w:val="28"/>
          <w:sz w:val="28"/>
          <w:szCs w:val="28"/>
          <w:rtl w:val="true"/>
          <w:lang w:bidi="ar-SA"/>
        </w:rPr>
        <w:t>ويُستحبّ أن يقرأ السّور الطّوال، ومساواة الرّكوع للقيام،</w:t>
      </w:r>
    </w:p>
    <w:p>
      <w:pPr>
        <w:pStyle w:val="Heading6"/>
        <w:numPr>
          <w:ilvl w:val="5"/>
          <w:numId w:val="1"/>
        </w:numPr>
        <w:rPr/>
      </w:pPr>
      <w:bookmarkStart w:id="34" w:name="__RefHeading___Toc10506730_73709187"/>
      <w:bookmarkStart w:id="35" w:name="_Toc13"/>
      <w:bookmarkEnd w:id="34"/>
      <w:r>
        <w:rPr>
          <w:rtl w:val="true"/>
        </w:rPr>
        <w:t>مستحبّات صلاة الآيات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صحيحة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يقرأ فيها الكهف والحِجْر إلّاأنْ يكون إماماً يشقّ على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في كلّ ركعةٍ مثل سورة يس والنور، ويكون ركوعك مثل قراءتك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مستدرك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جعفر بن محمّد عليهما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ويقرأ بفاتحة الكتاب، وسورة طويلة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فيهما بقراءة السّور الطوال، يُحمل على الاستحباب، بقرينة سائر الروايات كما يظهر لمن 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مساواة الرّكوع للقيام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أنْ يكون ركوعه بمقدار زمان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خبر أبي بصير المتقدّم، وقوله عليه السلام في المرسل المرويّ‌عن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يركع فيلبثُ راكعاً مثل ما قرأ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الخلاف فيه،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الحاكية لفعل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روح بن عبد الرحيم،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تُصلّى جماعة‌؟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وغير جماعة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محمّد بن يحيى‌، عن الإمام الرضا عليه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النصوص، عدم الفرق بين احتراق القرص وعدمه، فما عن الصدوقين من عدم الجواز مع عدمه ضعيفٌ‌، كما أنّ مقتضى إطلاقها عدم الفرق بين الأداء والقضاء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ظاهر الصدوقين</w:t>
      </w:r>
      <w:r>
        <w:rPr>
          <w:rStyle w:val="FootnoteAnchor"/>
          <w:rtl w:val="true"/>
        </w:rPr>
        <w:footnoteReference w:id="48"/>
      </w:r>
      <w:r>
        <w:rPr>
          <w:rFonts w:ascii="Amiri" w:hAnsi="Amiri" w:eastAsia="Amiri" w:cs="Amiri"/>
          <w:color w:val="111111"/>
          <w:sz w:val="28"/>
          <w:sz w:val="28"/>
          <w:szCs w:val="28"/>
          <w:rtl w:val="true"/>
          <w:lang w:bidi="ar-SA"/>
        </w:rPr>
        <w:t>وجوب الجماعة في صورة الاحتراق، واستدلّ له بخبر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والقمر فانكسف كلّها فإنّه ينبغي للناس أن يفزعوا إلى إمامٍ يُصلّي بهم، وأيّهما كسف بعضه فإنّه يجزي الرّجل أن يُصلّي وحده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والإعادة مع بقاء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لاشتماله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ظاهراً في الوجوب، بل لا يستفاد منه أزيد من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عدم البيان والسكوت عن كيفيّتها، الاتّكال عليبيانها في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يتحمّل الإمام في اليوميّة القراءة عن المأمومين، كذلك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الإعادة مع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قبل أنْ ينجلي فأعِد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وإنْكان ظاهره الوجوب، كماهو المنسوب إلى أبي الصلاح</w:t>
      </w:r>
      <w:r>
        <w:rPr>
          <w:rStyle w:val="FootnoteAnchor"/>
          <w:rtl w:val="true"/>
        </w:rPr>
        <w:footnoteReference w:id="52"/>
      </w:r>
      <w:r>
        <w:rPr>
          <w:rFonts w:ascii="Amiri" w:hAnsi="Amiri" w:eastAsia="Amiri" w:cs="Amiri"/>
          <w:color w:val="111111"/>
          <w:sz w:val="28"/>
          <w:sz w:val="28"/>
          <w:szCs w:val="28"/>
          <w:rtl w:val="true"/>
          <w:lang w:bidi="ar-SA"/>
        </w:rPr>
        <w:t>والديلمي</w:t>
      </w:r>
      <w:r>
        <w:rPr>
          <w:rStyle w:val="FootnoteAnchor"/>
          <w:rtl w:val="true"/>
        </w:rPr>
        <w:footnoteReference w:id="53"/>
      </w:r>
      <w:r>
        <w:rPr>
          <w:rFonts w:ascii="Amiri" w:hAnsi="Amiri" w:eastAsia="Amiri" w:cs="Amiri"/>
          <w:color w:val="111111"/>
          <w:sz w:val="28"/>
          <w:sz w:val="28"/>
          <w:szCs w:val="28"/>
          <w:rtl w:val="true"/>
          <w:lang w:bidi="ar-SA"/>
        </w:rPr>
        <w:t>، إلّا أنّه لابدَّ من حمله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وإنْ‌أحببتَ أن تُصلّي، فتفرغ من صلاتك قبل أنْ يذهب الكسوف، فهوجائز</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صحيحة زرارة ومحمّد بن مسلم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فرغت قبل أنْ ينجلي فاقعد واُدعُ اللّه حتّى ينجلي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الحِلّي</w:t>
      </w:r>
      <w:r>
        <w:rPr>
          <w:rStyle w:val="FootnoteAnchor"/>
          <w:rtl w:val="true"/>
        </w:rPr>
        <w:footnoteReference w:id="55"/>
      </w:r>
      <w:r>
        <w:rPr>
          <w:rFonts w:ascii="Amiri" w:hAnsi="Amiri" w:eastAsia="Amiri" w:cs="Amiri"/>
          <w:color w:val="111111"/>
          <w:sz w:val="28"/>
          <w:sz w:val="28"/>
          <w:szCs w:val="28"/>
          <w:rtl w:val="true"/>
          <w:lang w:bidi="ar-SA"/>
        </w:rPr>
        <w:t>من نفي الاستحباب ضعيفٌ غايته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والتكبير عند الإنتصاب من الرّكوع، إلّافي الخامس والعاشر،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والقنوت خَمس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الهوي لكلّ ركوع،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الإنتصاب من الرّكوع، إلّافي الخامس والعاشر،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زرارة ومحمّد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تفتتح الصَّلاة بتكبيرة، وتركع بتكبيرة، وترفع رأسك بتكبيرة، إلّافي الخامسة التي تسجد فيها،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سَمع اللّهُ لمن حمده في رفع رأسك من الرّكوع إلّافي الرّكعة التي تريد أن تسجد فيها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قنوت منها عند كلّ ركوع ثانٍ بعد الفراغ من القراءة، بلا خلافٍ‌</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قوله عليه السلام في صحيحة زرارة ومحمّد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وتقنت في كلّ ركعتين قبل الرّكوع</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صحيح الرهط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والقنوت في الرّكعة مثل ذلك، ثمّ في السادسة، ثمّ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الثامنة، ثمّ في العاشرة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الاقتصار على قنوتين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الرّكوع الخامس، والثاني قبل الرّكوع العاشر، كما عن كثيرٍ من الأصحاب التصريح به</w:t>
      </w:r>
      <w:r>
        <w:rPr>
          <w:rStyle w:val="FootnoteAnchor"/>
          <w:rtl w:val="true"/>
        </w:rPr>
        <w:footnoteReference w:id="62"/>
      </w:r>
      <w:r>
        <w:rPr>
          <w:rFonts w:ascii="Amiri" w:hAnsi="Amiri" w:eastAsia="Amiri" w:cs="Amiri"/>
          <w:color w:val="111111"/>
          <w:sz w:val="28"/>
          <w:sz w:val="28"/>
          <w:szCs w:val="28"/>
          <w:rtl w:val="true"/>
          <w:lang w:bidi="ar-SA"/>
        </w:rPr>
        <w:t>، ويشهد له 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وإنْلم يقنت إلّافي الخامسة و العاشرة، فهو جائز لورود الخبر به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على الثاني منهما، كما عن الشيخ</w:t>
      </w:r>
      <w:r>
        <w:rPr>
          <w:rStyle w:val="FootnoteAnchor"/>
          <w:rtl w:val="true"/>
        </w:rPr>
        <w:footnoteReference w:id="64"/>
      </w:r>
      <w:r>
        <w:rPr>
          <w:rFonts w:ascii="Amiri" w:hAnsi="Amiri" w:eastAsia="Amiri" w:cs="Amiri"/>
          <w:color w:val="111111"/>
          <w:sz w:val="28"/>
          <w:sz w:val="28"/>
          <w:szCs w:val="28"/>
          <w:rtl w:val="true"/>
          <w:lang w:bidi="ar-SA"/>
        </w:rPr>
        <w:t>وابني حمزة</w:t>
      </w:r>
      <w:r>
        <w:rPr>
          <w:rStyle w:val="FootnoteAnchor"/>
          <w:rtl w:val="true"/>
        </w:rPr>
        <w:footnoteReference w:id="65"/>
      </w:r>
      <w:r>
        <w:rPr>
          <w:rFonts w:ascii="Amiri" w:hAnsi="Amiri" w:eastAsia="Amiri" w:cs="Amiri"/>
          <w:color w:val="111111"/>
          <w:sz w:val="28"/>
          <w:sz w:val="28"/>
          <w:szCs w:val="28"/>
          <w:rtl w:val="true"/>
          <w:lang w:bidi="ar-SA"/>
        </w:rPr>
        <w:t>وسعيد</w:t>
      </w:r>
      <w:r>
        <w:rPr>
          <w:rStyle w:val="FootnoteAnchor"/>
          <w:rtl w:val="true"/>
        </w:rPr>
        <w:footnoteReference w:id="66"/>
      </w:r>
      <w:r>
        <w:rPr>
          <w:rFonts w:ascii="Amiri" w:hAnsi="Amiri" w:eastAsia="Amiri" w:cs="Amiri"/>
          <w:color w:val="111111"/>
          <w:sz w:val="28"/>
          <w:sz w:val="28"/>
          <w:szCs w:val="28"/>
          <w:rtl w:val="true"/>
          <w:lang w:bidi="ar-SA"/>
        </w:rPr>
        <w:t>والشهيد</w:t>
      </w:r>
      <w:r>
        <w:rPr>
          <w:rStyle w:val="FootnoteAnchor"/>
          <w:rtl w:val="true"/>
        </w:rPr>
        <w:footnoteReference w:id="67"/>
      </w:r>
      <w:r>
        <w:rPr>
          <w:rFonts w:ascii="Amiri" w:hAnsi="Amiri" w:eastAsia="Amiri" w:cs="Amiri"/>
          <w:color w:val="111111"/>
          <w:sz w:val="28"/>
          <w:sz w:val="28"/>
          <w:szCs w:val="28"/>
          <w:rtl w:val="true"/>
          <w:lang w:bidi="ar-SA"/>
        </w:rPr>
        <w:t>وغيرهم</w:t>
      </w:r>
      <w:r>
        <w:rPr>
          <w:rStyle w:val="FootnoteAnchor"/>
          <w:rtl w:val="true"/>
        </w:rPr>
        <w:footnoteReference w:id="68"/>
      </w:r>
      <w:r>
        <w:rPr>
          <w:rFonts w:ascii="Amiri" w:hAnsi="Amiri" w:eastAsia="Amiri" w:cs="Amiri"/>
          <w:color w:val="111111"/>
          <w:sz w:val="28"/>
          <w:sz w:val="28"/>
          <w:szCs w:val="28"/>
          <w:rtl w:val="true"/>
          <w:lang w:bidi="ar-SA"/>
        </w:rPr>
        <w:t>، ولم يرد به نصٌّ‌، إلّاأنّه يمكن استفادته من نفس هذه الأخبار، إذ بما أنّ هذه القنوتات مستحبّة، والظاهر عدم توقّف مطلوبيّة كلّ واحدٍ منها على الإتيان بالآخر، فيجوز الاقتصار على بعضها، ويستفاد أيضاً من ما دلّ على اتّحاد القنوت في الركعتين، لأنّه كما عرفت أنّها ركعتان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6" w:name="pg11801_107971"/>
    </w:p>
    <w:p>
      <w:pPr>
        <w:pStyle w:val="BookText"/>
        <w:rPr/>
      </w:pPr>
      <w:bookmarkEnd w:id="36"/>
      <w:r>
        <w:rPr>
          <w:rFonts w:ascii="Amiri" w:hAnsi="Amiri" w:eastAsia="Amiri" w:cs="Amiri"/>
          <w:color w:val="111111"/>
          <w:sz w:val="28"/>
          <w:sz w:val="28"/>
          <w:szCs w:val="28"/>
          <w:rtl w:val="true"/>
          <w:lang w:bidi="ar-SA"/>
        </w:rPr>
        <w:t>ووقتُ الكُسُوف والخسوف من حين ابتدائه،</w:t>
      </w:r>
    </w:p>
    <w:p>
      <w:pPr>
        <w:pStyle w:val="Heading5"/>
        <w:numPr>
          <w:ilvl w:val="4"/>
          <w:numId w:val="1"/>
        </w:numPr>
        <w:rPr/>
      </w:pPr>
      <w:bookmarkStart w:id="37" w:name="__RefHeading___Toc10506732_73709187"/>
      <w:bookmarkStart w:id="38" w:name="_Toc14"/>
      <w:bookmarkEnd w:id="37"/>
      <w:r>
        <w:rPr>
          <w:rtl w:val="true"/>
        </w:rPr>
        <w:t>وقت صلاة الآيات</w:t>
      </w:r>
      <w:bookmarkEnd w:id="38"/>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 والخسوف، من حين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بيننا</w:t>
      </w:r>
      <w:r>
        <w:rPr>
          <w:rStyle w:val="FootnoteAnchor"/>
          <w:rtl w:val="true"/>
        </w:rPr>
        <w:footnoteReference w:id="69"/>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بين العامّة فضلاً عن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صلاة الكسوف في السّاعة التي تنكسف</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ريب في أنّها موقتة،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روايات الباب، كما يظهر لمن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أنّ وقتها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يمتدّ إلى حين انتهاء انجلائه، كما اختاره المحقّق</w:t>
      </w:r>
      <w:r>
        <w:rPr>
          <w:rStyle w:val="FootnoteAnchor"/>
          <w:rtl w:val="true"/>
        </w:rPr>
        <w:footnoteReference w:id="72"/>
      </w:r>
      <w:r>
        <w:rPr>
          <w:rFonts w:ascii="Amiri" w:hAnsi="Amiri" w:eastAsia="Amiri" w:cs="Amiri"/>
          <w:color w:val="111111"/>
          <w:sz w:val="28"/>
          <w:sz w:val="28"/>
          <w:szCs w:val="28"/>
          <w:rtl w:val="true"/>
          <w:lang w:bidi="ar-SA"/>
        </w:rPr>
        <w:t>وغيره</w:t>
      </w:r>
      <w:r>
        <w:rPr>
          <w:rStyle w:val="FootnoteAnchor"/>
          <w:rtl w:val="true"/>
        </w:rPr>
        <w:footnoteReference w:id="73"/>
      </w:r>
      <w:r>
        <w:rPr>
          <w:rFonts w:ascii="Amiri" w:hAnsi="Amiri" w:eastAsia="Amiri" w:cs="Amiri"/>
          <w:color w:val="111111"/>
          <w:sz w:val="28"/>
          <w:sz w:val="28"/>
          <w:szCs w:val="28"/>
          <w:rtl w:val="true"/>
          <w:lang w:bidi="ar-SA"/>
        </w:rPr>
        <w:t xml:space="preserve">، بل نُسِب إلى </w:t>
      </w:r>
    </w:p>
    <w:p>
      <w:pPr>
        <w:pStyle w:val="BookText"/>
        <w:rPr/>
      </w:pPr>
      <w:r>
        <w:rPr>
          <w:rFonts w:ascii="IRNazanin" w:hAnsi="IRNazanin" w:eastAsia="IRNazanin"/>
          <w:color w:val="111111"/>
          <w:sz w:val="28"/>
          <w:sz w:val="28"/>
          <w:szCs w:val="28"/>
          <w:rtl w:val="true"/>
          <w:lang w:bidi="fa-IR"/>
        </w:rPr>
        <w:t>إلى ابتداء الإنجلاء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المتأخّرين ومتأخّريهم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 وقتها يمتدّ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ابتداء الإنجلاء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المنسوب إلى جُلّ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وتشهد له صحيحة الرهط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صلّاها في كسوفِ الشّمس والنّاس خلفه، ففرغ حين فرغ وقد انجلى كسوفها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عمّار، عن الإمام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الكسوف إلى أنْ يذهب الكسوف عن الشّمس والقمر، وتطول في صلاتك، فإنّ ذلك أفضل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ذهاب الكسوف عنهما إنّما يكون بتمام الإنجلاء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صحّة الاستدلال له بصحيحة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الكسوف إذا فرغت قبل الإنجلاء فأعِد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إذ المتبادر منه تمام الإنجلاء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هذه النصوص استمرار وقتها إلى تمام الإنجلاء، فتترتّب عليه آثاره من جواز التأخير إلى ما بعد الشروع في الإنجلاء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أحسنها صحيحة حمّاد، عن أبي عبد اللّه عليه 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انكساف القمر، وما يلقى النّاس من شدّته‌؟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انجلى منه شيءٌ فقد انجلى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بدعوى أنّ المنساق من تنزيل الشارع إنجلاء البعض منزلة إنجلاء الكلّ‌، إرادته من حيث الأثر، وأثره الشرعي إنّما هو كونه غايةً لوقت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أنّ الظاهر من التنزيل إرادته من حيث الأثر الشرعي، وإنْ كان تامّاً، إلّاأنّه فيما لم يكن في الكلام قرينة صارفة إلى إرادة غيره كما في المقام،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يَلْقى النّاس من 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يوجب ظهور جوابه عليه السلام في إرادة التساوي في إزالة الشدّة الحاصلة بسببه، لا المساواة من حيث الحكم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الوقت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وقتٌ لمجموع العمل، أو للتلبّس به‌؟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أقواهماالأوّل؛ لأنّ ظاهر بعض الأخبار الدالة على التوقيت هو ذلك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 في صحيح زرارة وابن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انجلى قبل أنْ تفرغ من صلاتك فأتمَّ ما بقي</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فحيثُ إنّه واردٌ مورد حكم آخر، وهو أنّه لو شَرَع فيها باعتقاد بقاء الوقت، ثمّ اتّفق الإنجلاء، فلا يجب عليه رفع اليد عن صلاته، فلا يدلّ على جواز تأخيرها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قصر الوقت عن فعل الصَّلاة سقطت، لاستحالة التكليف بما لا يطاق، وقاعدة من أدرك تختصّ بما إذا كان الوقت مساوياً أو أزيد، ولا تشمل المورد، فما عن المجلسي</w:t>
      </w:r>
      <w:r>
        <w:rPr>
          <w:rStyle w:val="FootnoteAnchor"/>
          <w:rtl w:val="true"/>
        </w:rPr>
        <w:footnoteReference w:id="80"/>
      </w:r>
      <w:r>
        <w:rPr>
          <w:rFonts w:ascii="Amiri" w:hAnsi="Amiri" w:eastAsia="Amiri" w:cs="Amiri"/>
          <w:color w:val="111111"/>
          <w:sz w:val="28"/>
          <w:sz w:val="28"/>
          <w:szCs w:val="28"/>
          <w:rtl w:val="true"/>
          <w:lang w:bidi="ar-SA"/>
        </w:rPr>
        <w:t xml:space="preserve">من القول بالوجوب في الفرض،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الميل إليه، ضعيف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الكسوفين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غيرهما مدّته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اختار المصنّف رحمه الله أنّ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السبب كما هو الأشهر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المشهور بين القائلين</w:t>
      </w:r>
      <w:r>
        <w:rPr>
          <w:rStyle w:val="FootnoteAnchor"/>
          <w:rtl w:val="true"/>
        </w:rPr>
        <w:footnoteReference w:id="83"/>
      </w:r>
      <w:r>
        <w:rPr>
          <w:rFonts w:ascii="Amiri" w:hAnsi="Amiri" w:eastAsia="Amiri" w:cs="Amiri"/>
          <w:color w:val="111111"/>
          <w:sz w:val="28"/>
          <w:sz w:val="28"/>
          <w:szCs w:val="28"/>
          <w:rtl w:val="true"/>
          <w:lang w:bidi="ar-SA"/>
        </w:rPr>
        <w:t xml:space="preserve">بالوجوب، والمحكيّ‌عن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 وكثير من المتأخّرين</w:t>
      </w:r>
      <w:r>
        <w:rPr>
          <w:rStyle w:val="FootnoteAnchor"/>
          <w:rtl w:val="true"/>
        </w:rPr>
        <w:footnoteReference w:id="87"/>
      </w:r>
      <w:r>
        <w:rPr>
          <w:rFonts w:ascii="IRNazanin" w:hAnsi="IRNazanin" w:eastAsia="IRNazanin"/>
          <w:color w:val="111111"/>
          <w:sz w:val="28"/>
          <w:sz w:val="28"/>
          <w:szCs w:val="28"/>
          <w:rtl w:val="true"/>
          <w:lang w:bidi="fa-IR"/>
        </w:rPr>
        <w:t>بقاء وقتها ما دام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آية يضيق وقتها عن العبادة، يكون وقتها دائماً، وأمّا ما نقص عن فعلها وقتها دون آخر، فإنّ وقتها مدّة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ما يضيق وقته عن العبادة دائماً أو غالباً، كالصّيحة والرَّعدة ونحوهما، فإنّه لا محيص عن الالتزام بأوسعيّة وقتها من وقت الآية، وإلّا لزم منه التكليف بما لا يُطاق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ما لا يكون كذلك كالرِّيح والظُّلمة ونظائرهما، فالأقوى إنّه لا وقت لها، لإطلاق حسن الفضل المتقدّم، وصحيح بُريد بن معاوية، عن الإمامين الباقر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والصادق عليهما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الكسوف أو بعض هذه الآيات فصلّها، ما لم تتخوّف أن يذهب وقت الفريضة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زرارة ومحمّد المتقدّم، فإنّ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التوقيت، سواءٌ أكان قيداً للهيئة أو المادّة، ام علّةً غائيّة للوجوب،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 هذه العلّة من قبيل بيان الحكم المقتضية للتشريع، التي لا يجب فيها الاطّراد، إذ لا يصحّ جعله علّة غائيّة للوجوب، لأنّه لا شبهة في مشروعيّة الصَّلاة حتّى مع العلم بأنّه لا يسكن ولو لم يُصلّ‌، وكذلك لا يصحّ جعله علّة للصَّلاة، لعدم وجوب أن يستمرّ في الصَّلاة إلى أنْ يسكن، كما أنّ جعله قيداً للهيئة أيضاً لا يصحّ‌، لأنّه يسقط بالامتثال قبل السكون، وحمله على أنّه قيدٌ للوقت خلاف الظاهر، وعلى ذلك فالأمر الوارد في هذا الصحيح أيضاً يدلّ على عدم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اختصاص وجوبها بوقت وجود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جماعةٌ من الأساطين للقول المختار بالاستصحاب، وهو استصحاب بقاء الوجوب المعلوم تعلّقه بالصلاة المشكوك بقائه بعد مُضيّ وقت الآية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وجوبها بعد مُضيّ مدّة الآية، مسبّبٌ عن الشكّ في الجعل،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بنحوٍ يكون باقياً بعد وقتها، وحيثُ أنّ وجوبها بعد الوقت لم يكن في أوّل الشريعة قطعاً مجعولاً، فيشكّ في جعله، فيستصحب عدم الجعل، ويثبت به عدم الوجوب، بناءً على ماحقّقناه في محلّه من أنّ استصحاب عدم الجعل يجري ويثبت به عدم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الوجوب للصَّلاة معلوم، إمّا إلى الأبد، أو ما دام وجود الآية، وعليه فاستصحاب عدم جعله إلى الابدّ، يعارضُ استصحاب عدم جعله في خصوص وقت الآية، فيساقطان، ويكون المرجع إلى الأصل المحكوم، وهو استصحاب بقاء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استصحاب عدم جعله في خصوص وقت الآية، إذ وجوبها في ذلك الوقت معلومٌ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كلّه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أصالة عدم وجوبها عيناً وقت الآية تجري، وذلك لأنّ وجوبها كذلك غير معلوم، حيث أنّ عدم الوجوب بنفسه من الآثار الشرعيّة، فلا يحتاج في جريان استصحابه إلى شيء سوى الأثر العقلي، ليخرج بذلك عن اللغوية، وفي المقام الأثر العقلي موجودٌ وهو عدم العقاب لترك الصَّلاة في ذلك الوقت، فيجري هذا الاستصحاب، ويعارض مع استصحاب عدم جعله ما دام العمر، فيتساقطان، ويكون المرجع استصحاب بقاء الوجوب المتعلّق بها في وقت وجود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أطراف ماذكرناه فإنّه دقيق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ببقاء وقتها مادام العمر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الزَّلزلة مُدّة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أنّ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مضافاً إلى أنّ ذلك ممّا يقتضيه الاستصحاب، يدلّ عليه إطلاق أدلّته، وانتفاء ما يقتضي تقييده بوقتٍ خاص، والظاهر أنّ ذلك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في الموارد التي اخترنا عدم التوقيت، تجب المبادرة إلى الإتيان بالصلاة، ويشهد له في الزّلزلة الخبر الذي رواه سليمان،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ذلك فما أصنع‌؟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الكسوف</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منه وجوب المبادرة إليها في تلك الساعة، وأمّا في غيرها فلأنّه منصرفُ أدلّتها، بل هو الظاهر من حسن الفضل المُعلّل للصَّلاة بصرف شَرّ الآية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9" w:name="pg11801_107978"/>
    </w:p>
    <w:p>
      <w:pPr>
        <w:pStyle w:val="BookText"/>
        <w:rPr/>
      </w:pPr>
      <w:bookmarkEnd w:id="39"/>
      <w:r>
        <w:rPr>
          <w:rFonts w:ascii="IRNazanin" w:hAnsi="IRNazanin" w:eastAsia="IRNazanin"/>
          <w:color w:val="111111"/>
          <w:sz w:val="28"/>
          <w:sz w:val="28"/>
          <w:szCs w:val="28"/>
          <w:rtl w:val="true"/>
          <w:lang w:bidi="fa-IR"/>
        </w:rPr>
        <w:t>ولو فاتته عمداً أو</w:t>
      </w:r>
    </w:p>
    <w:p>
      <w:pPr>
        <w:pStyle w:val="Heading5"/>
        <w:numPr>
          <w:ilvl w:val="4"/>
          <w:numId w:val="1"/>
        </w:numPr>
        <w:rPr/>
      </w:pPr>
      <w:bookmarkStart w:id="40" w:name="__RefHeading___Toc10506734_73709187"/>
      <w:bookmarkStart w:id="41" w:name="_Toc15"/>
      <w:bookmarkEnd w:id="40"/>
      <w:r>
        <w:rPr>
          <w:rtl w:val="true"/>
        </w:rPr>
        <w:t>موارد وجوب قضاء صلاة الآيات</w:t>
      </w:r>
      <w:bookmarkEnd w:id="41"/>
    </w:p>
    <w:p>
      <w:pPr>
        <w:pStyle w:val="Heading6"/>
        <w:numPr>
          <w:ilvl w:val="5"/>
          <w:numId w:val="1"/>
        </w:numPr>
        <w:rPr/>
      </w:pPr>
      <w:bookmarkStart w:id="42" w:name="__RefHeading___Toc10506736_73709187"/>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أحكام صلاة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ذلك في طيّ مسائل</w:t>
      </w:r>
      <w:r>
        <w:rPr>
          <w:rFonts w:eastAsia="Amiri" w:cs="Amiri" w:ascii="Amiri" w:hAnsi="Amiri"/>
          <w:color w:val="111111"/>
          <w:sz w:val="28"/>
          <w:szCs w:val="28"/>
          <w:rtl w:val="true"/>
          <w:lang w:bidi="ar-SA"/>
        </w:rPr>
        <w:t>:</w:t>
      </w:r>
    </w:p>
    <w:p>
      <w:pPr>
        <w:pStyle w:val="Heading6"/>
        <w:numPr>
          <w:ilvl w:val="5"/>
          <w:numId w:val="1"/>
        </w:numPr>
        <w:rPr/>
      </w:pPr>
      <w:bookmarkStart w:id="44" w:name="__RefHeading___Toc10506738_73709187"/>
      <w:bookmarkStart w:id="45" w:name="_Toc17"/>
      <w:bookmarkEnd w:id="44"/>
      <w:r>
        <w:rPr>
          <w:rtl w:val="true"/>
        </w:rPr>
        <w:t>حكم ما لو فاتته الصَّلاة</w:t>
      </w:r>
      <w:bookmarkEnd w:id="45"/>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قضاها بلا خلافٍ ظاهر، من غير فرق بين احتراق القرص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ويشهد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تعلم حتّى يذهب الكسوف، ثمّ علمت بعد ذلك، فليس عليك صلاة الكسوف، وإنْ أعلمك أحدٌ وأنت نائم، فعلمت ثمّ غلبت عينك فلم تُصلِّ فعليك قضائها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إمّا أنْ يكون شاملاً لذي العُذر وغيره، أو يكون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مختصّاً بالأوّل، فيدلّ على لزوم القضاء للعامد بالفحوى، ونحوه مرسل حريز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يقيّد إطلاق ما دلّ على عدم وجوب القضاء مطلقاً، كخبر الحلبي، عن أبي عبد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الكسوف تُقضى إذا فاتتنا؟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قضاء وقد كان في أيدينا أنّها تُقضى</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لدى احتراق تمام القرص، فحوى النصوص الدالّة على وجوب القضاء على الجاهل، ولدى احتراق بعضه ما دلّ على وجوب القضاء على الناسي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نسياناً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فإن كان قد احترق القرص كلّه قضى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فاتته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نسياناًقضاها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احترق بعض القرص، كما هو المشهور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موثّق عمّار المتقدّم،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بالكسوف، ونَسي أن يُصلّي،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يحترق كلّه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ضعف ما عن بعض، من عدم وجوب القضاء مع عدم احتراق تمام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على الموثّق، باشتمال سنده على الفطحيّة، وعلى المرسل بالإرسال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محلّه من حجيّة الخبر الموثّق والمنجبر بعمل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فاتت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جاهلاً؛ فإنْ كان قد احترق كلّه قَضى،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الأصحاب عدا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انكسفت الشّمس كلّها واحترقت، ولم تعلم، ثمّ علمت بعد ذلك، فعليك القضاء، وإنْ لم يحترق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كلّها فليس عليك قضاء</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والفضيل بن يسار،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أتُقضى صلاة الكسوف ومَنْ إذا أصبح فعلم وإذا أمسى فعلم‌؟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القرصان احترقا كلّهما قضيتَ‌، وإنْ كان قد احترق بعضهما فليس عليك قضاء</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يقيّد ما هو نافٍ للقضاء مطلقاً، كخبر الحلبي المتقدّم، كما أنّه يقيّد بها ما يدلّ على عدم وجوب القضاء على الجاهل مطلقاً، كموثّق عمّار المتقدّم، وما دلَّ على وجوبه كذلك كمرسل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انكسف القمر، فاستيقظ الرّجل فكسل أن يُصلّي، فليغتسل من غدوّ وليقضِ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يستيقظ ولم يعلم بانكساف القمر، فليس عليه إلّاالقضاء بغير غسل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الكسوفين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سائر الآيات، فبناءً على المختار من عدم كون وجوب صلاة الآيات غير الكسوفين موقّتاً، لا إشكال في وجوب الإتيان بها مع التأخير في جميع الصورالمذكورة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القول بالتوقيت، لا إشكال في عدم وجوب الإتيان بها بعد مُضيّ الوقت، لعدم الدليل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الشكّ في ذلك، فالمرجع إلى استصحاب الوجوب الثابت في الزمان المتّصل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فراجع</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6" w:name="pg11801_107981"/>
    </w:p>
    <w:p>
      <w:pPr>
        <w:pStyle w:val="BookText"/>
        <w:rPr/>
      </w:pPr>
      <w:bookmarkEnd w:id="46"/>
      <w:r>
        <w:rPr>
          <w:rFonts w:ascii="Amiri" w:hAnsi="Amiri" w:eastAsia="Amiri" w:cs="Amiri"/>
          <w:color w:val="111111"/>
          <w:sz w:val="28"/>
          <w:sz w:val="28"/>
          <w:szCs w:val="28"/>
          <w:rtl w:val="true"/>
          <w:lang w:bidi="ar-SA"/>
        </w:rPr>
        <w:t>ولو اتّفقتِ وقت فريضةٍ حاضرة تخيّر</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10506740_73709187"/>
      <w:bookmarkStart w:id="48" w:name="_Toc18"/>
      <w:bookmarkEnd w:id="47"/>
      <w:r>
        <w:rPr>
          <w:rtl w:val="true"/>
        </w:rPr>
        <w:t>حدوث الآية في وقت الفريضة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فريضةٍ حاضرة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تقديم أيّتهما شاء، كما هو المشهور، على ما نُسب إليهم</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03"/>
      </w:r>
      <w:r>
        <w:rPr>
          <w:rFonts w:ascii="Amiri" w:hAnsi="Amiri" w:eastAsia="Amiri" w:cs="Amiri"/>
          <w:color w:val="111111"/>
          <w:sz w:val="28"/>
          <w:sz w:val="28"/>
          <w:szCs w:val="28"/>
          <w:rtl w:val="true"/>
          <w:lang w:bidi="ar-SA"/>
        </w:rPr>
        <w:t>، والعمّاني</w:t>
      </w:r>
      <w:r>
        <w:rPr>
          <w:rStyle w:val="FootnoteAnchor"/>
          <w:rtl w:val="true"/>
        </w:rPr>
        <w:footnoteReference w:id="104"/>
      </w:r>
      <w:r>
        <w:rPr>
          <w:rFonts w:ascii="Amiri" w:hAnsi="Amiri" w:eastAsia="Amiri" w:cs="Amiri"/>
          <w:color w:val="111111"/>
          <w:sz w:val="28"/>
          <w:sz w:val="28"/>
          <w:szCs w:val="28"/>
          <w:rtl w:val="true"/>
          <w:lang w:bidi="ar-SA"/>
        </w:rPr>
        <w:t>، والآبي</w:t>
      </w:r>
      <w:r>
        <w:rPr>
          <w:rStyle w:val="FootnoteAnchor"/>
          <w:rtl w:val="true"/>
        </w:rPr>
        <w:footnoteReference w:id="105"/>
      </w:r>
      <w:r>
        <w:rPr>
          <w:rFonts w:ascii="Amiri" w:hAnsi="Amiri" w:eastAsia="Amiri" w:cs="Amiri"/>
          <w:color w:val="111111"/>
          <w:sz w:val="28"/>
          <w:sz w:val="28"/>
          <w:szCs w:val="28"/>
          <w:rtl w:val="true"/>
          <w:lang w:bidi="ar-SA"/>
        </w:rPr>
        <w:t>، والحِلّي</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107"/>
      </w:r>
      <w:r>
        <w:rPr>
          <w:rFonts w:ascii="Amiri" w:hAnsi="Amiri" w:eastAsia="Amiri" w:cs="Amiri"/>
          <w:color w:val="111111"/>
          <w:sz w:val="28"/>
          <w:sz w:val="28"/>
          <w:szCs w:val="28"/>
          <w:rtl w:val="true"/>
          <w:lang w:bidi="ar-SA"/>
        </w:rPr>
        <w:t>والشيخ</w:t>
      </w:r>
      <w:r>
        <w:rPr>
          <w:rStyle w:val="FootnoteAnchor"/>
          <w:rtl w:val="true"/>
        </w:rPr>
        <w:footnoteReference w:id="108"/>
      </w:r>
      <w:r>
        <w:rPr>
          <w:rFonts w:ascii="Amiri" w:hAnsi="Amiri" w:eastAsia="Amiri" w:cs="Amiri"/>
          <w:color w:val="111111"/>
          <w:sz w:val="28"/>
          <w:sz w:val="28"/>
          <w:szCs w:val="28"/>
          <w:rtl w:val="true"/>
          <w:lang w:bidi="ar-SA"/>
        </w:rPr>
        <w:t>وابني حمزة</w:t>
      </w:r>
      <w:r>
        <w:rPr>
          <w:rStyle w:val="FootnoteAnchor"/>
          <w:rtl w:val="true"/>
        </w:rPr>
        <w:footnoteReference w:id="109"/>
      </w:r>
      <w:r>
        <w:rPr>
          <w:rFonts w:ascii="Amiri" w:hAnsi="Amiri" w:eastAsia="Amiri" w:cs="Amiri"/>
          <w:color w:val="111111"/>
          <w:sz w:val="28"/>
          <w:sz w:val="28"/>
          <w:szCs w:val="28"/>
          <w:rtl w:val="true"/>
          <w:lang w:bidi="ar-SA"/>
        </w:rPr>
        <w:t>والبرّاج</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الأوّل، إذ كلٌّ منهما بما أنّها من الواجبات الموسّعة، فيجوز تأخيرها والاشتغال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لجواز الإتيان بصلاة الكسوف في الفرض، مضافاً إلى ذلك صحيح بُريد عن محمّد بن مسلم، الإمامين الباقر عليه السلام والصادق عليه السلام قالا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 الكسوف أو بعض هذه الآيات فصلّها، ما لم تتخوّف أن يذهب وقت </w:t>
      </w:r>
    </w:p>
    <w:p>
      <w:pPr>
        <w:pStyle w:val="BookText"/>
        <w:rPr/>
      </w:pPr>
      <w:r>
        <w:rPr>
          <w:rFonts w:ascii="Amiri" w:hAnsi="Amiri" w:eastAsia="Amiri" w:cs="Amiri"/>
          <w:color w:val="111111"/>
          <w:sz w:val="28"/>
          <w:sz w:val="28"/>
          <w:szCs w:val="28"/>
          <w:rtl w:val="true"/>
          <w:lang w:bidi="ar-SA"/>
        </w:rPr>
        <w:t>الفريضة، فإنْ تخوّفت فابدأ بالفريضة، واقطع ما كنتَ فيه صلاة الكسوف، فإذا فرغت من الفريضة، فارجع إلى حيث كنتَ قطعت، واحتسب بما مضى‌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هو كالنصّ في اختصاص المنع عن إيقاع صلاة الكسوف بصورة خوف فوت الفريضة، فإنّه يجوز الإتيان بها في وقتها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للقول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الكسوف في وقت الفريضة‌؟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بالفريضة</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الأمر فيه لوروده مورد توهم الحَظر، لا يُستفاد منه أزيد من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الوجوب، يتعيّن حمله على الفضيلة، أو حمل وقت الفريضة فيه على الوقت الذي يخاف فوت الفريضة لو أتى بصلاة الآيات فيه، لأجل الصحيح المتقدّم، الصريح في جواز تقديم صلاة الكسوف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أبي أيّوب،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صلاة الكسوف قبل أنْ تغيب الشّمس، وتخشى فوت الفريضة‌؟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اقطعوها وصلّوا الفريضة، وعودا إلى صلاتكم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أنّه ظاهرٌ في وجوب قطع صلاة الكسوف في أوّل وقت العشاء الآخرة، وهو يستلزم عدم جواز الشروع فيها في أوّل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إنّه يحتمل أنْ يكون المراد بالفريضة فيه، صلاة العصر، فيدلّ على لزوم القطع، فيما إذا تضيّق وقت الفريضة، وهو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الاحتمال خلاف الظاهر، إذ لو كان هذا المعنى هو المراد، 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تغيب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إلى الذّهن، بقرينة كون الفريضة في أوّل وقتها مستحبّاً، استحباب القطع، لأجل تدارك الفضيلة، لا عدم جواز إتمامها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محمّد بن مسلم، عن الإمام الصادق عليه السلام، 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ربما ابتلينا بالكسوف بعد الغروب، قبل العشاء الآخرة، فإنْ صلَّينا الكسوف خشينا أن تفوتنا الفريضة‌؟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خشيتَ ذلك فاقطع صلاتك، واقض فريضتك ثمّ عُد فيها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خوف فوت الفريضة إنّما يكون آخر وقتها،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بوقتها الوقت الفُضلى، فيرد عليه ما أوردناه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وقت الإجزاء، فيدلّ بالمفهوم على جواز الإتيان بصلاة الآيات، ما لم يخش فوت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صحيح ابن مسلم، وبريد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فصلّها ما لم تتخوّف أن يذهب وقت الفريضة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بالصلاة بقرينة مقابلته بالأمر بقطعها، في صورة خوفِ فوت الفريضة، لا يستفاد منه إلّاالجواز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لم تتضيّق إحداهما، ولو تضيّقتا قدّم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التخيير بين تقديم أيّتهما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تتضيّق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فتكون المضيّقة أولى من الموسّعة، سواءٌ أكانت هي الحاضرة أو الكسوف، بلا خلافٍ ظاهر، وعن غير واحدٍ</w:t>
      </w:r>
      <w:r>
        <w:rPr>
          <w:rStyle w:val="FootnoteAnchor"/>
          <w:rtl w:val="true"/>
        </w:rPr>
        <w:footnoteReference w:id="117"/>
      </w:r>
      <w:r>
        <w:rPr>
          <w:rFonts w:ascii="Amiri" w:hAnsi="Amiri" w:eastAsia="Amiri" w:cs="Amiri"/>
          <w:color w:val="111111"/>
          <w:sz w:val="28"/>
          <w:sz w:val="28"/>
          <w:szCs w:val="28"/>
          <w:rtl w:val="true"/>
          <w:lang w:bidi="ar-SA"/>
        </w:rPr>
        <w:t>دعوى الإجماع عليه، لأنّ الموسّع لا يصلح لأنْ يُزاحم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المضيّقة هي الحاضرة، مضافاً إلى ذلك النصوص المتقدّمة،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تَضيّقتا قدَّم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18"/>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لأهميّتها المستفادة من نصوص الباب، بل يمكن الاستدلال له بما يدلّ بإطلاقه على تقديم الحاضرة، لو خاف فوتها، حيث إنّه لم يقيّد بما إذا لم يخف فوت صلاة الآيات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ورد في جملةٍ من نصوص</w:t>
      </w:r>
      <w:r>
        <w:rPr>
          <w:rStyle w:val="FootnoteAnchor"/>
          <w:rtl w:val="true"/>
        </w:rPr>
        <w:footnoteReference w:id="120"/>
      </w:r>
      <w:r>
        <w:rPr>
          <w:rFonts w:ascii="Amiri" w:hAnsi="Amiri" w:eastAsia="Amiri" w:cs="Amiri"/>
          <w:color w:val="111111"/>
          <w:sz w:val="28"/>
          <w:sz w:val="28"/>
          <w:szCs w:val="28"/>
          <w:rtl w:val="true"/>
          <w:lang w:bidi="ar-SA"/>
        </w:rPr>
        <w:t>الباب الأمر بقطع صلاة الكسوف، والإتيان بالحاضرة، ثمّ العود إليها، والبناء على ما مضى‌، وقد نُسب إلى المشهور</w:t>
      </w:r>
      <w:r>
        <w:rPr>
          <w:rStyle w:val="FootnoteAnchor"/>
          <w:rtl w:val="true"/>
        </w:rPr>
        <w:footnoteReference w:id="121"/>
      </w:r>
      <w:r>
        <w:rPr>
          <w:rFonts w:ascii="Amiri" w:hAnsi="Amiri" w:eastAsia="Amiri" w:cs="Amiri"/>
          <w:color w:val="111111"/>
          <w:sz w:val="28"/>
          <w:sz w:val="28"/>
          <w:szCs w:val="28"/>
          <w:rtl w:val="true"/>
          <w:lang w:bidi="ar-SA"/>
        </w:rPr>
        <w:t>التزامهم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9" w:name="pg11801_107985"/>
    </w:p>
    <w:p>
      <w:pPr>
        <w:pStyle w:val="BookText"/>
        <w:rPr/>
      </w:pPr>
      <w:bookmarkEnd w:id="49"/>
      <w:r>
        <w:rPr>
          <w:rFonts w:ascii="Amiri" w:hAnsi="Amiri" w:eastAsia="Amiri" w:cs="Amiri"/>
          <w:color w:val="111111"/>
          <w:sz w:val="28"/>
          <w:sz w:val="28"/>
          <w:szCs w:val="28"/>
          <w:rtl w:val="true"/>
          <w:lang w:bidi="ar-SA"/>
        </w:rPr>
        <w:t>وما عن الشهيد رحمه الله</w:t>
      </w:r>
      <w:r>
        <w:rPr>
          <w:rStyle w:val="FootnoteAnchor"/>
          <w:rtl w:val="true"/>
        </w:rPr>
        <w:footnoteReference w:id="122"/>
      </w:r>
      <w:r>
        <w:rPr>
          <w:rFonts w:ascii="Amiri" w:hAnsi="Amiri" w:eastAsia="Amiri" w:cs="Amiri"/>
          <w:color w:val="111111"/>
          <w:sz w:val="28"/>
          <w:sz w:val="28"/>
          <w:szCs w:val="28"/>
          <w:rtl w:val="true"/>
          <w:lang w:bidi="ar-SA"/>
        </w:rPr>
        <w:t>من الإشكال في ذلك، بأنّ البناء بعد تخلّل الصَّلاة الأجنبيّة، لم يعهد من الشارع تجويزه في غير هذا الموضع، ينبغي أن يُعدّ من الغرائب، إذ القواعد العامّة لا تعارض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صحّة البناء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لدى العلم بضيق الوقت عن مجموع الصلاتين، التلبّس بصلاة الكسوف وقطعها، ثمّ العود اليها بعد الحاضرة، أم لا يجوز ذلك، بل يختصّ بما إذا دخل فيها بزعم السِّعة ثمّ انكشف خلافه ولو ظنّاً؟</w:t>
      </w:r>
    </w:p>
    <w:p>
      <w:pPr>
        <w:pStyle w:val="BookText"/>
        <w:rPr/>
      </w:pPr>
      <w:r>
        <w:rPr>
          <w:rFonts w:ascii="Amiri" w:hAnsi="Amiri" w:eastAsia="Amiri" w:cs="Amiri"/>
          <w:color w:val="111111"/>
          <w:sz w:val="28"/>
          <w:sz w:val="28"/>
          <w:szCs w:val="28"/>
          <w:rtl w:val="true"/>
          <w:lang w:bidi="ar-SA"/>
        </w:rPr>
        <w:t xml:space="preserve">وجهان، لا يبعد دعوى أظهريّة الأوّل،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مقتضى إطلاق الروايات على عدم اعتبار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اختصاص صحيحة ابن مسلم المتقدّمة بصورة علم السائل بعروض الضيق في الأثناء، لأنّ قول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ابتلينا بالكسوف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أنّ خشية السائل إنّما كانت قبل التلبّس بصلاة الآيات، فعلى هذا يكون دلالة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خشيت ذلك فاقطع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جواز التلبّس بها، مع العلم بضيق الوقت عن مجموع الصلاتين، أو مع خوف ذلك ظاهرة</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10506742_73709187"/>
      <w:bookmarkStart w:id="51" w:name="_Toc19"/>
      <w:bookmarkEnd w:id="50"/>
      <w:r>
        <w:rPr>
          <w:rtl w:val="true"/>
        </w:rPr>
        <w:t>لو زاحمت الفريضة فعل الكسوف في ضيق وقتهما</w:t>
      </w:r>
      <w:bookmarkEnd w:id="5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زاحمت الفريضة فعل الكسوف في ضيق وقتهما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القرص محترقاً كلّه، أو لم يحترق إلّابعضه‌؟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قضاء الكسوف مطلقاً، ولا يخفى وجهه على من راجع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قضاء مع عدم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تأخيرهما إلى الوقت الضيّق باختياره، قضاها أيضاً، لما دلّ على أنّ من تركها عمداً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تأخيرهما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القضاء أم لا يجب‌؟</w:t>
      </w:r>
    </w:p>
    <w:p>
      <w:pPr>
        <w:pStyle w:val="BookText"/>
        <w:rPr/>
      </w:pPr>
      <w:r>
        <w:rPr>
          <w:rFonts w:ascii="Amiri" w:hAnsi="Amiri" w:eastAsia="Amiri" w:cs="Amiri"/>
          <w:color w:val="111111"/>
          <w:sz w:val="28"/>
          <w:sz w:val="28"/>
          <w:szCs w:val="28"/>
          <w:rtl w:val="true"/>
          <w:lang w:bidi="ar-SA"/>
        </w:rPr>
        <w:t>أم يجب أن يفصّل بين ما إذا لم يكن التكليف بها ثابتاً قبل الوقت الضيّق، كما إذا كان مجنوناً، فلا يجب، وبين ما إذا كان أصل التكليف ثابتاً، ولكن معذوراً في تركها لجهل أو غيره فيجب‌؟</w:t>
      </w:r>
    </w:p>
    <w:p>
      <w:pPr>
        <w:pStyle w:val="BookText"/>
        <w:rPr/>
      </w:pPr>
      <w:r>
        <w:rPr>
          <w:rFonts w:ascii="Amiri" w:hAnsi="Amiri" w:eastAsia="Amiri" w:cs="Amiri"/>
          <w:color w:val="111111"/>
          <w:sz w:val="28"/>
          <w:sz w:val="28"/>
          <w:szCs w:val="28"/>
          <w:rtl w:val="true"/>
          <w:lang w:bidi="ar-SA"/>
        </w:rPr>
        <w:t>وجوهٌ‌، أقواها الأوّل، 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موثّق عمّار المتقدّم، الدالّ على أنّ من ترك صلاة الكسوف، ولم يكن جاهلاً، وجب عليه القضاء، ولو كان معذوراً في تركها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ضعف ما ذكره المصنّف رحمه الله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قضاء مع عدم التفريط</w:t>
      </w:r>
      <w:r>
        <w:rPr>
          <w:rFonts w:eastAsia="Amiri" w:cs="Amiri" w:ascii="Amiri" w:hAnsi="Amiri"/>
          <w:color w:val="111111"/>
          <w:sz w:val="28"/>
          <w:szCs w:val="28"/>
          <w:rtl w:val="true"/>
          <w:lang w:bidi="ar-SA"/>
        </w:rPr>
        <w:t>).</w:t>
      </w:r>
      <w:bookmarkStart w:id="52" w:name="pg11801_107987"/>
    </w:p>
    <w:p>
      <w:pPr>
        <w:pStyle w:val="BookText"/>
        <w:rPr/>
      </w:pPr>
      <w:bookmarkEnd w:id="52"/>
      <w:r>
        <w:rPr>
          <w:rFonts w:ascii="Amiri" w:hAnsi="Amiri" w:eastAsia="Amiri" w:cs="Amiri"/>
          <w:color w:val="111111"/>
          <w:sz w:val="28"/>
          <w:sz w:val="28"/>
          <w:szCs w:val="28"/>
          <w:rtl w:val="true"/>
          <w:lang w:bidi="ar-SA"/>
        </w:rPr>
        <w:t>صلاة الاستئجار</w:t>
      </w:r>
    </w:p>
    <w:p>
      <w:pPr>
        <w:pStyle w:val="Heading4"/>
        <w:numPr>
          <w:ilvl w:val="3"/>
          <w:numId w:val="1"/>
        </w:numPr>
        <w:rPr/>
      </w:pPr>
      <w:bookmarkStart w:id="53" w:name="__RefHeading___Toc10506744_73709187"/>
      <w:bookmarkStart w:id="54" w:name="_Toc20"/>
      <w:bookmarkEnd w:id="53"/>
      <w:r>
        <w:rPr>
          <w:rtl w:val="true"/>
        </w:rPr>
        <w:t>الفصل الرابع</w:t>
      </w:r>
      <w:r>
        <w:rPr>
          <w:rtl w:val="true"/>
        </w:rPr>
        <w:t xml:space="preserve">: </w:t>
      </w:r>
      <w:r>
        <w:rPr>
          <w:rtl w:val="true"/>
        </w:rPr>
        <w:t>في صلاة الاستئجار</w:t>
      </w:r>
      <w:r>
        <w:rPr>
          <w:rtl w:val="true"/>
        </w:rPr>
        <w:t>.</w:t>
      </w:r>
      <w:bookmarkEnd w:id="54"/>
    </w:p>
    <w:p>
      <w:pPr>
        <w:pStyle w:val="Heading5"/>
        <w:numPr>
          <w:ilvl w:val="4"/>
          <w:numId w:val="1"/>
        </w:numPr>
        <w:rPr/>
      </w:pPr>
      <w:bookmarkStart w:id="55" w:name="__RefHeading___Toc10506746_73709187"/>
      <w:bookmarkStart w:id="56" w:name="_Toc21"/>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يجوزُ الإستئجار للصَّلاة عن الاموات إذا فاتت منهم، كما هو المشهور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 كالشهيد</w:t>
      </w:r>
      <w:r>
        <w:rPr>
          <w:rStyle w:val="FootnoteAnchor"/>
          <w:rtl w:val="true"/>
        </w:rPr>
        <w:footnoteReference w:id="124"/>
      </w:r>
      <w:r>
        <w:rPr>
          <w:rFonts w:ascii="Amiri" w:hAnsi="Amiri" w:eastAsia="Amiri" w:cs="Amiri"/>
          <w:color w:val="111111"/>
          <w:sz w:val="28"/>
          <w:sz w:val="28"/>
          <w:szCs w:val="28"/>
          <w:rtl w:val="true"/>
          <w:lang w:bidi="ar-SA"/>
        </w:rPr>
        <w:t>والمحقّق</w:t>
      </w:r>
      <w:r>
        <w:rPr>
          <w:rStyle w:val="FootnoteAnchor"/>
          <w:rtl w:val="true"/>
        </w:rPr>
        <w:footnoteReference w:id="125"/>
      </w:r>
      <w:r>
        <w:rPr>
          <w:rFonts w:ascii="Amiri" w:hAnsi="Amiri" w:eastAsia="Amiri" w:cs="Amiri"/>
          <w:color w:val="111111"/>
          <w:sz w:val="28"/>
          <w:sz w:val="28"/>
          <w:szCs w:val="28"/>
          <w:rtl w:val="true"/>
          <w:lang w:bidi="ar-SA"/>
        </w:rPr>
        <w:t>وغيرهما</w:t>
      </w:r>
      <w:r>
        <w:rPr>
          <w:rStyle w:val="FootnoteAnchor"/>
          <w:rtl w:val="true"/>
        </w:rPr>
        <w:footnoteReference w:id="12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به تصريحاً في كلام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هو المشهور، إذ الصَّلاة عن الميّت عملٌ مشروع يرجع نفعها إلى الغير، فتكون الإجارة فيها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انتفاع الميّت بما يفعله الأحياء، وهي كثيرة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إلى محمّد بن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إنّه يكون في ضيق فيوسّع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محبوب،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في قبره الصَّلاة والصوم والحَجّ والصدقة والبِرّ والدُّعاء، ويُكتب أجره للذي فعله وللميّت</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بإسناده إلى عمّار بن موسى،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عليه صلاة أو صوم، هل يجوز له أن يقضيه غير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يقضيه إلّامسلمٌ عارف</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يتصدّق عن الميّت، أو يصوم ويُصلّي ويعتق‌؟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حسنٌ‌، يدخل مننفعته على الميّت</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هذه النصوص انتفاع الميّت من عمل كلّ من صدر عنه بعنوان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فتوقّف بعض المحقّقين</w:t>
      </w:r>
      <w:r>
        <w:rPr>
          <w:rStyle w:val="FootnoteAnchor"/>
          <w:rtl w:val="true"/>
        </w:rPr>
        <w:footnoteReference w:id="134"/>
      </w:r>
      <w:r>
        <w:rPr>
          <w:rFonts w:ascii="Amiri" w:hAnsi="Amiri" w:eastAsia="Amiri" w:cs="Amiri"/>
          <w:color w:val="111111"/>
          <w:sz w:val="28"/>
          <w:sz w:val="28"/>
          <w:szCs w:val="28"/>
          <w:rtl w:val="true"/>
          <w:lang w:bidi="ar-SA"/>
        </w:rPr>
        <w:t>في شمول الأدلّة للعمل الصادر عن الأجير، لم أعرف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النصوص، أنّ ما يكون ثابتاً في ذمّة الميّت لايعتبر فيه المباشرة، بل يكفي إيجاد العمل في الخارج متقرّباً إلى اللّه تعالى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دليل صحّة العقود، وإطلاق دليل صحّة الإجارة، وغيرهما ممّا يدلّ على جواز أخذ المال في مقابل الأفعال الاُخر التي يرجع نفعها إلى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واستدلّ لعدم جواز الإستئجار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عمومات صحّة العقود، متوقّفٌ على إحراز قابليّة المحلّ‌، ولو شكّ فيها كما في المقام، لا يصحّ التمسّك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عدم قابليّة المحلّ لا يعتنى به، مع إطلاقها المقامي المقتضي للرجوع الى العرف في إحرازها، إذ يكون بناء العرف على أنّ كلّ فعلٍ يرجع نفعه إلى الغير لذلك،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وسائر العبادات تتوقّف فائدتها للغير على وقوعها طاعةً للّه، فينافي مع إيقاعها للغير عوضاً عمّا يأخذه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صحّة العبادة ووقوع الفعل عبادةً أنْ يكون قصد القربة غاية الغايات، بل يكفي كون المُدّعي ذلك، ولو كان داعي الداعي غيره، وعليه فلو كان أخذ الاُجرة في طول قصد الأمر لم يكن منافياً مع عباديّة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w:t>
      </w:r>
      <w:r>
        <w:rPr>
          <w:rStyle w:val="FootnoteAnchor"/>
          <w:rtl w:val="true"/>
        </w:rPr>
        <w:footnoteReference w:id="135"/>
      </w:r>
      <w:r>
        <w:rPr>
          <w:rFonts w:ascii="Amiri" w:hAnsi="Amiri" w:eastAsia="Amiri" w:cs="Amiri"/>
          <w:color w:val="111111"/>
          <w:sz w:val="28"/>
          <w:sz w:val="28"/>
          <w:szCs w:val="28"/>
          <w:rtl w:val="true"/>
          <w:lang w:bidi="ar-SA"/>
        </w:rPr>
        <w:t>من عدم إمكان تعلّق الأمر الإجاري بما يعتبر فيه الخلوص، إذ تعلّقه يقتضي إمكان جعله داعياً، ولا يمكن ذلك مع التحفّظ على الإخلاص المعتبر في متعلّقه، ومع عدم إمكان تعلّق الأمر المعاملي، لا معنى لصحّة المعاملة، فاعتبار قصد الخلوص في متعلّق الإجارة بنفسه مانعٌ من صحّتها، لصيرورة متعلّقها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ينبغي الترديد في عدم جواز أخذ الاُجرة على الصَّلاة لاعتبار القربة فيها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المنافي للخلوص، هو أن تكون الاُجرة داعياً للعمل، وهو لا 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معتبراً في صحّة الإجارة، إذ المعتبر في تعلّق الأمر الإجاري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جعله داعياً، وهو لا ينافي الخلوص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أنّ الأمر بالإجارة توصّلي، فلا يكون قصده موجباً لإتّصاف العمل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التوصّلي لا يتوقّف سقوطه على إتيان العمل بقصد الامتثال، ولكن لو أتى به بقصد الامتثال، فإنّه لا شبهة في وقوعه عبادة، مع أنّ كون الأمر بالوفاء بالإجارة توصّليّاً مطلقاً ممنوعٌ‌، بل الظاهر أنّه تابع لمتعلّقة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w:t>
      </w:r>
      <w:r>
        <w:rPr>
          <w:rStyle w:val="FootnoteAnchor"/>
          <w:rtl w:val="true"/>
        </w:rPr>
        <w:footnoteReference w:id="137"/>
      </w:r>
      <w:r>
        <w:rPr>
          <w:rFonts w:ascii="Amiri" w:hAnsi="Amiri" w:eastAsia="Amiri" w:cs="Amiri"/>
          <w:color w:val="111111"/>
          <w:sz w:val="28"/>
          <w:sz w:val="28"/>
          <w:szCs w:val="28"/>
          <w:rtl w:val="true"/>
          <w:lang w:bidi="ar-SA"/>
        </w:rPr>
        <w:t>وهو أنّه كما لا يمكن اجتماع المِلْكين واجتماع الطلبين، كذلك يمتنع اجتماع طلب مع الملكيّة، فلو فرضنا تعلّق الطلب الشرعي بشيءٍ كالصّلاة عن الميّت، فلا يجوز صيرورته مِلْكاً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تامٌّ في ما إذا كانا في عرض واحدة، وأمّا إذا كانا طوليين، فلا محذور في الاجتماع حتّى في الطلبين، كأن يأمر الوالدة بشيء ويأمر الوالد بإطاعة أمرها،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بما أنّ ملكيّة المستأجر إنّما تكون في طول الطلب الشرعي،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عمران الوارد في فساد الدُّنيا، واضمحلال الدِّين،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الأذان بالاُجرة، والصَّلاة بالأجر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ظهوره في الحرمة لا يُنكر، وحرمة العبادة توجب فسادها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بالأجر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مجملٌ يحتمل أنْ يكون المراد أخذ إمام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الجماعة الاُجرة على صلاته بالنّاس، فيكون مفاده مفاد الصحيح المرويّ عن كتاب الشهادات، وفيه،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لاتُصلِّخلف مَن يبتغي على الأذان والصَّلاة بالنّاس أجراً، ولاتُقبل شهادته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فيكون الحسن أجنبيّاً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من التردّد فيه، معلّلاً بعدم النص، وعدم حجيّة القياس على الحَجّ أو على التبرّع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صَلّى الأجير عن الميّت، تفرغ ذمّته، كما هو المشهور</w:t>
      </w:r>
      <w:r>
        <w:rPr>
          <w:rStyle w:val="FootnoteAnchor"/>
          <w:rtl w:val="true"/>
        </w:rPr>
        <w:footnoteReference w:id="141"/>
      </w:r>
      <w:r>
        <w:rPr>
          <w:rFonts w:ascii="Amiri" w:hAnsi="Amiri" w:eastAsia="Amiri" w:cs="Amiri"/>
          <w:color w:val="111111"/>
          <w:sz w:val="28"/>
          <w:sz w:val="28"/>
          <w:szCs w:val="28"/>
          <w:rtl w:val="true"/>
          <w:lang w:bidi="ar-SA"/>
        </w:rPr>
        <w:t>، إذ ظاهر نصوص النيابة أنّ ما يصدر من النائب، يكون بمنزلة عمل المنوب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الإنتصار</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صحّة النيابة، وأنّ المراد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وليّ الميّت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يقضي عن نفسه، ونسبته إلى الميّت باعتبار أنّه السبب 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إذ لاريب في أنّ ما في ذمّة الميّت، إنّما هو الصَّلاة التي كانت واجبة عليه تعييناً، والشكّ في صحّة النيابة مرجعه إلى الشكّ في سقوط ما في ذمّته بفعل الغير، والأصل يقتضي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دلّ على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انقطع عمله إلّامن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هذه الاُمور لا يقاوم ما سبق، بل يجبُ الخروج عنها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عقلي، وهو إنّ متعلّق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فعل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فعل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مفرّغاً لذمّة المنوب عنه، بل يكون مفرّغاً لذمّة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التقرّب بفعله، فلا يكون أيضاً مفرّغاً لذمّة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بيان حقيقة النيابة، وبيان نحو تعلّق التكليف بما ثبت جواز الإستنابة فيه، وأنّه من أيّ قسمٍ من الأقسام المتصوّرة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بفعل النائب الذي هو الموجب لفراغ الذمّة، لا الإستنابة، ليس عبارةٌ عن إيجاب الصَّلاة على المنوب عنه على نحو التخيير بين أن يفعله هو أو نائبه، ليكون فعل النائب من أطراف الواجب التخييري، إذ لامعنى لكون الشخص مكلّفاً بفعل الغير، ولو على وجه التخيير بين فعله وفعل غيره، لكونه خارجاً عن تحت قدرته، مع أنّ التكليف بفعل الغير إنّما يكون في طول التكليف المتوجّه الى المنوب عنه، إذ بعد توجّهه إليه يصحّ لغيره النيابة عنه، فما في طول الشيء كيف يمكن أن يكون في عرضه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ليس عبارة عن إيجابها عليه نحو الواجب الكفائي، إذ الوجوب فيه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متوجّهٌ إلى جميع المكلّفين، فكلّ من أتى بالمأمور به، فقد أتى بما هو الواجب على نفسه، وهذا بخلاف النائب، فإنّه يأتي بما هو واجبٌ على المنوب عنه، ويقصد تفريغ ذمّته، ولو لم يقصد ذلك لكانت ذمّة الميّت باقية على ما اشتغلت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تشريعها على النائب والمتبرّع، ليس عبارة عن أنّ إيجاب الصَّلاة على المنوب عنه، أعمّ من أنْ يكون بفعل نفسه أو غيره المنزّل بدنه منزلة بدن المنوب عنه، إذ مضافاً إلى أنّ التنزيل ممّا لا يخطر ببال النائب والمنوب عنه، إنّه تنزيلٌ ادّعائي لا حقيقي، فلابدّ وأن يكون ذلك صادراً ممّن بيده جعل الآثار، وإلّا فلا يكاد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نَزّل زيدٌ نفسه منزلة عمرو، لا يترتّب عليه وجوب الإنفاق على زوجته، وغيره من الآثار والأحكام الثابتة لعمرو، بل حقيقة النيابة تنزيل فعل النائب منزلة فعل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العمل الواجب على الميّت ففيه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يريد المولى تحقّقه في الخارج، مع قطع النظر عن 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يريد الشارع أن يضيف إلى الميّت، ولو بأن يأتي به متبرّعٌ‌، فالنائب مهما تصوّر الفعل المأتي به عن الميّت، وجده ذا ملاكٍ موجب للأمر، فيجوز له الإتيان به قاصداً التقرّب بذلك الملاك، فيقع عبادة ويوجب سقوط ما في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ما فيه الملاك، وهو الفعل الصادر من المنوب عنه، فهو المستحقّ للثواب بإتيان النائب لا النائب، ومنه تظهر اُمور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الفعل الصادر عن النائب موجبٌ لقرب المنوب عنه، وفراغ ذمّته، وأنّه لا يكون مقرّباً للنائب، وإنّ ما تُوهّم من انحصار موجب القرب بالفعل </w:t>
      </w:r>
      <w:bookmarkStart w:id="57" w:name="pg11801_107994"/>
    </w:p>
    <w:p>
      <w:pPr>
        <w:pStyle w:val="BookText"/>
        <w:rPr/>
      </w:pPr>
      <w:bookmarkEnd w:id="57"/>
      <w:r>
        <w:rPr>
          <w:rFonts w:ascii="Amiri" w:hAnsi="Amiri" w:eastAsia="Amiri" w:cs="Amiri"/>
          <w:color w:val="111111"/>
          <w:sz w:val="28"/>
          <w:sz w:val="28"/>
          <w:szCs w:val="28"/>
          <w:rtl w:val="true"/>
          <w:lang w:bidi="ar-SA"/>
        </w:rPr>
        <w:t>الصادر ممّن يتقرّب بذلك الفعل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يعتبر في فراغ ذمّة الميّت أنْ يكون حين وقوعه للمنوب عنه، من غير فرق بين أنْ يكون الميّت مالكاً له قبل الإتيان به بعقد إجارةٍ أو غيره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يكفي في تفريغ ذمّة الميّت إتيان العمل وإهداء ثوابه إليه، بل لابدّ وأن يقصد إتيان ما على الميّت</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0506748_73709187"/>
      <w:bookmarkStart w:id="59" w:name="_Toc22"/>
      <w:bookmarkEnd w:id="58"/>
      <w:r>
        <w:rPr>
          <w:rtl w:val="true"/>
        </w:rPr>
        <w:t>مسائل</w:t>
      </w:r>
      <w:r>
        <w:rPr>
          <w:rtl w:val="true"/>
        </w:rPr>
        <w:t>:</w:t>
      </w:r>
      <w:bookmarkEnd w:id="59"/>
    </w:p>
    <w:p>
      <w:pPr>
        <w:pStyle w:val="Heading6"/>
        <w:numPr>
          <w:ilvl w:val="5"/>
          <w:numId w:val="1"/>
        </w:numPr>
        <w:rPr/>
      </w:pPr>
      <w:bookmarkStart w:id="60" w:name="__RefHeading___Toc10506750_73709187"/>
      <w:bookmarkStart w:id="61" w:name="_Toc23"/>
      <w:bookmarkEnd w:id="60"/>
      <w:r>
        <w:rPr>
          <w:rtl w:val="true"/>
        </w:rPr>
        <w:t>لو آجر نفسه فمات</w:t>
      </w:r>
      <w:bookmarkEnd w:id="61"/>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نفسه فمات قبل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قد اشترط معه المباشرة، فهل تبطل الإجارة بالنسبة إلى ما بقي عليه أم لا؟</w:t>
      </w:r>
    </w:p>
    <w:p>
      <w:pPr>
        <w:pStyle w:val="BookText"/>
        <w:rPr/>
      </w:pPr>
      <w:r>
        <w:rPr>
          <w:rFonts w:ascii="Amiri" w:hAnsi="Amiri" w:eastAsia="Amiri" w:cs="Amiri"/>
          <w:color w:val="111111"/>
          <w:sz w:val="28"/>
          <w:sz w:val="28"/>
          <w:szCs w:val="28"/>
          <w:rtl w:val="true"/>
          <w:lang w:bidi="ar-SA"/>
        </w:rPr>
        <w:t>وجهان أقواهما الأوّل، إذ الظاهر من اشتراط المباشرة أنّ موردها عقد الإجارة ومنافع من آجر نفسه، فبموته ينعدم الموضوع، كما لو ماتت الدابّة المستأجرة، وعليه فإنْ كان قد قبض مال الإجارة، فتكون ذمّته مشغولة به، ويكون كسائر ديونه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يشترط المباشرة، فما بقي من تلك الصَّلوات يكون باقياً في ذمّة الميّت، فإنْ كان له تركة وجب استئجاره من تركته، لأنّه من قبيل دَين النّاس، وإنْ لم يكن له تركة، فلا يجب على الورثة الاستئجار، لأنّه لا يلزم لهم أداء ديون الميّت من أموالهم</w:t>
      </w:r>
      <w:r>
        <w:rPr>
          <w:rFonts w:eastAsia="Amiri" w:cs="Amiri" w:ascii="Amiri" w:hAnsi="Amiri"/>
          <w:color w:val="111111"/>
          <w:sz w:val="28"/>
          <w:szCs w:val="28"/>
          <w:rtl w:val="true"/>
          <w:lang w:bidi="ar-SA"/>
        </w:rPr>
        <w:t xml:space="preserve">. </w:t>
      </w:r>
      <w:bookmarkStart w:id="62" w:name="pg11801_107995"/>
    </w:p>
    <w:p>
      <w:pPr>
        <w:pStyle w:val="BookText"/>
        <w:rPr/>
      </w:pPr>
      <w:bookmarkEnd w:id="62"/>
      <w:r>
        <w:rPr>
          <w:rFonts w:ascii="Amiri" w:hAnsi="Amiri" w:eastAsia="Amiri" w:cs="Amiri"/>
          <w:color w:val="111111"/>
          <w:sz w:val="28"/>
          <w:sz w:val="28"/>
          <w:szCs w:val="28"/>
          <w:rtl w:val="true"/>
          <w:lang w:bidi="ar-SA"/>
        </w:rPr>
        <w:t>نعم، يجوز تفريغ ذمّته من باب الزكاة بلا خلافٍ‌، بل عن غير واحدٍ</w:t>
      </w:r>
      <w:r>
        <w:rPr>
          <w:rStyle w:val="FootnoteAnchor"/>
          <w:rtl w:val="true"/>
        </w:rPr>
        <w:footnoteReference w:id="147"/>
      </w:r>
      <w:r>
        <w:rPr>
          <w:rFonts w:ascii="Amiri" w:hAnsi="Amiri" w:eastAsia="Amiri" w:cs="Amiri"/>
          <w:color w:val="111111"/>
          <w:sz w:val="28"/>
          <w:sz w:val="28"/>
          <w:szCs w:val="28"/>
          <w:rtl w:val="true"/>
          <w:lang w:bidi="ar-SA"/>
        </w:rPr>
        <w:t>دعوى الإجماع عليه،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عالم فاضل توفّي، وترك عليه دَيْنَاً، لم يكن بمفسدٍ ولا مسرفٍ ولا معروف بالمسألة، هل يُقضى عنه من الزكاة ألفٌ وألفان‌؟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كما أنّه يجوز بالتبرّع، ولا يخفى وجهه</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10506752_73709187"/>
      <w:bookmarkStart w:id="64" w:name="_Toc24"/>
      <w:bookmarkEnd w:id="63"/>
      <w:r>
        <w:rPr>
          <w:rtl w:val="true"/>
        </w:rPr>
        <w:t>إخراج الصَّلاة من أصل التركة</w:t>
      </w:r>
      <w:bookmarkEnd w:id="6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عليه صلاة أن يُوصي بها، إذ يجب بحكم العقل التسبيب إلى تحقّق الفعل، وتحصيل ملاكه الملزم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ينقطع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ذمّة من عليه الصَّلاة لا تفرغ بالموت، إلّاأنْ يُصلّي عنه متبرّع أو أجير، وعليه فيجبُ عليه قبل الموت التسبيب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الواجب على الوصيّ إخراجها من الأصل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دَين اللّه، لتصريح جملة من النصوص 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عن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عليه دَين </w:t>
      </w:r>
    </w:p>
    <w:p>
      <w:pPr>
        <w:pStyle w:val="BookText"/>
        <w:rPr/>
      </w:pPr>
      <w:r>
        <w:rPr>
          <w:rFonts w:ascii="Amiri" w:hAnsi="Amiri" w:eastAsia="Amiri" w:cs="Amiri"/>
          <w:color w:val="111111"/>
          <w:sz w:val="28"/>
          <w:sz w:val="28"/>
          <w:szCs w:val="28"/>
          <w:rtl w:val="true"/>
          <w:lang w:bidi="ar-SA"/>
        </w:rPr>
        <w:t>صلاة قام يقضيه، فخاف أن يُدركه الصبح، ولم يُصلِّ صلاة ليلته تلك‌؟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يؤخّر القضاء ويُصلّي صلاة ليلته تلك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حمّاد،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وقت الصَّلاة، فلا تؤخّر بشيء، صلّها واسترح منها فإنّها دَين اللّه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فيشملها ما دلَّ على أنّ دَين الميّت يُخرج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النصوص يدلّ على أنّ دين اللّه أحقّ أن يُقضى، كالخبر</w:t>
      </w:r>
      <w:r>
        <w:rPr>
          <w:rStyle w:val="FootnoteAnchor"/>
          <w:rtl w:val="true"/>
        </w:rPr>
        <w:footnoteReference w:id="151"/>
      </w:r>
      <w:r>
        <w:rPr>
          <w:rFonts w:ascii="Amiri" w:hAnsi="Amiri" w:eastAsia="Amiri" w:cs="Amiri"/>
          <w:color w:val="111111"/>
          <w:sz w:val="28"/>
          <w:sz w:val="28"/>
          <w:szCs w:val="28"/>
          <w:rtl w:val="true"/>
          <w:lang w:bidi="ar-SA"/>
        </w:rPr>
        <w:t>الوارد في قصّة الخثعميّة، حيث أنّها سألت رسول اللّه صلى الله عليه و آله 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أدركته فريضة الحجّ شيخاً زمناً لا يستطيع أن يحجّ‌، إنْ حَججتُ عنه ينفعه ذلك‌؟ فقال صلى الله عليه و 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 لو كان على أبيك دَينٌ فقضيته ينفعه ذلك‌؟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الدالّة على إخراج الدَّين من الأصل، مختصّة بالدَّين المالي ولا تشمل الدِّيون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التنزيل، ثبوت جميع أحكام المنزّل عليه للمنزّل، فتلك النصوص وإنْ اختصّت بالدَّين المالي، إلّاأنّ مقتضى تنزيل الصَّلاة منزلته ثبوت جميع أحكامه لها، ومنها لزوم إخراجه من الأصل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الأدلّة ليس تنزيل الصَّلاة منزلة الدين، بل المراد أنّها دَينٌ حقيقةً‌، وتكون الذمّة مشغولة بها، وحيثُ لا دليل على لزوم إخراج كلّ دينٍ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 فلا وجه للحكم بإخراجها منه، مع أنّ ظهور التنزيل في كونه بلحاظ جميع الآثار وإنْ كان لا يُنكر، إلّاأنّه فيما لم يكن قرينة على كونه بلحاظ أثر خاص، وفي المقام الظاهر من النصوص كون التنزيل بلحاظ لزوم الأداء،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ضعف الإستشهاد له بما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أحقُّ بالقضاء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الاستشهاد له بما ورد في أداء دين المقتول عمداً من ديته،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أحقّ بديته من غيره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إذ مقتضى أحقيّته لزوم تفريغ ذمّته بصرفها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أنّه إنّما يقتضي الأحقيّة فيما لو كان في ذمّة الميّت مال، والصَّلاة ليست من الأموال، لأنّها لم تجب على المكلّف باعتبار أنّها من الأموال، بل بما أنّها عبادة مخصوصة، غير ملحوظ فيها الحيثيّة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يقتضي الأحقيّة في كلّ ما اشتغلت ذمّته به، المتوقّف تفريغ ذمّته منه على صرف المال، من غير فرق بين كونه من الأموال أو من الواجباب البدنيّة، إذ لا وجه للتقيّد،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لزوم إخراجها من الأصل، وعلى ما اخترناه لو كان عليه الصَّلاة الاستئجاري، وفوائت من نفسه، فإنْ وَفَت التركة بها فلا إشكال، وإلّا ففي تقديم الاستئجاري وعدمه وجهان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قبيل دين النّاس، وبأنّ الواجبات البدنيّة لا تُخرج من الأصل، فلا تزاحم الواجب الاستئجاري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5" w:name="pg11801_107998"/>
    </w:p>
    <w:p>
      <w:pPr>
        <w:pStyle w:val="BookText"/>
        <w:rPr/>
      </w:pPr>
      <w:bookmarkEnd w:id="6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الاُمور المشهورة التي لا أصل لها، بل المشهور بين الفقهاء</w:t>
      </w:r>
      <w:r>
        <w:rPr>
          <w:rStyle w:val="FootnoteAnchor"/>
          <w:rtl w:val="true"/>
        </w:rPr>
        <w:footnoteReference w:id="154"/>
      </w:r>
      <w:r>
        <w:rPr>
          <w:rFonts w:ascii="Amiri" w:hAnsi="Amiri" w:eastAsia="Amiri" w:cs="Amiri"/>
          <w:color w:val="111111"/>
          <w:sz w:val="28"/>
          <w:sz w:val="28"/>
          <w:szCs w:val="28"/>
          <w:rtl w:val="true"/>
          <w:lang w:bidi="ar-SA"/>
        </w:rPr>
        <w:t>في المزاحمة بين الحَجّ والزّكاة، عدم تقديم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آنفاً من أنّ الصَّلاة تُخرج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هو التوزيع بالحِصص</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10506754_73709187"/>
      <w:bookmarkStart w:id="67" w:name="_Toc25"/>
      <w:bookmarkEnd w:id="66"/>
      <w:r>
        <w:rPr>
          <w:rtl w:val="true"/>
        </w:rPr>
        <w:t>الأقوى جواز استئجار غير البالغ بإذن وليّه</w:t>
      </w:r>
      <w:bookmarkEnd w:id="6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استئجار غير البالغ بإذن وليّه، لإطلاق أدلّة النيابة، لكن استدلّ على عدم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عبادات الصبي ليست شرعيّة، بل تكون تمرينيّة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أدلّة النيابة قاصرة عن شموله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في هذا الكتاب غير مرّة من أنّ عباداته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أدلّتها، جواز نيابة غير البالغ أيضاً</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10506756_73709187"/>
      <w:bookmarkStart w:id="69" w:name="_Toc26"/>
      <w:bookmarkEnd w:id="68"/>
      <w:r>
        <w:rPr>
          <w:rtl w:val="true"/>
        </w:rPr>
        <w:t>استئجار ذوي الأعذار</w:t>
      </w:r>
      <w:bookmarkEnd w:id="6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استئجار ذوي الأعذار مطلقاً، أم لا يجوز كذلك‌؟</w:t>
      </w:r>
    </w:p>
    <w:p>
      <w:pPr>
        <w:pStyle w:val="BookText"/>
        <w:rPr/>
      </w:pPr>
      <w:r>
        <w:rPr>
          <w:rFonts w:ascii="Amiri" w:hAnsi="Amiri" w:eastAsia="Amiri" w:cs="Amiri"/>
          <w:color w:val="111111"/>
          <w:sz w:val="28"/>
          <w:sz w:val="28"/>
          <w:szCs w:val="28"/>
          <w:rtl w:val="true"/>
          <w:lang w:bidi="ar-SA"/>
        </w:rPr>
        <w:t>أم يُفصّل بين ما إذا كان ما فات من الميّت أيضاً كذلك فيجوز، وإلّا فلا يجوز؟</w:t>
      </w:r>
    </w:p>
    <w:p>
      <w:pPr>
        <w:pStyle w:val="BookText"/>
        <w:rPr/>
      </w:pPr>
      <w:r>
        <w:rPr>
          <w:rFonts w:ascii="Amiri" w:hAnsi="Amiri" w:eastAsia="Amiri" w:cs="Amiri"/>
          <w:color w:val="111111"/>
          <w:sz w:val="28"/>
          <w:sz w:val="28"/>
          <w:szCs w:val="28"/>
          <w:rtl w:val="true"/>
          <w:lang w:bidi="ar-SA"/>
        </w:rPr>
        <w:t>وتحقيق القول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الفائت من الميّت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صلاة المختار، فالأقوى عدم جوازه، إلّامع تعذّر استئجار المختار، </w:t>
      </w:r>
      <w:bookmarkStart w:id="70" w:name="pg11801_107999"/>
    </w:p>
    <w:p>
      <w:pPr>
        <w:pStyle w:val="BookText"/>
        <w:rPr/>
      </w:pPr>
      <w:bookmarkEnd w:id="70"/>
      <w:r>
        <w:rPr>
          <w:rFonts w:ascii="Amiri" w:hAnsi="Amiri" w:eastAsia="Amiri" w:cs="Amiri"/>
          <w:color w:val="111111"/>
          <w:sz w:val="28"/>
          <w:sz w:val="28"/>
          <w:szCs w:val="28"/>
          <w:rtl w:val="true"/>
          <w:lang w:bidi="ar-SA"/>
        </w:rPr>
        <w:t>وذلك لأنّ أدلّة الابدّال الاضطرارية تختصّ بصورة تعذّر الفعل الاختياري، راجع ما ذكرناه في بدليّة الجلوس عن القيام، وقد عرفت أنّ مورد البدل الاضطراري هو ما إذا لم يعلم بزوال العُذر، وإلّا فلا يجوز البدار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كان الفائت من الميّت الناقص لا التامّ‌، فبناءً على أنّ الواجب في القضاء هو التامّ لو تمكّن منه، كما هو الأقوى على ما ستعرف، فحكمه حكم سابقه، وإلّا فيجوز استئجار ذي العذر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10506758_73709187"/>
      <w:bookmarkStart w:id="72" w:name="_Toc27"/>
      <w:bookmarkEnd w:id="71"/>
      <w:r>
        <w:rPr>
          <w:rtl w:val="true"/>
        </w:rPr>
        <w:t>الأجير يعمل على طبق تكليف نفسه</w:t>
      </w:r>
      <w:bookmarkEnd w:id="7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صلاة النائب جميع ما كان معتبراً في فعل الميّت، أم لا؟</w:t>
      </w:r>
    </w:p>
    <w:p>
      <w:pPr>
        <w:pStyle w:val="BookText"/>
        <w:rPr/>
      </w:pPr>
      <w:r>
        <w:rPr>
          <w:rFonts w:ascii="Amiri" w:hAnsi="Amiri" w:eastAsia="Amiri" w:cs="Amiri"/>
          <w:color w:val="111111"/>
          <w:sz w:val="28"/>
          <w:sz w:val="28"/>
          <w:szCs w:val="28"/>
          <w:rtl w:val="true"/>
          <w:lang w:bidi="ar-SA"/>
        </w:rPr>
        <w:t>وجهان، أقواهما الثاني، إذ ما يكون معتبراً في فعله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مع قطع النظر عن حال المباشر، كالقصر والإتمام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بلحاظ حال المؤدّي، كالإخفات للمرأة في غير الصَّلوات الإخفاتيّة، فإنّ اعتبار الإخفات في المرأة إنّما يكون بلحاظ أنّ المباشر امرأة كستر جميع بدنها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واللّازم في القسم الأوّل مراعاة حال الميّت، لأنّ تدارك الفائتة لا يحصل إلّا بمراعاة تلك الاُمور، وفي القسم الثاني مراعاة حال المباشر، فلو كان النائب رجلاً والميّت امرأة، وجب عليه الجهر في الجهريّة، لإطلاق ما دلّ على لزوم الجهر في الجهريّة الشامل لحال النيابة</w:t>
      </w:r>
      <w:r>
        <w:rPr>
          <w:rFonts w:eastAsia="Amiri" w:cs="Amiri" w:ascii="Amiri" w:hAnsi="Amiri"/>
          <w:color w:val="111111"/>
          <w:sz w:val="28"/>
          <w:szCs w:val="28"/>
          <w:rtl w:val="true"/>
          <w:lang w:bidi="ar-SA"/>
        </w:rPr>
        <w:t xml:space="preserve">. </w:t>
      </w:r>
      <w:bookmarkStart w:id="73" w:name="pg11801_108000"/>
    </w:p>
    <w:p>
      <w:pPr>
        <w:pStyle w:val="Heading6"/>
        <w:numPr>
          <w:ilvl w:val="5"/>
          <w:numId w:val="1"/>
        </w:numPr>
        <w:rPr/>
      </w:pPr>
      <w:bookmarkStart w:id="74" w:name="__RefHeading___Toc10506760_73709187"/>
      <w:bookmarkStart w:id="75" w:name="_Toc28"/>
      <w:bookmarkEnd w:id="73"/>
      <w:bookmarkEnd w:id="74"/>
      <w:r>
        <w:rPr>
          <w:rtl w:val="true"/>
        </w:rPr>
        <w:t>وجوب الإتيان بالصلاة على مقتضى تكليف نفسه</w:t>
      </w:r>
      <w:bookmarkEnd w:id="7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أطلق صيغة الإجارة، وجب على الأجير الإتيان بالصلاة على مقتضى تكليف نفسه، سواءٌ أكانت الإجارة على الصَّلاة عن عمروٍ مثلاً أم كانت على تفريغ ذمّته، إذ بما أنّ مقتضى الإطلاق هو الإتيان بالصلاة صحيحة، والصحيح بنظر الأجير هو ما يقتضيه تكليف نفسه، فمقتضى الإطلاق هو الرجوع إلى رأي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توهّم من أنّ الإجارة إذا كانت على تفريغ ذمّة عمرو وجب العمل بمقتضى تكليف عمرو، إذ لا يُعلم الفراغ إلّابذلك، لأنّ الأجير إذا عمل بوظيفته، فيعلم بفراغ ذمّة عمرو، لأنّه بمقتضى الاجتهاد أو التقليد يرى أنّ الصَّلاة المأمور بها الواجبة على عامّة المكلّفين، هي ما يقتضيه تكليف نفسه، مثلاً لو كان الواجب على الميّت التسبيحات الأربع ثلاثاً، والأجير يرى عدم وجوبها، ففي نظر الأجير الصَّلاة التي تكون في ذمّة عمرو هي الصَّلاة المشتملة على التسبيحات الأربع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الإجارة على العمل بمقتضى تكليف الميّت أو غيره، لأنّ العمل حينئذٍ ممّا يترتّب عليه منفعة مقصودة، يصحّ بذل المال بإزائه، إلّاإذا كان الأجير يعلم عِلْماً وجدانيّاً ببطلانه، فإنّه حينئذٍ لايتأتّى منه قصد القُربة</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10506762_73709187"/>
      <w:bookmarkStart w:id="77" w:name="_Toc29"/>
      <w:bookmarkEnd w:id="76"/>
      <w:r>
        <w:rPr>
          <w:rtl w:val="true"/>
        </w:rPr>
        <w:t>مراعاة الشروط المعتبرة في الأداء</w:t>
      </w:r>
      <w:bookmarkEnd w:id="7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أنّه يلزم على الأجير مراعاة الشروط المعتبرة في الأداء إذ لا يحصل تدارك الصَّلاة الفائته إلّابذلك، وأمّا الشروط المعتبرة في القضاء غير المعتبرة في الأداء، كالترتيب بين الفوائت على القول به، فهل يجب مراعاتها للأجير أم لا؟ وجهان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الأجير إنّما يكون نائباً عن الميّت في الأداء، ولا يفعل </w:t>
      </w:r>
    </w:p>
    <w:p>
      <w:pPr>
        <w:pStyle w:val="BookText"/>
        <w:rPr/>
      </w:pPr>
      <w:r>
        <w:rPr>
          <w:rFonts w:ascii="Amiri" w:hAnsi="Amiri" w:eastAsia="Amiri" w:cs="Amiri"/>
          <w:color w:val="111111"/>
          <w:sz w:val="28"/>
          <w:sz w:val="28"/>
          <w:szCs w:val="28"/>
          <w:rtl w:val="true"/>
          <w:lang w:bidi="ar-SA"/>
        </w:rPr>
        <w:t>القضاء الذي كان واجباً على الميّت، وأدلّة تلك الشروط مختصّة بالقضاء عن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اعتبارها في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النائب يفعل ما يكون في ذمّة الميّت وهو القضاء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فالأقوى اعتبارها في القضاء عن الغير</w:t>
      </w:r>
      <w:r>
        <w:rPr>
          <w:rFonts w:eastAsia="Amiri" w:cs="Amiri" w:ascii="Amiri" w:hAnsi="Amiri"/>
          <w:color w:val="111111"/>
          <w:sz w:val="28"/>
          <w:szCs w:val="28"/>
          <w:rtl w:val="true"/>
          <w:lang w:bidi="ar-SA"/>
        </w:rPr>
        <w:t>.</w:t>
      </w:r>
      <w:bookmarkStart w:id="78" w:name="pg11801_108002"/>
    </w:p>
    <w:p>
      <w:pPr>
        <w:pStyle w:val="BookText"/>
        <w:rPr/>
      </w:pPr>
      <w:bookmarkEnd w:id="78"/>
      <w:r>
        <w:rPr>
          <w:rFonts w:ascii="Amiri" w:hAnsi="Amiri" w:eastAsia="Amiri" w:cs="Amiri"/>
          <w:color w:val="111111"/>
          <w:sz w:val="28"/>
          <w:sz w:val="28"/>
          <w:szCs w:val="28"/>
          <w:rtl w:val="true"/>
          <w:lang w:bidi="ar-SA"/>
        </w:rPr>
        <w:t>قضاء الوليّ‌</w:t>
      </w:r>
    </w:p>
    <w:p>
      <w:pPr>
        <w:pStyle w:val="Heading4"/>
        <w:numPr>
          <w:ilvl w:val="3"/>
          <w:numId w:val="1"/>
        </w:numPr>
        <w:rPr/>
      </w:pPr>
      <w:bookmarkStart w:id="79" w:name="__RefHeading___Toc10506764_73709187"/>
      <w:bookmarkStart w:id="80" w:name="_Toc30"/>
      <w:bookmarkEnd w:id="79"/>
      <w:r>
        <w:rPr>
          <w:rtl w:val="true"/>
        </w:rPr>
        <w:t>الفصل الخامس</w:t>
      </w:r>
      <w:r>
        <w:rPr>
          <w:rtl w:val="true"/>
        </w:rPr>
        <w:t xml:space="preserve">: </w:t>
      </w:r>
      <w:r>
        <w:rPr>
          <w:rtl w:val="true"/>
        </w:rPr>
        <w:t>في قضاء الوليّ‌</w:t>
      </w:r>
      <w:r>
        <w:rPr>
          <w:rtl w:val="true"/>
        </w:rPr>
        <w:t>.</w:t>
      </w:r>
      <w:bookmarkEnd w:id="80"/>
    </w:p>
    <w:p>
      <w:pPr>
        <w:pStyle w:val="Heading5"/>
        <w:numPr>
          <w:ilvl w:val="4"/>
          <w:numId w:val="1"/>
        </w:numPr>
        <w:rPr/>
      </w:pPr>
      <w:bookmarkStart w:id="81" w:name="__RefHeading___Toc10506766_73709187"/>
      <w:bookmarkStart w:id="82" w:name="_Toc31"/>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والكلام فيه يقع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المقضيّ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أحكام القضاء</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0506768_73709187"/>
      <w:bookmarkStart w:id="84" w:name="_Toc32"/>
      <w:bookmarkEnd w:id="83"/>
      <w:r>
        <w:rPr>
          <w:rtl w:val="true"/>
        </w:rPr>
        <w:t>لزوم قضاء جميع ما فات عن الميّت</w:t>
      </w:r>
      <w:bookmarkEnd w:id="84"/>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55"/>
      </w:r>
      <w:r>
        <w:rPr>
          <w:rFonts w:ascii="Amiri" w:hAnsi="Amiri" w:eastAsia="Amiri" w:cs="Amiri"/>
          <w:color w:val="111111"/>
          <w:sz w:val="28"/>
          <w:sz w:val="28"/>
          <w:szCs w:val="28"/>
          <w:rtl w:val="true"/>
          <w:lang w:bidi="ar-SA"/>
        </w:rPr>
        <w:t>لزوم قضاء جميع ما فات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w:t>
      </w:r>
      <w:r>
        <w:rPr>
          <w:rStyle w:val="FootnoteAnchor"/>
          <w:rtl w:val="true"/>
        </w:rPr>
        <w:footnoteReference w:id="157"/>
      </w:r>
      <w:r>
        <w:rPr>
          <w:rFonts w:ascii="Amiri" w:hAnsi="Amiri" w:eastAsia="Amiri" w:cs="Amiri"/>
          <w:color w:val="111111"/>
          <w:sz w:val="28"/>
          <w:sz w:val="28"/>
          <w:szCs w:val="28"/>
          <w:rtl w:val="true"/>
          <w:lang w:bidi="ar-SA"/>
        </w:rPr>
        <w:t>، والشهيدين</w:t>
      </w:r>
      <w:r>
        <w:rPr>
          <w:rStyle w:val="FootnoteAnchor"/>
          <w:rtl w:val="true"/>
        </w:rPr>
        <w:footnoteReference w:id="158"/>
      </w:r>
      <w:r>
        <w:rPr>
          <w:rFonts w:ascii="Amiri" w:hAnsi="Amiri" w:eastAsia="Amiri" w:cs="Amiri"/>
          <w:color w:val="111111"/>
          <w:sz w:val="28"/>
          <w:sz w:val="28"/>
          <w:szCs w:val="28"/>
          <w:rtl w:val="true"/>
          <w:lang w:bidi="ar-SA"/>
        </w:rPr>
        <w:t>، وعميد الدين</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160"/>
      </w:r>
      <w:r>
        <w:rPr>
          <w:rFonts w:ascii="Amiri" w:hAnsi="Amiri" w:eastAsia="Amiri" w:cs="Amiri"/>
          <w:color w:val="111111"/>
          <w:sz w:val="28"/>
          <w:sz w:val="28"/>
          <w:szCs w:val="28"/>
          <w:rtl w:val="true"/>
          <w:lang w:bidi="ar-SA"/>
        </w:rPr>
        <w:t>، وابن سعيد</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إلّاما فاته في مرض الموت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ما هو المشهور، لإطلاق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وعليه صلاة أو صيام‌؟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أولى النّاس بميراثه،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إلّاالرِّجال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عمير،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يموت وعليه صلاة أو صوم‌؟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أولى النّاس به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النصوص إليه، لنُدرة الترك العمدي من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تسليم 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إذ ندرة الوجود لا توجبُ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المتعمِّد مؤأخذٌ بذنبه، فلا يناسب مؤأخذة الوليّ به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الخروج عن الآية لو سُلّم دلالتها على ذلك بالنصوص المتقدّمة، مع أنّ للمنع عن دلالتها مجالاً واسعاً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التي دَخَل وقتها قبل أنْ يموت الميّت، يقضي عنه أولى النّاس به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5" w:name="pg11801_108004"/>
    </w:p>
    <w:p>
      <w:pPr>
        <w:pStyle w:val="BookText"/>
        <w:rPr/>
      </w:pPr>
      <w:bookmarkEnd w:id="8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 فلا يوجب تقييد المطلقات، والظاهر أنّه لا منشأ للقول الأخير سوى بعض ما تقدّم الذي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الأصحاب</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الصَّلاة تعييناً، وعن السيّدين</w:t>
      </w:r>
      <w:r>
        <w:rPr>
          <w:rStyle w:val="FootnoteAnchor"/>
          <w:rtl w:val="true"/>
        </w:rPr>
        <w:footnoteReference w:id="167"/>
      </w:r>
      <w:r>
        <w:rPr>
          <w:rFonts w:ascii="Amiri" w:hAnsi="Amiri" w:eastAsia="Amiri" w:cs="Amiri"/>
          <w:color w:val="111111"/>
          <w:sz w:val="28"/>
          <w:sz w:val="28"/>
          <w:szCs w:val="28"/>
          <w:rtl w:val="true"/>
          <w:lang w:bidi="ar-SA"/>
        </w:rPr>
        <w:t>، والعُمّاني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 وبين الصدقة، ولم نظفر له بمستند، والذي ورد في الصدقة إنّما هو بالنسبة الى النوافل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يجبُ على الوليّ قضاء ما فات عن الميّت من صلاة نفسه، ولا ما وجب عليه بالاستئجار أو الولاية أو نحوهما، لانصراف النصوص إليها، فتأمّل</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0506770_73709187"/>
      <w:bookmarkStart w:id="87" w:name="_Toc33"/>
      <w:bookmarkEnd w:id="86"/>
      <w:r>
        <w:rPr>
          <w:rtl w:val="true"/>
        </w:rPr>
        <w:t>في المقضيّ عنه</w:t>
      </w:r>
      <w:bookmarkEnd w:id="87"/>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على ما نُسِب إليهم</w:t>
      </w:r>
      <w:r>
        <w:rPr>
          <w:rStyle w:val="FootnoteAnchor"/>
          <w:rtl w:val="true"/>
        </w:rPr>
        <w:footnoteReference w:id="170"/>
      </w:r>
      <w:r>
        <w:rPr>
          <w:rFonts w:ascii="Amiri" w:hAnsi="Amiri" w:eastAsia="Amiri" w:cs="Amiri"/>
          <w:color w:val="111111"/>
          <w:sz w:val="28"/>
          <w:sz w:val="28"/>
          <w:szCs w:val="28"/>
          <w:rtl w:val="true"/>
          <w:lang w:bidi="ar-SA"/>
        </w:rPr>
        <w:t>أنّه الرّجل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جماعةٍكالحِلّي</w:t>
      </w:r>
      <w:r>
        <w:rPr>
          <w:rStyle w:val="FootnoteAnchor"/>
          <w:rtl w:val="true"/>
        </w:rPr>
        <w:footnoteReference w:id="171"/>
      </w:r>
      <w:r>
        <w:rPr>
          <w:rFonts w:ascii="Amiri" w:hAnsi="Amiri" w:eastAsia="Amiri" w:cs="Amiri"/>
          <w:color w:val="111111"/>
          <w:sz w:val="28"/>
          <w:sz w:val="28"/>
          <w:szCs w:val="28"/>
          <w:rtl w:val="true"/>
          <w:lang w:bidi="ar-SA"/>
        </w:rPr>
        <w:t>والمحقّق</w:t>
      </w:r>
      <w:r>
        <w:rPr>
          <w:rStyle w:val="FootnoteAnchor"/>
          <w:rtl w:val="true"/>
        </w:rPr>
        <w:footnoteReference w:id="172"/>
      </w:r>
      <w:r>
        <w:rPr>
          <w:rFonts w:ascii="Amiri" w:hAnsi="Amiri" w:eastAsia="Amiri" w:cs="Amiri"/>
          <w:color w:val="111111"/>
          <w:sz w:val="28"/>
          <w:sz w:val="28"/>
          <w:szCs w:val="28"/>
          <w:rtl w:val="true"/>
          <w:lang w:bidi="ar-SA"/>
        </w:rPr>
        <w:t>والشهيد</w:t>
      </w:r>
      <w:r>
        <w:rPr>
          <w:rStyle w:val="FootnoteAnchor"/>
          <w:rtl w:val="true"/>
        </w:rPr>
        <w:footnoteReference w:id="173"/>
      </w:r>
      <w:r>
        <w:rPr>
          <w:rFonts w:ascii="Amiri" w:hAnsi="Amiri" w:eastAsia="Amiri" w:cs="Amiri"/>
          <w:color w:val="111111"/>
          <w:sz w:val="28"/>
          <w:sz w:val="28"/>
          <w:szCs w:val="28"/>
          <w:rtl w:val="true"/>
          <w:lang w:bidi="ar-SA"/>
        </w:rPr>
        <w:t>الثانيين وغيرهم</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المرأة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ابن سنان المتقدّم، لأنّ إطلاق الميّت يشمل المرأة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دلّ على وجوب قضاء الوليّ الصوم عنها، كمصحّح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مرِضَتْ في شهر رمضان أو طمثت أو سافرت، فماتت قبل خروج شهر رمضان، هل يُقضى عنها؟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والمرض فلا، وأمّا السّفر فنعم</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مسوقٌ لبيان حكمٍ آخر، وهو تعيين محلّ القضاء عن الميّت، فلا يصحّ التمسّك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كونه في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كونه وارداً في مقام بيان الوظيفة الفعليّة، وعليه فلا يكون مهملاً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 كونه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يثبت فيها بضميمة عدم فرق بين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الخبر المذكور إلى الرّجل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وباختصاص أكثر النصوص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الانصراف فغير تامٍّ‌، وأمّا كون مورد أكثر النصوص هو الرّجل لا يوجب تقييد ما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إلحاق المرأة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المقضيّ عنه الحريّة أم لا؟ وجهان بل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اختار أوّلهما الفخر</w:t>
      </w:r>
      <w:r>
        <w:rPr>
          <w:rStyle w:val="FootnoteAnchor"/>
          <w:rtl w:val="true"/>
        </w:rPr>
        <w:footnoteReference w:id="176"/>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بانصراف النصوص عن 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الأولى بالعبد هو سيّده، ولا خلاف في عدم وجوبه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النصوص إرادة أولى النّاس به من الأقارب، ومن هو أشدّ علاقةً به من غيره، الموجبة أشدّيتها لأولويّته بالإرث، لو اجتمع سائر شروط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مقتضى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وليّه أن يتصدّق عنه من تركته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الضمير بما أنّه يرجع إلى غير العبد، فهو يقتضي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المشتمل على هذا، لو سُلّم اختصاصه بغير العبد، إلّاأنّه لا يوجب تقييد النصوص المطلقة غير المشتملة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الحريّة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88" w:name="pg11801_108007"/>
    </w:p>
    <w:p>
      <w:pPr>
        <w:pStyle w:val="Heading5"/>
        <w:numPr>
          <w:ilvl w:val="4"/>
          <w:numId w:val="1"/>
        </w:numPr>
        <w:rPr/>
      </w:pPr>
      <w:bookmarkStart w:id="89" w:name="__RefHeading___Toc10506772_73709187"/>
      <w:bookmarkStart w:id="90" w:name="_Toc34"/>
      <w:bookmarkEnd w:id="88"/>
      <w:bookmarkEnd w:id="89"/>
      <w:r>
        <w:rPr>
          <w:rtl w:val="true"/>
        </w:rPr>
        <w:t>في القاضي</w:t>
      </w:r>
      <w:bookmarkEnd w:id="90"/>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w:t>
      </w:r>
      <w:r>
        <w:rPr>
          <w:rStyle w:val="FootnoteAnchor"/>
          <w:rtl w:val="true"/>
        </w:rPr>
        <w:footnoteReference w:id="177"/>
      </w:r>
      <w:r>
        <w:rPr>
          <w:rFonts w:ascii="Amiri" w:hAnsi="Amiri" w:eastAsia="Amiri" w:cs="Amiri"/>
          <w:color w:val="111111"/>
          <w:sz w:val="28"/>
          <w:sz w:val="28"/>
          <w:szCs w:val="28"/>
          <w:rtl w:val="true"/>
          <w:lang w:bidi="ar-SA"/>
        </w:rPr>
        <w:t>وأكثر المتأخّرين عنه</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لم يكن له ولدٌ من الرِّجال قضى عنه أكبر أوليائه من أهله، وإنْ لم يكن فمن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النصوص عدم وجوبه على النساء، وعدم اختصاص التكليف بالولد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حفص،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طلاق قوله عليه السلام في الصحيح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بميراثه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إطلاقه يشمل جميع الطبقة الاُولى، ومع عدمها جميع الطبقة الثانية، وهكذا بالنسبة إلى غيرها من الطبقات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الولد،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كلّ من وجد ويفرض وجوده، والمراد هو سنخ الميراث، ولو بلحاظ بعض المراتب، ولا شبهة في أنّ أولى النّاس بالميراث على هذا، هو الولد الذَّكر، إذ أولويّة غيره من الطبقات إنّما تكون إضافيّة بلحاظ الموجودين حين الموت، وأولويّة الأب في بعض الموارد، </w:t>
      </w:r>
    </w:p>
    <w:p>
      <w:pPr>
        <w:pStyle w:val="BookText"/>
        <w:rPr/>
      </w:pPr>
      <w:r>
        <w:rPr>
          <w:rFonts w:ascii="Amiri" w:hAnsi="Amiri" w:eastAsia="Amiri" w:cs="Amiri"/>
          <w:color w:val="111111"/>
          <w:sz w:val="28"/>
          <w:sz w:val="28"/>
          <w:szCs w:val="28"/>
          <w:rtl w:val="true"/>
          <w:lang w:bidi="ar-SA"/>
        </w:rPr>
        <w:t>لكونه أكثر سهماً من الولد، كما لو اجتمع له أبٌ مع عشرة أولاد، إنّما تكون بلحاظ أصل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 وإنْ كان عدم اختصاص التكليف بالأكبر، إلّاأنّه يتعيّن تقييده بمكاتبة الصفّار إلى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وعيله قضاء من شهر رمضان عشرة أيّام، وله وليّان، هل يجوز لهما أن يقضيا عنه خمسة أيّام أحد الوليّين، وخمسة أيّام الآخر؟</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إنْ شاء اللّه</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الفرق بين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الفعليّة بلحاظ أصل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منه الولد، لما كان وجهٌ للتعبير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منه الولد الأكبر، لما كان حينئذٍ مورد للسؤال والجواب المذكورين في ذيل الصحيح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أولى النّاس به امرأة‌؟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تقييد إطلاق الصحيح بقوله عليه السلام في موثّق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الأفضل ميراثاً بلحاظ الحِباء، هو الولد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الأفضل ميراثاً، كان ما ذكر تامّاً، ولكنّه خلاف الظاهر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عليه السلام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فالمراد منه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الأكثر نصيباً، لا خصوص الولد الأكبر، كما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صحيح الكناسي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أولى بك من ابن ابنك، وابنُ ابنكَ أولى من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وأخوك لأبيك واُمّك أولى بك من أخيك لأبيك، وأخوك لأبيك أولى بك من أخيك 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اختصاص لهذا الحكم بالولد الأكبر، نعم بما أنّ الولد يكون سهمه غالباً أزيد من غيره من الورّاث، والولد الأكبر يكون نصيبه أزيد من غيره لاختصاص الحَبوة به، فيجبُ عليه عند وجوده القضاء عن أبيه، وأمّا مع فقده، فيجبُ على غيره من الورّاث على ترتيب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المفيد رحمه الله</w:t>
      </w:r>
      <w:r>
        <w:rPr>
          <w:rStyle w:val="FootnoteAnchor"/>
          <w:rtl w:val="true"/>
        </w:rPr>
        <w:footnoteReference w:id="183"/>
      </w:r>
      <w:r>
        <w:rPr>
          <w:rFonts w:ascii="Amiri" w:hAnsi="Amiri" w:eastAsia="Amiri" w:cs="Amiri"/>
          <w:color w:val="111111"/>
          <w:sz w:val="28"/>
          <w:sz w:val="28"/>
          <w:szCs w:val="28"/>
          <w:rtl w:val="true"/>
          <w:lang w:bidi="ar-SA"/>
        </w:rPr>
        <w:t>من أنّه مع فقد الولد يقضي عنه أكبر أوليائه من أهله، هو القويّ‌، وأمّا ما ذكره رحمه الله من أنّه إنْ لم يكن فمن النساء، فقد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لإعراض الأصحاب عن هذه النصوص، الكاشف عن قرينة على خلاف ظاهرها، الموجب لإجمالها، لا يصحّ الاعتماد عليها، فيرجع إلى الأصل النافي للوجوب على غير الولد الأكبر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الإعراض الكاشف عن وجود القرينة، لإفتاء جماعة من القدماء والمتأخّرين كابن الجُنيد</w:t>
      </w:r>
      <w:r>
        <w:rPr>
          <w:rStyle w:val="FootnoteAnchor"/>
          <w:rtl w:val="true"/>
        </w:rPr>
        <w:footnoteReference w:id="184"/>
      </w:r>
      <w:r>
        <w:rPr>
          <w:rFonts w:ascii="Amiri" w:hAnsi="Amiri" w:eastAsia="Amiri" w:cs="Amiri"/>
          <w:color w:val="111111"/>
          <w:sz w:val="28"/>
          <w:sz w:val="28"/>
          <w:szCs w:val="28"/>
          <w:rtl w:val="true"/>
          <w:lang w:bidi="ar-SA"/>
        </w:rPr>
        <w:t>وابن بابويه</w:t>
      </w:r>
      <w:r>
        <w:rPr>
          <w:rStyle w:val="FootnoteAnchor"/>
          <w:rtl w:val="true"/>
        </w:rPr>
        <w:footnoteReference w:id="185"/>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وصاحب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وغيرهم</w:t>
      </w:r>
      <w:r>
        <w:rPr>
          <w:rStyle w:val="FootnoteAnchor"/>
          <w:rtl w:val="true"/>
        </w:rPr>
        <w:footnoteReference w:id="188"/>
      </w:r>
      <w:r>
        <w:rPr>
          <w:rFonts w:ascii="IRNazanin" w:hAnsi="IRNazanin" w:eastAsia="IRNazanin"/>
          <w:color w:val="111111"/>
          <w:sz w:val="28"/>
          <w:sz w:val="28"/>
          <w:szCs w:val="28"/>
          <w:rtl w:val="true"/>
          <w:lang w:bidi="fa-IR"/>
        </w:rPr>
        <w:t>بما تضمّنته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عدم إفتاء غيرهم به يمكن أن يكون لما ذكرناه أو بعضه الذي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عن ظاهر النصوص</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1" w:name="pg11801_108011"/>
    </w:p>
    <w:p>
      <w:pPr>
        <w:pStyle w:val="Heading5"/>
        <w:numPr>
          <w:ilvl w:val="4"/>
          <w:numId w:val="1"/>
        </w:numPr>
        <w:rPr/>
      </w:pPr>
      <w:bookmarkStart w:id="92" w:name="__RefHeading___Toc10506774_73709187"/>
      <w:bookmarkStart w:id="93" w:name="_Toc35"/>
      <w:bookmarkEnd w:id="91"/>
      <w:bookmarkEnd w:id="92"/>
      <w:r>
        <w:rPr>
          <w:rtl w:val="true"/>
        </w:rPr>
        <w:t>أحكام القضاء</w:t>
      </w:r>
      <w:bookmarkEnd w:id="93"/>
    </w:p>
    <w:p>
      <w:pPr>
        <w:pStyle w:val="Heading6"/>
        <w:numPr>
          <w:ilvl w:val="5"/>
          <w:numId w:val="1"/>
        </w:numPr>
        <w:rPr/>
      </w:pPr>
      <w:bookmarkStart w:id="94" w:name="__RefHeading___Toc10506776_73709187"/>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وأمّا 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أحكام القضاء، 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تساوى الولدان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يسقط القضاء عنهما، كما عن الحِلّي رحمه الله</w:t>
      </w:r>
      <w:r>
        <w:rPr>
          <w:rStyle w:val="FootnoteAnchor"/>
          <w:rtl w:val="true"/>
        </w:rPr>
        <w:footnoteReference w:id="1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يجبُ عليهما بالتقسيط كما عن الأكثر</w:t>
      </w:r>
      <w:r>
        <w:rPr>
          <w:rStyle w:val="FootnoteAnchor"/>
          <w:rtl w:val="true"/>
        </w:rPr>
        <w:footnoteReference w:id="19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بنحو الواجب الكفائي، كما عن القاضي</w:t>
      </w:r>
      <w:r>
        <w:rPr>
          <w:rStyle w:val="FootnoteAnchor"/>
          <w:rtl w:val="true"/>
        </w:rPr>
        <w:footnoteReference w:id="191"/>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هو الولد الأكبر، ومع عدم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الحكم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الأكبر لم يؤخذ في لسان الدليل موضوعاً، وإنّما قلنا بوجوبه عليه لكونه نصيباً من غيره، ومكاتبة الصفّار المتقدّمة بما أنّها واردة في الصوم، وتدلّ على عدم جواز فعله من غير الأكبر، وهو ممّا لم يلتزم به أحد، لا يعتمد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كونه موضوعاً، فإنّما هو في مورد اجتماع الأكبر والأصغر لا مطلقاً، إذ لا مقيّد لإطلاق الأدلّة في غير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الوليّ الذي هو الموضوع إنّما أُخذ بنحو صرف الوجود، الصادق على القليل والكثير، ولازمه وإنْ كان وجوب القضاء على كلّ واحدٍ عيناً، إلّا أنّه حيث يكون تفريغ ذمّة الميّت ممّا لا يقبل التعدّد فينقلب الوجوب كفائيّاً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 إذا كان متعدّداً، يكون ظاهر تكليفهم بقضاء عدّة صلوات من </w:t>
      </w:r>
    </w:p>
    <w:p>
      <w:pPr>
        <w:pStyle w:val="BookText"/>
        <w:rPr/>
      </w:pPr>
      <w:r>
        <w:rPr>
          <w:rFonts w:ascii="Amiri" w:hAnsi="Amiri" w:eastAsia="Amiri" w:cs="Amiri"/>
          <w:color w:val="111111"/>
          <w:sz w:val="28"/>
          <w:sz w:val="28"/>
          <w:szCs w:val="28"/>
          <w:rtl w:val="true"/>
          <w:lang w:bidi="ar-SA"/>
        </w:rPr>
        <w:t>الميّت، وجوب قضائها عليهم بالتوزيع، وإنْ شئتَ فاختبر ذلك من حال الموالي والعبيد العُرفيّة، فإنّه لو أمر المولى عبيده جميعاً بكنس المسجد، لا يتوقّف أحدٌ في أنّ ذلك إنّما يجب عليهم بالتقسيط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تنزّلنا عن ذلك، وسَلّمنا عدم ظهوره في ذلك، فما ذكره الشيخ الأعظم الأنصاري رحمه الله</w:t>
      </w:r>
      <w:r>
        <w:rPr>
          <w:rStyle w:val="FootnoteAnchor"/>
          <w:rtl w:val="true"/>
        </w:rPr>
        <w:footnoteReference w:id="19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الوجوب على الجنس أعمٌّ من التوزيع، ومن الوجوب الكفائي، فالأصل عدم تكليف كلّ منهمابأزيد من حصّته، ولو عليطريق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بالتقسيط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القضاء عن الوليّ بفعل الغير، وعن الحِلّي وجماعة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الظاهر من التكليف صدور المكلّف به عن المكلّف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إيجاب العمل على المكلّف، أعمٌّ من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الاستنابة لا توجبُ صيرورة عمل النائب الذي لا يكون في نفسه عملاً للمستنيب، لوساطة إرادته عملاً له، فمقتضى القاعدة عدم سقوط الواجب بفعل الغير مع الاستنابة أو بدونها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النيابة عن الحَيّ لا تكون مشروعة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وبمكاتبة الصفّار المتقدّمة، فإنّها تدلّ على عدم جواز غير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وجوب القضاء على الوليّ‌، كسائر الأدلّة المتكفّلة لبيان الأحكام، لا يقضي حفظ موضوع الوجوب، وعليه فلا ينافي أدلّة استحباب تبرّع</w:t>
      </w:r>
      <w:r>
        <w:rPr>
          <w:rFonts w:eastAsia="Amiri" w:cs="Amiri" w:ascii="Amiri" w:hAnsi="Amiri"/>
          <w:color w:val="111111"/>
          <w:sz w:val="28"/>
          <w:szCs w:val="28"/>
          <w:rtl w:val="true"/>
          <w:lang w:bidi="ar-SA"/>
        </w:rPr>
        <w:t xml:space="preserve">). </w:t>
      </w:r>
      <w:bookmarkStart w:id="96" w:name="pg11801_108013"/>
    </w:p>
    <w:p>
      <w:pPr>
        <w:pStyle w:val="BookText"/>
        <w:rPr/>
      </w:pPr>
      <w:bookmarkEnd w:id="96"/>
      <w:r>
        <w:rPr>
          <w:rFonts w:ascii="Amiri" w:hAnsi="Amiri" w:eastAsia="Amiri" w:cs="Amiri"/>
          <w:color w:val="111111"/>
          <w:sz w:val="28"/>
          <w:sz w:val="28"/>
          <w:szCs w:val="28"/>
          <w:rtl w:val="true"/>
          <w:lang w:bidi="ar-SA"/>
        </w:rPr>
        <w:t xml:space="preserve">غير الوليّ بالقضاء، فإنّ إتيان غير الوليّ بالقضاء، يوجبُ فراغ ذمّة الميّت، ومع 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اشتغال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بقاء الوجوب على الوليّ‌، فيكون وجوب القضاء على الوليّ مشروطاً بعدم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المتبرّع يكون نائباً عن الميّت لا الحَيّ‌، وسقوط الوجوب عن الوليّ ليس لتحقّق متعلّقه، بل لإنعدام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ورودها في الصوم، أنّها معارضة مع الخبر المرسل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وعليه شهر رمضان فليقض عنه مَن شاء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يقتضي حمل المكاتبة على أنّه يجبُ على الأكبر القضاء دون غيره، وحمل المرسل على إرادة مشروعيّة القضاء لغيره،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أن يتبرّع المتبرّع بالقضاء عن الميّت، ويوجبُ ذلك السقوط عن الوليّ‌، وعليه فيجوز أن يستأجر الوليّ مَنْ في ذمّته من القضاء عن الميّت، لعموم أدلّة صحّة العقود والإجارة</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0506778_73709187"/>
      <w:bookmarkStart w:id="98" w:name="_Toc37"/>
      <w:bookmarkEnd w:id="97"/>
      <w:r>
        <w:rPr>
          <w:rtl w:val="true"/>
        </w:rPr>
        <w:t>الإيصاء بالإستئجار عنه</w:t>
      </w:r>
      <w:bookmarkEnd w:id="98"/>
    </w:p>
    <w:p>
      <w:pPr>
        <w:pStyle w:val="BookText"/>
        <w:rPr/>
      </w:pPr>
      <w:r>
        <w:rPr>
          <w:rFonts w:ascii="Amiri" w:hAnsi="Amiri" w:eastAsia="Amiri" w:cs="Amiri"/>
          <w:color w:val="111111"/>
          <w:sz w:val="28"/>
          <w:sz w:val="28"/>
          <w:szCs w:val="28"/>
          <w:rtl w:val="true"/>
          <w:lang w:bidi="ar-SA"/>
        </w:rPr>
        <w:t>كما أنّه يجوزُ أن يوصي الميّت بالاستئجار عنه، أو يُوصي بأن يُصلّي عنه الوصيّ‌، لعمومات نفوذ الوصيّة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 المطروح حينئذٍ أنّ الوصيّة النافذة الموجبة لوجوب ما أوصى به على الوصيّ‌، هل توجب سقوط الوجوب عن الوليّ كما عن الشهيدين</w:t>
      </w:r>
      <w:r>
        <w:rPr>
          <w:rStyle w:val="FootnoteAnchor"/>
          <w:rtl w:val="true"/>
        </w:rPr>
        <w:footnoteReference w:id="19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وشارحه</w:t>
      </w:r>
      <w:r>
        <w:rPr>
          <w:rStyle w:val="FootnoteAnchor"/>
          <w:rtl w:val="true"/>
        </w:rPr>
        <w:footnoteReference w:id="194"/>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19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فرض وجوب العمل بوصيّته، لا يجب الفعل الواحد عيناً على المكلّفين، وإرجاعه إلى الوجوب الكفائي مخالفة لظاهر التكليفين، والحكم بالوجوب على الوليّ منافٍ لفرض نفوذ الوصيّة، فإنّ التحقيق أنّ دليل وجوب العمل بالوصيّة، حاكمٌ على أدلّة مثل هذا الحكم، أعني الوجوب على الوليّ‌، وإلّا فكلّ واقعة قبل تعلّق الوصيّة بها، لها حكمٌ غير ما تقتضيه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بالوجوب على الوليّ‌، ليس منافياً لنفوذ الوصيّة، كما لا ينافي دليل مشروعيّة التبرّع كما عرفت، وإنّما يكون منافياً لكون وجوب العمل على الوصيّ وجوباً عينيّاً، فبما أنّ الواجب الواحد لا يجبُ عيناً على مكلّفين، فالجمعُ بين التكليفين يقتضي الحكم بالوجوب الكفائي، لا طرح أحدهما والعمل بالآخر؟ لاحظ نظائره في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من حكومة دليل وجوب الوصيّة على دليل الوجوب على الوليّ‌، لم أعرف وجهه، إذ كلّ واحدٍ من الدليلين يثبتُ وجوب تفريغ ذمّة الميّت، ولا يكون أحدهما متعرّضاً لبيان حال الآخر من التصرّف في الحكم، المستفاد منه أو موضوعه، أو متعلّقه كما لايخفى‌، ومع عدمه كيف يكون حاكماً عليه‌؟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بقاء المورد للوصيّة، مع عدم تقديم أدلّتها، لا يوجب الحكومة، مع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الواقعة قبل تعلّق الوصيّة إنْ لم يكن إلزاميّاً لم يكن مانعاً عن الوجوب على الوصيّ عيناً، بل مع الوجوب على الوصيّ يكون حكمها باقياً كما كان باقياً بالنسبة إلى من كان متوجّهاً اليه، وهذا بخلاف ما إذا كان حكمها الوجوب على غيره، فإنّ ظاهر التكليفين هو الوجوب الكفائي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قصور أدلّة الوجوب على الوليّ‌، عن صورة الوصيّة، لعدم عموم أو إطلاق لها بالإضافة إلى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العناوين الثانويّة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عنواناً للحُكم، ككونه معلوماً أو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عنواناً للموضوع، كتعلّق الوصيّة به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يمتنع أنْ يكون الدليل المتكفّل لبيان الحكم مطلقاً بالنسبة إليه هو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بالوجوب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الوليّ أنْ يكون واجداً لشرائط التكليف عند الموت، فلو كان الوليّ غير بالغٍ عنده وجب عليه القضاء، وذلك لما حقّقناه في محلّه من أنّ التخصيص إذا كان من أوّل الأمر، يرجع إلى العام بعد مُضيّ زمان التخصيص، وليس مورداً للاستصحاب، من غير فرق بين ما إذا أُخذ في دليل الدالّ على الحكم عموم الأزمان أفراديّاً، أو أُخذ لبيان الاستمرار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ففي المقام وإنْ لم يشمل الدليل الوليّ حين الموت، لكونه صبيّاً، إلّاأنّه يشمله بعدما يصبح بالغاً، ومنه يظهر أنّه لو كان أحد الأولاد أكبر بالسّن والآخر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بالبلوغ، فمن يجب عليه القضاء هو الأوّل، لأنّ الحبوة تكون له، فهو أولى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وغيرها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الوليّ هو الأكبر بالبلوغ،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المراد من الأولى هو الأولى بحسب النوع، والأولويّة النوعيّة حاصلة للبالغ، فيلزم تعلّق التكليف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أكبر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فرض الكلام هو اختصاص الحكم بالأكبر، إمّا للإجماع أو لكونه أولى النّاس به، أو لمكاتبة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تسليم كونه أكبر، فلو تساووا في السِّن، وكان أحدهم أكبر بالبلوغ، فبناءً على ما هو الحقّ‌، من أنّه في صورة تعدّد الأولياء، يقسّط القضاء عليهم، لا يجبُ على البالغ أزيد من حصّته، ولا يخفى وجهه على من تدبّر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تبرّع بالقضاء عن الميّت متبرّعٌ‌، أو صلّى عنه الأجير أو الوصيّ‌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كانت الصَّلاة على مقتضى تكليف الوليّ‌، سقط الوجوب عن الوليّ لما عرفت، وإلّا فالإجتزاء بها لا يخلو عن إشكال، إذ في نظر الوليّ لا تكون الصَّلاة المأتيّ بها صحيحة، فلا وجه للإجتزاء بها</w:t>
      </w:r>
      <w:r>
        <w:rPr>
          <w:rFonts w:eastAsia="Amiri" w:cs="Amiri" w:ascii="Amiri" w:hAnsi="Amiri"/>
          <w:color w:val="111111"/>
          <w:sz w:val="28"/>
          <w:szCs w:val="28"/>
          <w:rtl w:val="true"/>
          <w:lang w:bidi="ar-SA"/>
        </w:rPr>
        <w:t xml:space="preserve">.). </w:t>
      </w:r>
      <w:bookmarkStart w:id="99" w:name="pg11801_108017"/>
    </w:p>
    <w:p>
      <w:pPr>
        <w:pStyle w:val="Heading3"/>
        <w:numPr>
          <w:ilvl w:val="2"/>
          <w:numId w:val="1"/>
        </w:numPr>
        <w:rPr/>
      </w:pPr>
      <w:bookmarkStart w:id="100" w:name="__RefHeading___Toc10506780_73709187"/>
      <w:bookmarkStart w:id="101" w:name="_Toc38"/>
      <w:bookmarkEnd w:id="99"/>
      <w:bookmarkEnd w:id="100"/>
      <w:r>
        <w:rPr>
          <w:rtl w:val="true"/>
        </w:rPr>
        <w:t>البابُ الرّابع</w:t>
      </w:r>
      <w:r>
        <w:rPr>
          <w:rtl w:val="true"/>
        </w:rPr>
        <w:t xml:space="preserve">: </w:t>
      </w:r>
      <w:r>
        <w:rPr>
          <w:rtl w:val="true"/>
        </w:rPr>
        <w:t>في الصَّلوات المندوبة</w:t>
      </w:r>
      <w:bookmarkEnd w:id="101"/>
    </w:p>
    <w:p>
      <w:pPr>
        <w:pStyle w:val="Heading4"/>
        <w:numPr>
          <w:ilvl w:val="3"/>
          <w:numId w:val="1"/>
        </w:numPr>
        <w:rPr/>
      </w:pPr>
      <w:bookmarkStart w:id="102" w:name="__RefHeading___Toc10506782_73709187"/>
      <w:bookmarkStart w:id="103" w:name="_Toc39"/>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الصَّلوات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مؤكّدة عند قِلّة المياه، وكيفيّتها مثل صلاة العيد</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0506784_73709187"/>
      <w:bookmarkStart w:id="105" w:name="_Toc40"/>
      <w:bookmarkEnd w:id="104"/>
      <w:r>
        <w:rPr>
          <w:rtl w:val="true"/>
        </w:rPr>
        <w:t>صلاة الاستسقاء</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الصَّلوات المندوبة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اليوميّة، وقد تقدّم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وهي صلوات، وإنّما نذكر في المقام جملة منها تبعاً للمصنّف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الإستسقاء،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مؤكّدة عند قِلّة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عن جماعةٍ كثيرة</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الورادة في بيان كيفيّتها، وما يعتبر فيها، وأصل مشروعيّتها، والمتكفّلة لبيان خطبهم عليهم السلام فيها، 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الروايات الدالّة على مشروعيّتها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كيفيّتها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إجماعاً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ويشهد له حسن هشام بن الحكم،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يقنتُ بسؤال توفير المياه، والاستعطاف به، ويستحبّ بالمأثور، وأنْ يَصُوم النّاس ثلاثاً،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الإستسقاء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صلاة العيدين، يقرأ فيهما ويكبّر كما يقرأ ويكبّر فيها، يخرجُ الإمام فيبرز إلى مكانٍ نظيف في سكينة ووقار وخشوع ومسألة، ويَبرز معه النّاس، فيحمد اللّه، ويُثني عليه، ويجتهد في الدُّعاء، ويكثُر من التسبيح والتهليل والتكبير، ويُصلّي مثل صلاة العيدين رَكعتين في دعاء ومسألة واجتهاد، فإذا سلَّم الإمام قَلَب ثوبه، وجعل الجانب الذي على المنكب الأيمن على المنكب الأيسر، والذي على الأيسر على الأيمن، فإنّ النبيّ صلى الله عليه و آله كذلك صنع</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ومقتضي إطلاق المماثلة لصلاة العيدين هو المماثلة من جميع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يقنت بسؤال توفير المياه والاستعطاف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المحرّك نحو هذه الصَّلاة، وحيثُ إنّه لم يرد في القنوت دعاءٌ مخصوص فيتخيّر الإمام في الإتيان من الأدعية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الصَّلاة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نُقل عنهم في الموارد المناسبة للمقام، إذ لم يرد فيه دعاءٌ بالخصوص كما 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يصوم النّاس ثلاثاً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السرّاج،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الإستسقاء هكذا،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فيخطب بالنّاس، ويأمرهم بالصيام اليوم وغداً، ويخرج بهم يوم الثالث وهم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والخروج يوم الإثنين أو الجمعة، والتفريق بين الأطفال واُمّهاتهم، وتحويل الرِّداء،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يوم الثالث، لخبر حمّاد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 يوم الجمعة أو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أنْ يكون الخروج 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له أمر أبي عبد اللّه عليه السلام محمّد بن خالد به،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خبر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سأل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الخروج يوم الجمعة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نقف على ما يدلّ على استحبابه، ولكنّه لا بأس بالقول به لشرفه وكونه محلّاً لإجابة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التفريق بين الأطفال واُمّهاتهم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يستوجب الرّحمة والرأفة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تحويل الإمام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المنبر بعد الصَّلاة، فيجعل ما على يمينه على يساره وبالعكس</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مُرّة مولى محمّد بن خالد،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المنبر ثمّ يخرج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ركعتين بغير أذان ولا إقامة، ثمّ يصعد المنبر فيقلّب رداءه، فيجعل الذي على يمينه علييساره، والذي على يساره على يمينه، ثمّ يستقبل القبله فيُكبِّر اللّه مائة تكبيرة رافعاً صوته،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يكبّر الإمام بعدها مائة مرّة مستقبل القبلة، والتسبيح كذلك يميناً، والتهليل كذلك يساراً، والتحميد تِلْقاء النّاس، ومتابعتهم له، والمعاودة مع تأخير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النّاس عن يمينه فيُسبّح اللّه مائة تسبيحة رافعاً صوته، ثمّ يلتفت إلى النّاس عن يساره فيُهلِّل اللّه مائة تهليلة رافعاً صوته، ثمّ يستقبل النّاس فيحمد اللّه مائة 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يعرف أنّه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يكبّر الإمام بعدها مائة، مستقبل القبلة، والتسبيح كذلك يميناً، والتهليل كذلك يساراً والتحميد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 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متابعة المأمومين للإمام في الذّكر، كما صرّح به غير واحدٍ</w:t>
      </w:r>
      <w:r>
        <w:rPr>
          <w:rStyle w:val="FootnoteAnchor"/>
          <w:rtl w:val="true"/>
        </w:rPr>
        <w:footnoteReference w:id="211"/>
      </w:r>
      <w:r>
        <w:rPr>
          <w:rFonts w:ascii="Amiri" w:hAnsi="Amiri" w:eastAsia="Amiri" w:cs="Amiri"/>
          <w:color w:val="111111"/>
          <w:sz w:val="28"/>
          <w:sz w:val="28"/>
          <w:szCs w:val="28"/>
          <w:rtl w:val="true"/>
          <w:lang w:bidi="ar-SA"/>
        </w:rPr>
        <w:t>، لأنّ ذكر اللّه حَسَنٌ في كلّ حال، ولأنّ المتابعة أبلغ في الخشوع، وأرجى لتحصيل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المعاودة مع تأخير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إجماعاًمحكيّاً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وهو الحجّة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استفادته من الأدلّة، باعتبار عدم حصول المقصود والمراد من تلك الأفعال، ولأنّ المتعارف من السائلين تكرار السؤال إذا لم ينالوا الجزاء سابقاً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6" w:name="pg11801_108021"/>
    </w:p>
    <w:p>
      <w:pPr>
        <w:pStyle w:val="BookText"/>
        <w:rPr/>
      </w:pPr>
      <w:bookmarkEnd w:id="10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ألف ركعة</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0506786_73709187"/>
      <w:bookmarkStart w:id="108" w:name="_Toc41"/>
      <w:bookmarkEnd w:id="107"/>
      <w:r>
        <w:rPr>
          <w:rtl w:val="true"/>
        </w:rPr>
        <w:t>نافلة رمضان</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النّوافل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شهرة عظيمة</w:t>
      </w:r>
      <w:r>
        <w:rPr>
          <w:rStyle w:val="FootnoteAnchor"/>
          <w:rtl w:val="true"/>
        </w:rPr>
        <w:footnoteReference w:id="215"/>
      </w:r>
      <w:r>
        <w:rPr>
          <w:rFonts w:ascii="Amiri" w:hAnsi="Amiri" w:eastAsia="Amiri" w:cs="Amiri"/>
          <w:color w:val="111111"/>
          <w:sz w:val="28"/>
          <w:sz w:val="28"/>
          <w:szCs w:val="28"/>
          <w:rtl w:val="true"/>
          <w:lang w:bidi="ar-SA"/>
        </w:rPr>
        <w:t xml:space="preserve">استحباب هذه الصَّلوات،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 منها ما رواه أبو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أيزيد الرّجل الصَّلاة في رمضان‌؟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رسول اللّه صلى الله عليه و آله قد زاد في رمضان في الصَّلاة</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يدلّ على نفي الزيادة على النوافل المرتّبة في رمضان، لابدَّ من تأويله أو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218"/>
      </w:r>
      <w:r>
        <w:rPr>
          <w:rFonts w:ascii="Amiri" w:hAnsi="Amiri" w:eastAsia="Amiri" w:cs="Amiri"/>
          <w:color w:val="111111"/>
          <w:sz w:val="28"/>
          <w:sz w:val="28"/>
          <w:szCs w:val="28"/>
          <w:rtl w:val="true"/>
          <w:lang w:bidi="ar-SA"/>
        </w:rPr>
        <w:t>،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المفضّل بن عمر، عن أبي عبد اللّه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في شهر رمضان زيادة ألف ركعة‌؟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أليس تُصلّي في شهر رمضان زيادة ألف ركعة في تسع عشرة منه، في كلّ ليلة عشرين ركعة، وفي ليلة </w:t>
      </w:r>
    </w:p>
    <w:p>
      <w:pPr>
        <w:pStyle w:val="BookText"/>
        <w:rPr/>
      </w:pPr>
      <w:r>
        <w:rPr>
          <w:rFonts w:ascii="Amiri" w:hAnsi="Amiri" w:eastAsia="Amiri" w:cs="Amiri"/>
          <w:color w:val="111111"/>
          <w:sz w:val="28"/>
          <w:sz w:val="28"/>
          <w:szCs w:val="28"/>
          <w:rtl w:val="true"/>
          <w:lang w:bidi="ar-SA"/>
        </w:rPr>
        <w:t>في كلّ ليلةٍ عشرين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 عشرة مائة ركعة، وفي ليلة إحدى وعشرين مائة ركعة، وفي ليلة ثلاث وعشرين مائة ركعة، وتُصلّي في ثمان ليال منه في العشر الأواخر من كلّ ليلة ثلاثين ركعة، فهذه تسع مائة وعشرون ركعة‌؟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فَرّجتَ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تمام الألف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 كلّ يوم جمعةٍ في شهر رمضان أربع ركعات لأمير المؤمنين، وتُصلّي ركعتين لابنةِ محمّد صلى الله عليه و آله، وتُصلّي بعد الركعتين أربع ركعات لجعفر الطيّار، وتُصلّي في كلّ ليلة الجمعة في العشر الأواخر لأمير المؤمنين عليه السلام عشرين ركعة، وتُصلّي في عشية الجمعة ليلة السبت عشرين ركعة لابنة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توزيع الألف على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العشرتين الأولتين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220"/>
      </w:r>
      <w:r>
        <w:rPr>
          <w:rFonts w:ascii="Amiri" w:hAnsi="Amiri" w:eastAsia="Amiri" w:cs="Amiri"/>
          <w:color w:val="111111"/>
          <w:sz w:val="28"/>
          <w:sz w:val="28"/>
          <w:szCs w:val="28"/>
          <w:rtl w:val="true"/>
          <w:lang w:bidi="ar-SA"/>
        </w:rPr>
        <w:t>، وعن غير واحدٍ</w:t>
      </w:r>
      <w:r>
        <w:rPr>
          <w:rStyle w:val="FootnoteAnchor"/>
          <w:rtl w:val="true"/>
        </w:rPr>
        <w:footnoteReference w:id="221"/>
      </w:r>
      <w:r>
        <w:rPr>
          <w:rFonts w:ascii="Amiri" w:hAnsi="Amiri" w:eastAsia="Amiri" w:cs="Amiri"/>
          <w:color w:val="111111"/>
          <w:sz w:val="28"/>
          <w:sz w:val="28"/>
          <w:szCs w:val="28"/>
          <w:rtl w:val="true"/>
          <w:lang w:bidi="ar-SA"/>
        </w:rPr>
        <w:t>دعوى الإجماع عليه، وتشهد له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ركعات بعد المغرب، واثنتى عشرة ركعة بعد العشاء، كما هو الأشهر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وغيرهما</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مخيّرٌ بينا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ليالي الإفراد زيادة مائة،</w:t>
      </w:r>
    </w:p>
    <w:p>
      <w:pPr>
        <w:pStyle w:val="BookText"/>
        <w:rPr/>
      </w:pPr>
      <w:r>
        <w:rPr>
          <w:rFonts w:ascii="Amiri" w:hAnsi="Amiri" w:eastAsia="Amiri" w:cs="Amiri"/>
          <w:color w:val="111111"/>
          <w:sz w:val="28"/>
          <w:sz w:val="28"/>
          <w:szCs w:val="28"/>
          <w:rtl w:val="true"/>
          <w:lang w:bidi="ar-SA"/>
        </w:rPr>
        <w:t>ذلك، وبين جعل اثنتي عشرة ركعة بعد المغرب، وثمانٍ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لأنّه ممّا يقتضيه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مكاتبة الحسن بن علي، عن أبيه،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في أوّل شهر رمضان في عشرين ليلة عشرين ركعة، صلِّ منها ما بين المغرب والعتمة ثماني ركعات، وبعد العشاء اثنتي عشرة ركعة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ونحوها خبر ابن مطهّر</w:t>
      </w:r>
      <w:r>
        <w:rPr>
          <w:rStyle w:val="FootnoteAnchor"/>
          <w:rtl w:val="true"/>
        </w:rPr>
        <w:footnoteReference w:id="226"/>
      </w:r>
      <w:r>
        <w:rPr>
          <w:rFonts w:ascii="Amiri" w:hAnsi="Amiri" w:eastAsia="Amiri" w:cs="Amiri"/>
          <w:color w:val="111111"/>
          <w:sz w:val="28"/>
          <w:sz w:val="28"/>
          <w:szCs w:val="28"/>
          <w:rtl w:val="true"/>
          <w:lang w:bidi="ar-SA"/>
        </w:rPr>
        <w:t>، وخبر أبي بصير</w:t>
      </w:r>
      <w:r>
        <w:rPr>
          <w:rStyle w:val="FootnoteAnchor"/>
          <w:rtl w:val="true"/>
        </w:rPr>
        <w:footnoteReference w:id="227"/>
      </w:r>
      <w:r>
        <w:rPr>
          <w:rFonts w:ascii="Amiri" w:hAnsi="Amiri" w:eastAsia="Amiri" w:cs="Amiri"/>
          <w:color w:val="111111"/>
          <w:sz w:val="28"/>
          <w:sz w:val="28"/>
          <w:szCs w:val="28"/>
          <w:rtl w:val="true"/>
          <w:lang w:bidi="ar-SA"/>
        </w:rPr>
        <w:t>، ورواية مسعدة</w:t>
      </w:r>
      <w:r>
        <w:rPr>
          <w:rStyle w:val="FootnoteAnchor"/>
          <w:rtl w:val="true"/>
        </w:rPr>
        <w:footnoteReference w:id="22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رمضان كم يُصلّى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يُصلّى في غيره، إلّاأنّ لرمضان على سائر الشهور من الفضل، ما ينبغي للعبد أن يزيد في تطوّعه، فإنْ أحبّ وقَوي على ذلك، أن يزيد في أوّل الشهر عشرين ليلة، كلّ ليلة عشرين ركعة، سوى ما كان يُصلّي قبل ذلك، يصلّي من هذه العشرين اثنتي عشرة ركعة بين المغرب والعُتمَة، وثمان ركعات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ليالي 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أي تسعة عشر، وإحدى وعشرين، وثلاثه وعشرين 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كما صرّح به غير واحدٍ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العشر الأواخر زيادة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الأقوى تبعاً لجماعة</w:t>
      </w:r>
      <w:r>
        <w:rPr>
          <w:rStyle w:val="FootnoteAnchor"/>
          <w:rtl w:val="true"/>
        </w:rPr>
        <w:footnoteReference w:id="231"/>
      </w:r>
      <w:r>
        <w:rPr>
          <w:rFonts w:ascii="Amiri" w:hAnsi="Amiri" w:eastAsia="Amiri" w:cs="Amiri"/>
          <w:color w:val="111111"/>
          <w:sz w:val="28"/>
          <w:sz w:val="28"/>
          <w:szCs w:val="28"/>
          <w:rtl w:val="true"/>
          <w:lang w:bidi="ar-SA"/>
        </w:rPr>
        <w:t>إنّه مخيّرٌ بين ذلك، وبين أن يقتصر في ليالي الأفراد على المائة فحسب، ويُصلّي في كلّ جمعةٍ عشر ركعات بصلاة عليّ وفاطمة وجعفر عليهم السلام، وفي آخر جمعةٍ عشرين بصلاة علي عليه السلام، وفي عشيّة تلك الجمعة عشرين بصلاة فاطمة عليها السلام، لأنّه ممّا يقتضيه الجمع بين خبر المفضّل المتقدّم، وما دلَّ على الأمر بالمائة في كلّ ليلة من ليالي الإفراد</w:t>
      </w:r>
      <w:r>
        <w:rPr>
          <w:rStyle w:val="FootnoteAnchor"/>
          <w:rtl w:val="true"/>
        </w:rPr>
        <w:footnoteReference w:id="232"/>
      </w:r>
      <w:r>
        <w:rPr>
          <w:rFonts w:ascii="Amiri" w:hAnsi="Amiri" w:eastAsia="Amiri" w:cs="Amiri"/>
          <w:color w:val="111111"/>
          <w:sz w:val="28"/>
          <w:sz w:val="28"/>
          <w:szCs w:val="28"/>
          <w:rtl w:val="true"/>
          <w:lang w:bidi="ar-SA"/>
        </w:rPr>
        <w:t>، وما دلَّ على الأمر بالإتيان فيها بما يؤتي في سائر اللّيالي</w:t>
      </w:r>
      <w:r>
        <w:rPr>
          <w:rStyle w:val="FootnoteAnchor"/>
          <w:rtl w:val="true"/>
        </w:rPr>
        <w:footnoteReference w:id="23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العَشر الأواخر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عشرين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كلّ ليلةٍ منها ثلاثين ركعة، بلا خلافٍ فيه</w:t>
      </w:r>
      <w:r>
        <w:rPr>
          <w:rStyle w:val="FootnoteAnchor"/>
          <w:rtl w:val="true"/>
        </w:rPr>
        <w:footnoteReference w:id="234"/>
      </w:r>
      <w:r>
        <w:rPr>
          <w:rFonts w:ascii="Amiri" w:hAnsi="Amiri" w:eastAsia="Amiri" w:cs="Amiri"/>
          <w:color w:val="111111"/>
          <w:sz w:val="28"/>
          <w:sz w:val="28"/>
          <w:szCs w:val="28"/>
          <w:rtl w:val="true"/>
          <w:lang w:bidi="ar-SA"/>
        </w:rPr>
        <w:t>، ويتخيّر بين أن يُصلّي ثمان ركعات بعد المغرب والباقي بعد العشاء، وبين أنْ يصلّي اثنتين وعشرين ركعة بعد المغرب، وثمان ركعات بعد العُتمَة، لأنّه ممّا يقتضيه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مكاتبة الحسن المتقدّمة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العشر الأواخر ثمان ركعاتٍ بين المغرب والعُتمة، واثنتين وعشرين ركعة بعد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خبر مسعدة، عن أبي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في العشر الأواخر في كلّ ليلةٍ ثلاثين ركعة، اثنتي عشرة منها بعد المغرب، وثماني عشرة منها بعد العشاء الآخرة</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الفطر، ويوم الغَدير،</w:t>
      </w:r>
    </w:p>
    <w:p>
      <w:pPr>
        <w:pStyle w:val="BookText"/>
        <w:rPr/>
      </w:pPr>
      <w:r>
        <w:rPr>
          <w:rFonts w:ascii="Amiri" w:hAnsi="Amiri" w:eastAsia="Amiri" w:cs="Amiri"/>
          <w:color w:val="111111"/>
          <w:sz w:val="28"/>
          <w:sz w:val="28"/>
          <w:szCs w:val="28"/>
          <w:rtl w:val="true"/>
          <w:lang w:bidi="ar-SA"/>
        </w:rPr>
        <w:t>وبين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بقي من رمضان عَشر ليالٍ‌، فليُصلِّ ثلاثين ركعة، في كلّ ليلةٍ سوى هذه الثلاث عشرة ركعة، يُصلّي بين المغرب والعشاء اثنتين وعشرين ركعة، وثمان ركعات بعد العُتمَة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السياري مرفوعاً إلى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ليلة الفطر ركعتين، يقرأ في أوّل ركعةٍ منهما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ألف مرّة، وفي الرّكعة الثانية الحَمد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لم يسأل اللّه تعالى شيئاً إلّاأعطاه إيّاه</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تُعرف كيفيّتها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العبدي،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صَلّى فيه ركعتين، يغتسل عند زوال الشّمس من قبل أنْ تزول مقدار نصف ساعة، سأل اللّه عزّ وجلّ‌، يقرأ في كلّ ركعة سورة الحمد مرّة،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وعَشرُ مرّاتٍ آية الكرسي، 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عَدَلت عند اللّه عزّ وجلّ مائة ألف حجّة، ومائة ألف عُمرة، وما سأل اللّه عزّ وجلّ حاجةً من حوائج الدُّنيا وحوائج الآخرة، إلّاقُضِيَتْ كائناً ما كانت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وليلة النصف من شعبان، وليلة المبعث ويومه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نصف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241"/>
      </w:r>
      <w:r>
        <w:rPr>
          <w:rFonts w:ascii="Amiri" w:hAnsi="Amiri" w:eastAsia="Amiri" w:cs="Amiri"/>
          <w:color w:val="111111"/>
          <w:sz w:val="28"/>
          <w:sz w:val="28"/>
          <w:szCs w:val="28"/>
          <w:rtl w:val="true"/>
          <w:lang w:bidi="ar-SA"/>
        </w:rPr>
        <w:t>إنّه رواها ثلاثون رجلاً من الثقات، وقد وردت في هذه اللّيلة صلواتٌ عديدة، ومن أراد الاطّلاع عليها فليطلبها من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المبعث ويومه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فيه، وتشهد له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صالح بن عقبة، عن أبي الحسن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ليلة سبع وعشرين من رجب أيّ وقتٍ شئت من اللّيل اثنتي عشرة ركعة، تقرأ في كلّ ركعةٍ الحمد والمعوّذتين،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فإذا فرغتَ قلتَ وأنتَ في مكانك أربع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واللّه أكبر، والحمدُ للّه، وسُبحان اللّه، ولا حول ولا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 بما أحببت</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محمّد، رفعه في حديثٍ‌،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سبعة وعشرين من رجب نُبئ فيه رسول اللّه صلى الله عليه و آله، مَنْ صَلّى فيه أيّ وقتٍ شاء عشرة ركعة، يقرأ في كلّ ركعة بأُمّ القرآن وسورة ما تيسّر، فإذا فرغ وسَلّم، جلس مكانه ثُمّ قرأ اُمّ القرآن أربع مرّات، والمعوّذات الثلاث كلّ واحدةٍ أربع مرّات، فإذا فرغ وهو في مكانه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إلّااللّه واللّه أكبر، والحمد للّه، سبحان اللّه، ولا حول ولا قوّة إلّاباللّه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يدعو، فلا يدعو بشيءٍ إلّااُستجيبَ له في كلّ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وصلاة علي، وفاطمة، وجعفر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إلّاأنْ يدعو في جائحةٍ‌، أو قطيعة رحمٍ‌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أربعُ ركعاتٍ بتشهّدين وتسليمتين، يقرأ في كلّ ركعةٍ الحمد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لخبر المفضّل،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صلاة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يُقرأ فيها بالحمد في كلّ ركعةٍ‌،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وإنْ لم يصرّح بالتشهّدين والتسليمتين، إلّاأنّ ذلك إنّما يكون لأجل أنّ ما دلّ على الصَّلوات الخاصّة، مسوقٌ لبيان ما به يمتاز عن غيرها، وحيثُ أنّ تثنية النوافل واضحة، فاعتبار التشهّدين والتسليمتين فيها لايحتاج إلى 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في خبر المفضّل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ركعتان تُقرأ في أوّل ركعةٍ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وفي الرّكعة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فإذا سلّمت تُسبِّح تسبيحها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تظافرت الأخبار الدالّة على استحبابها،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أربع ركعاتٍ بلا خلافٍ بتسليمتين، كما هو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بتسليمة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اختاره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صلاة عليّ عليه السلام، لكونها بتسليمتين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الريّان،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الماضي الأخير عليه السلام أسأله عن رجلٍ صَلّى صلاة جعفر ركعتين، ثمّ تعجّله عن الركعتين الأخيرتين حاجة، أو يقطع ذلك لحادثٍ يحدث، أيجوز له أن يتمّها إذا فرغ من حاجته وإنْ قام عن مجلسه‌؟ أم لا يحتسب بذلك إلّاأن يستأنف الصَّلاة، ويُصلّي الأربع الركعات كلّها في مقامٍ واحد؟</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قطعه عن ذلك أمرٌ لابدّ له منه، فليقطع، ثمّ ليرجع فليبنِ على ما بقي منها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أزيد من أنّه لا ينبغي الفصل بين أداء الأربع بزمانٍ أو نحوه اختياراً، كما أفتى به الشهيدان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كلّ ركعة الحمد وسورة،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 مرّة، ثمّ يركع ويقوله عشر مرّات، هكذا يقوله عشرا بعد رفع الرأس من الرّكوع، وفي السّجود، وبعد رفع الرأس منه، وفي سجوده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 وبعد الرفع منه، كما نصّ على ذلك كلّه في خبر أبي بصير</w:t>
      </w:r>
      <w:r>
        <w:rPr>
          <w:rStyle w:val="FootnoteAnchor"/>
          <w:rtl w:val="true"/>
        </w:rPr>
        <w:footnoteReference w:id="24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 يُحمل خبر المفضّل</w:t>
      </w:r>
      <w:r>
        <w:rPr>
          <w:rStyle w:val="FootnoteAnchor"/>
          <w:rtl w:val="true"/>
        </w:rPr>
        <w:footnoteReference w:id="250"/>
      </w:r>
      <w:r>
        <w:rPr>
          <w:rFonts w:ascii="Amiri" w:hAnsi="Amiri" w:eastAsia="Amiri" w:cs="Amiri"/>
          <w:color w:val="111111"/>
          <w:sz w:val="28"/>
          <w:sz w:val="28"/>
          <w:szCs w:val="28"/>
          <w:rtl w:val="true"/>
          <w:lang w:bidi="ar-SA"/>
        </w:rPr>
        <w:t>، وخبر إبراهيم</w:t>
      </w:r>
      <w:r>
        <w:rPr>
          <w:rStyle w:val="FootnoteAnchor"/>
          <w:rtl w:val="true"/>
        </w:rPr>
        <w:footnoteReference w:id="251"/>
      </w:r>
      <w:r>
        <w:rPr>
          <w:rFonts w:ascii="Amiri" w:hAnsi="Amiri" w:eastAsia="Amiri" w:cs="Amiri"/>
          <w:color w:val="111111"/>
          <w:sz w:val="28"/>
          <w:sz w:val="28"/>
          <w:szCs w:val="28"/>
          <w:rtl w:val="true"/>
          <w:lang w:bidi="ar-SA"/>
        </w:rPr>
        <w:t xml:space="preserve">، المتضمّنان للأمر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وبالعاديات في الثانية،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 وبالإخلاص في الرابعة على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البحث في هذه الصَّلاة غيرها من الصَّلوات المندوبة، وما يُقال فيها وبعدها، موكولٌ إلى محلّه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09" w:name="pg11801_108030"/>
    </w:p>
    <w:p>
      <w:pPr>
        <w:pStyle w:val="Heading3"/>
        <w:numPr>
          <w:ilvl w:val="2"/>
          <w:numId w:val="1"/>
        </w:numPr>
        <w:rPr/>
      </w:pPr>
      <w:bookmarkStart w:id="110" w:name="__RefHeading___Toc10506788_73709187"/>
      <w:bookmarkStart w:id="111" w:name="_Toc42"/>
      <w:bookmarkEnd w:id="109"/>
      <w:bookmarkEnd w:id="110"/>
      <w:r>
        <w:rPr>
          <w:rtl w:val="true"/>
        </w:rPr>
        <w:t>البابُ الخامس</w:t>
      </w:r>
      <w:r>
        <w:rPr>
          <w:rtl w:val="true"/>
        </w:rPr>
        <w:t xml:space="preserve">: </w:t>
      </w:r>
      <w:r>
        <w:rPr>
          <w:rtl w:val="true"/>
        </w:rPr>
        <w:t>في السَّهو</w:t>
      </w:r>
      <w:bookmarkEnd w:id="111"/>
    </w:p>
    <w:p>
      <w:pPr>
        <w:pStyle w:val="Heading4"/>
        <w:numPr>
          <w:ilvl w:val="3"/>
          <w:numId w:val="1"/>
        </w:numPr>
        <w:rPr/>
      </w:pPr>
      <w:bookmarkStart w:id="112" w:name="__RefHeading___Toc10506790_73709187"/>
      <w:bookmarkStart w:id="113" w:name="_Toc43"/>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السَّهو على معانٍ‌، والأنسب بالمقام إرادة التضيّيع والتواني، وعدم الاعتدال منه، فيشمل الترك عن عمدٍ أو نسيان، وهو واضح، كما يشمل الشكّ لأنّ الشكّ في جزءٍ من أجزاء الصَّلاة أو في شرطٍ منها مثلاً، يوجب خروج الصَّلاة عن حَدّ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بوجود السَّهو والخَلل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0506792_73709187"/>
      <w:bookmarkStart w:id="115" w:name="_Toc44"/>
      <w:bookmarkEnd w:id="114"/>
      <w:r>
        <w:rPr>
          <w:rtl w:val="true"/>
        </w:rPr>
        <w:t>المقام الأوّل</w:t>
      </w:r>
      <w:r>
        <w:rPr>
          <w:rtl w:val="true"/>
        </w:rPr>
        <w:t xml:space="preserve">: </w:t>
      </w:r>
      <w:r>
        <w:rPr>
          <w:rtl w:val="true"/>
        </w:rPr>
        <w:t>لو قطع به،</w:t>
      </w:r>
      <w:bookmarkEnd w:id="115"/>
    </w:p>
    <w:p>
      <w:pPr>
        <w:pStyle w:val="Heading5"/>
        <w:numPr>
          <w:ilvl w:val="4"/>
          <w:numId w:val="1"/>
        </w:numPr>
        <w:rPr/>
      </w:pPr>
      <w:bookmarkStart w:id="116" w:name="__RefHeading___Toc10506794_73709187"/>
      <w:bookmarkStart w:id="117" w:name="_Toc45"/>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وهو قد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عمدٍ وعلمٍ بالحكم والموضوع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عن عمدٍ مع الجهل بالحكم أو الموضوع أو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عن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تتحقّق إمّا بصلاةٍ مستقلّة، أو بركعةٍ‌، أو بجزءٍ ركني أو غير 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 تتحقّق بشرطٍ ركني أو غير ركني، أو جزءٍ كذلك أو بكيفيّة، أو بركعة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0506796_73709187"/>
      <w:bookmarkStart w:id="119" w:name="_Toc46"/>
      <w:bookmarkEnd w:id="118"/>
      <w:r>
        <w:rPr>
          <w:rtl w:val="true"/>
        </w:rPr>
        <w:t>وتنقيح القول إنّما يكون برسم مسائل</w:t>
      </w:r>
      <w:bookmarkEnd w:id="119"/>
    </w:p>
    <w:p>
      <w:pPr>
        <w:pStyle w:val="Heading6"/>
        <w:numPr>
          <w:ilvl w:val="5"/>
          <w:numId w:val="1"/>
        </w:numPr>
        <w:rPr/>
      </w:pPr>
      <w:bookmarkStart w:id="120" w:name="__RefHeading___Toc10506798_73709187"/>
      <w:bookmarkStart w:id="121" w:name="_Toc47"/>
      <w:bookmarkEnd w:id="120"/>
      <w:r>
        <w:rPr>
          <w:rtl w:val="true"/>
        </w:rPr>
        <w:t>اشارة</w:t>
      </w:r>
      <w:bookmarkEnd w:id="1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إنّما يكون برسم مسائل، والتكلّم في كلّ منها بما يقتضيه وضع الكتاب</w:t>
      </w:r>
      <w:r>
        <w:rPr>
          <w:rFonts w:eastAsia="Amiri" w:cs="Amiri" w:ascii="Amiri" w:hAnsi="Amiri"/>
          <w:color w:val="111111"/>
          <w:sz w:val="28"/>
          <w:szCs w:val="28"/>
          <w:rtl w:val="true"/>
          <w:lang w:bidi="ar-SA"/>
        </w:rPr>
        <w:t xml:space="preserve">. </w:t>
      </w:r>
      <w:bookmarkStart w:id="122" w:name="pg11801_108031"/>
    </w:p>
    <w:p>
      <w:pPr>
        <w:pStyle w:val="BookText"/>
        <w:rPr/>
      </w:pPr>
      <w:bookmarkEnd w:id="122"/>
      <w:r>
        <w:rPr>
          <w:rFonts w:ascii="Amiri" w:hAnsi="Amiri" w:eastAsia="Amiri" w:cs="Amiri"/>
          <w:color w:val="111111"/>
          <w:sz w:val="28"/>
          <w:sz w:val="28"/>
          <w:szCs w:val="28"/>
          <w:rtl w:val="true"/>
          <w:lang w:bidi="ar-SA"/>
        </w:rPr>
        <w:t>مَنْ ترك شيئاً من واجبات الصَّلاة عمداً، بطلت صلاته وإنْ كان جاهلاً،</w:t>
      </w:r>
    </w:p>
    <w:p>
      <w:pPr>
        <w:pStyle w:val="Heading6"/>
        <w:numPr>
          <w:ilvl w:val="5"/>
          <w:numId w:val="1"/>
        </w:numPr>
        <w:rPr/>
      </w:pPr>
      <w:bookmarkStart w:id="123" w:name="__RefHeading___Toc10506800_73709187"/>
      <w:bookmarkStart w:id="124" w:name="_Toc48"/>
      <w:bookmarkEnd w:id="123"/>
      <w:r>
        <w:rPr>
          <w:rtl w:val="true"/>
        </w:rPr>
        <w:t>في حكم ترك شيءٍ من الواجبات عمداً</w:t>
      </w:r>
      <w:bookmarkEnd w:id="124"/>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شيئاً من واجبات الصَّلاة عمداً،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بين كون ما أخلَّ به شرطاً أو جزءً أو كيفيّة، بلا خلافٍ ولا كلام، لو كان عالماً بالحكم أو الموضوع، بل هو من البديهيّات، إذ المراد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يقابل الصحّة، بمعنى مطابقة المأتي به لما هو طرف اعتبار الشارع أو حكمه، يكون هو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يقابل الصحّة، بمعنى سقوط الإعادة والقضاء، فهو يكون على القاعدة، إذ سقوط الطلب المتعلّق بشيءٍ بالإتيان بشيء آخر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إنّ الحكم بالبطلان في الفرض إنّما هو فيما لا يمكن تدارك ما أخلّ به، وإلّا فلا وجه للبطلان من هذه الجهة، إذ مجرّد العزم على الإخلال لا يوجب البطلان، وقد أشبعنا الكلام في ذلك في مبحث النيّة</w:t>
      </w:r>
      <w:r>
        <w:rPr>
          <w:rStyle w:val="FootnoteAnchor"/>
          <w:rtl w:val="true"/>
        </w:rPr>
        <w:footnoteReference w:id="252"/>
      </w:r>
      <w:r>
        <w:rPr>
          <w:rFonts w:ascii="Amiri" w:hAnsi="Amiri" w:eastAsia="Amiri" w:cs="Amiri"/>
          <w:color w:val="111111"/>
          <w:sz w:val="28"/>
          <w:sz w:val="28"/>
          <w:szCs w:val="28"/>
          <w:rtl w:val="true"/>
          <w:lang w:bidi="ar-SA"/>
        </w:rPr>
        <w:t>من كتابنا هذا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يحكم بالبطلان في صورة الإخلال بشيء من واجبات الصَّلاة، مع مُضيّ محلّ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عن تقصير، إذ الأدلّة المتضمّنة لاعتبار ذلك في المأمور به، وإنْ كان لا يمكن التمسّك بإطلاقها، لاعتباره في حال الجهل، لأنّه إذا امتنع التقييد بصورة العلم، لما أمكن التمسّك بإطلاقه، كما حُقّق في محلّه، إلّا أنّه قد ثبت بمقتضى الأدلّة اشتراك العالمين مع الجاهلين في الأحكام، ولازم الاشتراك المزبور، مبطليّة الإخلال بما اعتبر في المأمور به، هذا فضلاً عن أنّه ليس هناك ما يدلّ على الصحّة، لما ستعرف من عدم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لصورة الجهل عن 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عدا الجَهر والإخفات، فقد عُذر لو جَهلهما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فعل ما يَجبُ تركه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يختصّ ذلك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الجهر والإخفات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ورد الدليل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عذر لو جهلهما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الكلام في هذه المسألة في مبحث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جاهلاً به عن قصورٍ، كالمجتهد الُمخطئ ومقلّديه، أو كان جاهلاً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ما أخلَّ به الذي مضى محلّ تداركه من الخمسة المستثناة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وإلّا صحّت، لما ستعرف من شمول الحديث للجاهل، إنْ لم يكن مقصّراً فانتظر، وما ذكرناه إنّما هو فيما لو ترك ما يجبُ فعله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لو فعل ما يجبُ تركه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والقهقهة ونحوهما، فإنْ فعل شيئاً من ذلك عن علمٍ بالحكم والموضوع، بطلت الصَّلاة، وكذلك إنْ فعله عن جهلٍ بالحكم إنْ كان عن تقصير، وإلّا تكون صلاته صحيحة</w:t>
      </w:r>
      <w:r>
        <w:rPr>
          <w:rFonts w:eastAsia="Amiri" w:cs="Amiri" w:ascii="Amiri" w:hAnsi="Amiri"/>
          <w:color w:val="111111"/>
          <w:sz w:val="28"/>
          <w:szCs w:val="28"/>
          <w:rtl w:val="true"/>
          <w:lang w:bidi="ar-SA"/>
        </w:rPr>
        <w:t>.</w:t>
      </w:r>
      <w:bookmarkStart w:id="125" w:name="pg11801_108033"/>
    </w:p>
    <w:p>
      <w:pPr>
        <w:pStyle w:val="Heading6"/>
        <w:numPr>
          <w:ilvl w:val="5"/>
          <w:numId w:val="1"/>
        </w:numPr>
        <w:rPr/>
      </w:pPr>
      <w:bookmarkStart w:id="126" w:name="__RefHeading___Toc10506802_73709187"/>
      <w:bookmarkStart w:id="127" w:name="_Toc49"/>
      <w:bookmarkEnd w:id="125"/>
      <w:bookmarkEnd w:id="126"/>
      <w:r>
        <w:rPr>
          <w:rtl w:val="true"/>
        </w:rPr>
        <w:t>حكم الزيادة العمَديّة</w:t>
      </w:r>
      <w:bookmarkEnd w:id="12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بما لم يؤخذ عدمه في الصَّلاة، ولم يكن وجوده دخيلاً فيها، فهل يوجب ذلك بطلان الصَّلاة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 الثانويّة في خصوص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التكلّم في المقامين، لابدَّ من تحقيق مفهوم الزيادة، والكلام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تحقّق الزيادة في المركّبات الاعتباريّة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قصد الزيادة في تحقّق الزيادة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باستحالة تحقّق الزيادة حقيقةً‌، وإنْ كانت متحقّقة بالمسامحة العرفيّة، لأنّ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من سنخٍ اعتبر جزءً أو شرطاً للمركّب الاعتباري، لما صدق عليه الزيادة، كما هو الشأن في غير المركّب الاعتباري، ألا ترى أنّ الدُّهن الذي اُضيف اليه مقدار من الدبس لا يصحّ أن يقال إنّه زاد فيه، وإنْ كان يصدق عنوان الزيادة على ما في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سنخه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ذلك الجزء الذي من سنخ الزائد، مأخوذاً على نحو اللّا بشرط، من غير تقييدٍ بالوجود الواحد، فحيثُ أنّ كلّ من أتى بفردٍ من طبيعي ذلك الجزء، كان </w:t>
      </w:r>
    </w:p>
    <w:p>
      <w:pPr>
        <w:pStyle w:val="BookText"/>
        <w:rPr/>
      </w:pPr>
      <w:r>
        <w:rPr>
          <w:rFonts w:ascii="Amiri" w:hAnsi="Amiri" w:eastAsia="Amiri" w:cs="Amiri"/>
          <w:color w:val="111111"/>
          <w:sz w:val="28"/>
          <w:sz w:val="28"/>
          <w:szCs w:val="28"/>
          <w:rtl w:val="true"/>
          <w:lang w:bidi="ar-SA"/>
        </w:rPr>
        <w:t>مصداقاً للمأمور به، كان المأتي به واحداً أم متعدّداً، فلا زيادة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مأخوذاً بشرط لا عن الوجودات المتأخّرة، فالإتيان به مرّة اُخرى موجبٌ لفقد قيد الجزء، المستلزم لنقصه، مثلاً إذا اعتبر الرّكوع غير الملحوق بمثله جزءً من الصَّلاة، فلو لحقه مثله، لم يتحقّق ما هو جزء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لا بشرطيّة الجزء إنّما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طبيعة الجزء في المتعلّق بنحوٍ تصدق على الواحد والمتعدّد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بنحو اللّا بشرط القسمي، أي لا مقترناً بلحوق مثله، ولا مقترناً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الزيادة، فإنّ كلّ ما فُرض وجوده، يكون دخيلاً في الجزء، ويكون من موارد التخيير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الجزء حينئذٍ صِرْف وجود الطبيعة المنطبق على أوّل الوجودات، فالوجود الثاني غَير دخيلٍ فيه، ولا مانع عن تحقّقه، وحينئذٍ فتتحقّق الزيادة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أنّه تصدق الزيادة إذا كان الزائد غير مسانخ بما اعتُبر في المأمور به، مع أنّ عدم الزيادة بالدقّة الفلسفيّة لا يترتّب عليه أثرٌ بعد صدقها عرفاً، والأحكام تابعة للصدق العرفي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اعتبار قصد كون المأتي به من أجزاء المأمور به في الزيادة، إذ المركّب الاعتباري كالصّلاة مركّبٌ من وجودات متباينة، ووحدته إنّما تكون بالاعتبار، ولا يكاد تتحقّق الا بالقصد، ولذا لا تحرم تلك الأفعال والأذكار الخاصّة المجرّدة عن قصد الصَّلاتيّة على الحائض، فما لم يأتِ بشيءٍ بقصد الصَّلاتيّة، </w:t>
      </w:r>
    </w:p>
    <w:p>
      <w:pPr>
        <w:pStyle w:val="BookText"/>
        <w:rPr/>
      </w:pPr>
      <w:r>
        <w:rPr>
          <w:rFonts w:ascii="Amiri" w:hAnsi="Amiri" w:eastAsia="Amiri" w:cs="Amiri"/>
          <w:color w:val="111111"/>
          <w:sz w:val="28"/>
          <w:sz w:val="28"/>
          <w:szCs w:val="28"/>
          <w:rtl w:val="true"/>
          <w:lang w:bidi="ar-SA"/>
        </w:rPr>
        <w:t>لا يصبح جزءً ولا زيادةً فيها، وعلى فرض الإتيان به كذلك، تصدق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فرقٍ بين أنْ يكون ذلك عن جهلٍ بالحكم أو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غير فرقٍ أيضاً بين أن يقصد الامتثال بمجموع الزائد والمزيد فيه وعدمه،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غير فرقٍ بين كون المأتي به من جنس أحد أجزاء المأمور به وبين كونه من غير سنخ تلك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المحقّق النائيني رحمه الله</w:t>
      </w:r>
      <w:r>
        <w:rPr>
          <w:rStyle w:val="FootnoteAnchor"/>
          <w:rtl w:val="true"/>
        </w:rPr>
        <w:footnoteReference w:id="254"/>
      </w:r>
      <w:r>
        <w:rPr>
          <w:rFonts w:ascii="Amiri" w:hAnsi="Amiri" w:eastAsia="Amiri" w:cs="Amiri"/>
          <w:color w:val="111111"/>
          <w:sz w:val="28"/>
          <w:sz w:val="28"/>
          <w:szCs w:val="28"/>
          <w:rtl w:val="true"/>
          <w:lang w:bidi="ar-SA"/>
        </w:rPr>
        <w:t>من أنّه لا يعتبر في صدق الزيادة على ماكان من جنسِ أحد أجزاء العمل، قصد كونه منه،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غير فرقٍ أيضاً بين أن يعتدّ بالزائد، بأن يعدّه من أجزاء صلاته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لو أتى بجزءٍ‌، ثمّ رفع اليد عنه وأتى بفردٍ آخر، إذا وقع الأوّل 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أنّ رفع اليد عن الجزء، كهدم البناء والإسقاط في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أثر لرفع اليد، ولا يوجب عود الأمر بحاله، فلا يكون بمنزلة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الأوّل فاسداً، لا يصدق الزيادة بالإتيان 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خصوص الرّكوع والسّجود كلاماً سيأتي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الزيادة العمديّة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أوجبت الإخلال بقصد الأمر، كما إذا قصد المكلّف امتثال خصوص الأمر المتعلّق بالمشتمل على الزائد، فإنّه لا إشكال في بطلان الصَّلاة، من جهة أنّ ما قصدة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الأمر لا واقع له، وما له واقعٌ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إشكال في البطلان إنْ أوجبت الإخلال بالهيئة الاتّصاليّة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قصد المكلّف امتثال الأمر الفعلي وإنّما أتى بالزائد خطأً لاعتقاد كونه المأمور به، أو تشريعاً في التطبيق غير المنافي للتقرّب بامتثال الأمر الموجود، من دون أن يكون الزائد المذكور مخلّاً بالهيئة الاتّصاليّة، لم تبطل الصَّلاة، لا من جهة عدم قصد الأمر وهو واضح، ولا من جهة اعتبار عدمها في الصَّلاة، إذ مقتضى حديث الرفع عدم الاعتبار ما لم يقم عليه دليلٌ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المكلّف المقدم على العمل مع الزيادة مشرّعاً في الأمر بالمشتمل على الزائد، وبانياً على صدور الأمر من الشارع وتعلّقه بما يعمّ الزائد، وعاملاً بناءً على تعلّق الأمر به إعمالاً لبنائه، بل كان بانياً على أنّ المأمور به بالأمر الواقعي، منطبقٌ على المأتي به، وإنّما أقدم على إحضار العمل المشتمل على الزائد، بداعي الأمر الواقعي، أو كان بانياً على أنّ المأتي به مطابقٌ للمأمور به، من دون تصرّف في الأمر لا أصلاً ولا تطبيقاً، أو كان بانياً على انبعاث وجوب غيري عن الأمر الواقعي بالإضافة الى الزائد، أو كان بانياً على الاقتضاء من قبل الأمر الواقعي بالإضافة إليه، فإنّه في جميع هذه الصور لم تبطل الصَّلاة من ناحية قصد الأمر، والمفروض عدم بطلانها من ناحية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القاعدة الأوّليّة، عدم مبطليّة الزيادة العمديّة، ما لم توجب الإخلال بقصد الأمر ولا بالهيئة الاتّصاليّة المعتبرة في الصَّلاة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القاعدة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النصوص على مبطليّة الزيادة العمديّة للصَّلاة مطلقاً، كما هو المشهور بين الأصحاب</w:t>
      </w:r>
      <w:r>
        <w:rPr>
          <w:rStyle w:val="FootnoteAnchor"/>
          <w:rtl w:val="true"/>
        </w:rPr>
        <w:footnoteReference w:id="256"/>
      </w:r>
      <w:r>
        <w:rPr>
          <w:rFonts w:ascii="Amiri" w:hAnsi="Amiri" w:eastAsia="Amiri" w:cs="Amiri"/>
          <w:color w:val="111111"/>
          <w:sz w:val="28"/>
          <w:sz w:val="28"/>
          <w:szCs w:val="28"/>
          <w:rtl w:val="true"/>
          <w:lang w:bidi="ar-SA"/>
        </w:rPr>
        <w:t>، فقد جاء في صحيح أبي بصير نقلاً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258"/>
      </w:r>
      <w:r>
        <w:rPr>
          <w:rFonts w:ascii="Amiri" w:hAnsi="Amiri" w:eastAsia="Amiri" w:cs="Amiri"/>
          <w:color w:val="111111"/>
          <w:sz w:val="28"/>
          <w:sz w:val="28"/>
          <w:szCs w:val="28"/>
          <w:rtl w:val="true"/>
          <w:lang w:bidi="ar-SA"/>
        </w:rPr>
        <w:t>وهو أنّه منصرفٌ إلى زيادة الرّكعة، أو محول على ذلك بقرينة ما دلّ على عدم قدح زيادة الجزء سهواً، الموجب لرفع اليد عن إطلاقه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بذلك ما أفاده المحقّق الهمداني رحمه الله</w:t>
      </w:r>
      <w:r>
        <w:rPr>
          <w:rStyle w:val="FootnoteAnchor"/>
          <w:rtl w:val="true"/>
        </w:rPr>
        <w:footnoteReference w:id="259"/>
      </w:r>
      <w:r>
        <w:rPr>
          <w:rFonts w:ascii="Amiri" w:hAnsi="Amiri" w:eastAsia="Amiri" w:cs="Amiri"/>
          <w:color w:val="111111"/>
          <w:sz w:val="28"/>
          <w:sz w:val="28"/>
          <w:szCs w:val="28"/>
          <w:rtl w:val="true"/>
          <w:lang w:bidi="ar-SA"/>
        </w:rPr>
        <w:t xml:space="preserve">في الإيراد على الصحيح، من أنّ الزيادات السَّهويّة خارجة عن هذا الحكم، وعليه فيدور الأمر بين إرادة الزيادة العمديّة منه، وبين إرادة زيادة الأركان، أو الزيادة في الركعات، وحيث إنّ حصول الزيادة عمداً نادرٌ، وكون زيادة الرّكعة هو الفرد الواضح ممّا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زاد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الحديث منصرفاً إلى الثاني لا ريب في إجماله، والمتيقّن هو ذلك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الصحيح مبطليّة كلّ زيادةٍ‌، كانت هي الرّكعة أو الرّكن أو غيرهما، من غير فرقٍ بين العمد والسَّهو، ومن غير فرقٍ بين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هذا العموم زيادة غير الأركان إنْ كانت سهويّة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في محلّه أنّ العام حجّة في غير أفراد المخصّص، فالباقي تحته زيادة الأركان والرّكعة مطلقاً، وزيادة غيرهما إنْ كانت عمديّة، ولا يدور الأمر بعد التخصيص بين إرادة العمد، وبين إرادة زيادة الأركان أو الرّكعة كي يتمّ ما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اليزدي رحمه الله</w:t>
      </w:r>
      <w:r>
        <w:rPr>
          <w:rStyle w:val="FootnoteAnchor"/>
          <w:rtl w:val="true"/>
        </w:rPr>
        <w:footnoteReference w:id="260"/>
      </w:r>
      <w:r>
        <w:rPr>
          <w:rFonts w:ascii="Amiri" w:hAnsi="Amiri" w:eastAsia="Amiri" w:cs="Amiri"/>
          <w:color w:val="111111"/>
          <w:sz w:val="28"/>
          <w:sz w:val="28"/>
          <w:szCs w:val="28"/>
          <w:rtl w:val="true"/>
          <w:lang w:bidi="ar-SA"/>
        </w:rPr>
        <w:t>وهو أنّ الزيادة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تكون من قبيل الزيادة في العمر، فيكون المقدّر الذي جُعلت الصَّلاة ظرفاً له هو الصَّلاة، فينحصر المورد بما إذا كان الزائد مقداراً يطلق عليه الصَّلاة مستقلّاً كالركعة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المقدّر شيئاً من الصَّلاة، سواءٌ أكان ركعةً أم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مطلق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ظهور اللّفظ في الأوّل، ولا أقلّ من الاحتمال، فالقدر المتيقّن من الحديث بطلان الصَّلاة بزيادة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هو الثالث، وإنْ شئتَ قلت إنّ حذف المتعلّق يفيد العموم، فعدم التصريح بالزائد، يوجب إطلاق الخبر وإرادة كلّ زيادة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أنّ الأخذ بإطلاقه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بواسطة الإجماع والروايات، يقيّد إطلاقه بالزيادة السَّهويّة في غير الأركان، ولا مانع من الأخذ بإطلاقه في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بمصحّح زرارة،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 لم تكن الزيادة مطلقاً مبطلة، لما صحّ هذا التعليل، ألا ترى أنّه لو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 خمرة استصغرها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الحرمة، لما صحّ ذلك إذا لم يكن الخمر بنفسها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المحقّق الهمداني</w:t>
      </w:r>
      <w:r>
        <w:rPr>
          <w:rStyle w:val="FootnoteAnchor"/>
          <w:rtl w:val="true"/>
        </w:rPr>
        <w:footnoteReference w:id="263"/>
      </w:r>
      <w:r>
        <w:rPr>
          <w:rFonts w:ascii="Amiri" w:hAnsi="Amiri" w:eastAsia="Amiri" w:cs="Amiri"/>
          <w:color w:val="111111"/>
          <w:sz w:val="28"/>
          <w:sz w:val="28"/>
          <w:szCs w:val="28"/>
          <w:rtl w:val="true"/>
          <w:lang w:bidi="ar-SA"/>
        </w:rPr>
        <w:t xml:space="preserve">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التعليل لا يخلو من إجمال، لأنّ سجدة العزيمة ليست زيادة في الصَّلاة، لعدم قصد الجزئيّة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لسان هذا الحديث لسان الحكومة، ويدلّ على أنّ مطلق وجود السّجود زيادة، وإنْ لم يقصد به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صحّة الاستدلال بالتعليل في الخبر الذي رواه الأعمش، عن جعفر بن محمّد عليه السلام، في حديث شرائع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يقصّر في السّفر لم تجز صلاته، لأنّه زاد في فرض اللّه عزّ وجلّ‌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265"/>
      </w:r>
      <w:r>
        <w:rPr>
          <w:rFonts w:ascii="Amiri" w:hAnsi="Amiri" w:eastAsia="Amiri" w:cs="Amiri"/>
          <w:color w:val="111111"/>
          <w:sz w:val="28"/>
          <w:sz w:val="28"/>
          <w:szCs w:val="28"/>
          <w:rtl w:val="true"/>
          <w:lang w:bidi="ar-SA"/>
        </w:rPr>
        <w:t>حمله على إرادة الزيادة على ما افترضه اللّه سبحانه من الركعتين لا مطلق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خلاف الإطلاق 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حُمل الخبر على مطلق الزيادة، لزم حمله على غير صورة السَّهو، كي يناسبه التعليل، وهو غير ممكن، وغير السّاهي إمّا عالمٌ أو جاهل، والجاهل معذورٌ في هذه المسألة، والعالم لا يزيد في صلاته إلّانادراً، فلابدَّ من حمل الخبر على الناسي الذي ستعرف أنّ مطلق الزيادة غير مبطلة بالنسبة إليه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هو في الحكم المُعلّل، والكلام انما هو في العلّة، وهي بالدلالة الالتزاميّة بالتقريب المتقدّم تدلّ على مبطليّة كلّ زيادة، ولا اختصاص لها بهذه المسألة، كي يقال إنّ الجاهل فيها معذور، بل هي بإطلاقها تدلّ على مبطليّة كلّ زيادة، خرج ما خرج، وبقي الباقي تحت العام، دون أن يتوجّه إليه محذور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 مندفعة بانجباره بشهرة الحكم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خبر عبد اللّه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المفروض إذا زدت عليه مثل الصَّلاة المفروضة إذا زدت عليها، فعليك الإعادة</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هذا الخبر في إرادة إلحاقهما بشيءٍ من جنسهما، بما يزيد على الحَدّ الذي جَعله الشارع الأقدس لهما، وإنْ كان لا يُنكر، إلّاأنّه يشمل زيادة خطوة على الطواف، وقيامٍ بلا ركوع على الصَّلاة، ولا يختصّ بزيادة شوط وركعة، فيتمّ فيما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الزيادة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رواياتٌ اُخر استدلّ بها لهذا القول، ولكن تركنا التعرّض لذكرها لعدم تماميّة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مبطليّة كلّ زيادةٍ عمديّة للصَّلاة، وما يظهر من جماعةٍ منهم المصنّف رحمه الله</w:t>
      </w:r>
      <w:r>
        <w:rPr>
          <w:rStyle w:val="FootnoteAnchor"/>
          <w:rtl w:val="true"/>
        </w:rPr>
        <w:footnoteReference w:id="267"/>
      </w:r>
      <w:r>
        <w:rPr>
          <w:rFonts w:ascii="Amiri" w:hAnsi="Amiri" w:eastAsia="Amiri" w:cs="Amiri"/>
          <w:color w:val="111111"/>
          <w:sz w:val="28"/>
          <w:sz w:val="28"/>
          <w:szCs w:val="28"/>
          <w:rtl w:val="true"/>
          <w:lang w:bidi="ar-SA"/>
        </w:rPr>
        <w:t>حيث اقتصر على بيان قدح زيادة الرّكوع، ولم يتعرّضوا لقدح كلّ زيادة، لعدم مبطليّة مطلق الزيادة العمديّة بحسب دعواهم، 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8" w:name="pg11801_108041"/>
    </w:p>
    <w:p>
      <w:pPr>
        <w:pStyle w:val="BookText"/>
        <w:rPr/>
      </w:pPr>
      <w:bookmarkEnd w:id="128"/>
      <w:r>
        <w:rPr>
          <w:rFonts w:ascii="Amiri" w:hAnsi="Amiri" w:eastAsia="Amiri" w:cs="Amiri"/>
          <w:color w:val="111111"/>
          <w:sz w:val="28"/>
          <w:sz w:val="28"/>
          <w:szCs w:val="28"/>
          <w:rtl w:val="true"/>
          <w:lang w:bidi="ar-SA"/>
        </w:rPr>
        <w:t>أمّا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 ركناً، أتى به إنْ كان في محلّه، وإلّا أعاد</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10506804_73709187"/>
      <w:bookmarkStart w:id="130" w:name="_Toc50"/>
      <w:bookmarkEnd w:id="129"/>
      <w:r>
        <w:rPr>
          <w:rtl w:val="true"/>
        </w:rPr>
        <w:t>حكم النقيصة سهواً</w:t>
      </w:r>
      <w:bookmarkEnd w:id="130"/>
    </w:p>
    <w:p>
      <w:pPr>
        <w:pStyle w:val="Heading6"/>
        <w:numPr>
          <w:ilvl w:val="5"/>
          <w:numId w:val="1"/>
        </w:numPr>
        <w:rPr/>
      </w:pPr>
      <w:bookmarkStart w:id="131" w:name="__RefHeading___Toc10506806_73709187"/>
      <w:bookmarkStart w:id="132" w:name="_Toc51"/>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المسألة الاُولى من بطلان الصَّلاة بترك شيءٍ من أجزائها إنّما هو في حقّ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ترك ركناً، أتى به إنْ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السَّهوي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يأتِ بشيء من الأجزاء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أتى به لكنّه وقع على خلاف المأمور به، فإنّه يقع زائداً، فلابدّ من إتيان المنسيّ وما بعده، والزيادة التي هذه حالها لا تبطل كما ستعرف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تجاوز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القضايا التي قياساتها معها، إذ المراد بالرّكن بطلان الفعل فيما ثبت نقصه ولو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فالمهمّ إنّما هو التكلّم في ذلك، وتعيين ما هو ركنٌ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فيما ورد فيه دليل خاص دالّ على ركنيّته بهذا المعنى، كتكبيرة الإحرام، والقيام المتّصل بالرّكوع، والرّكوع، والسَّجدتين، أمّا الأوّلان فلما تقدّم في بحث تكبيرة الإحرام والقيام من كتابنا هذا</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10506808_73709187"/>
      <w:bookmarkStart w:id="134" w:name="_Toc52"/>
      <w:bookmarkEnd w:id="133"/>
      <w:r>
        <w:rPr>
          <w:rtl w:val="true"/>
        </w:rPr>
        <w:t>حكم الإخلال بالرّكوع</w:t>
      </w:r>
      <w:bookmarkEnd w:id="13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لبطلان الصَّلاة بالإخلال بهما سهواً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 من النصوص الآتية، المتضمّنة أنّه إذا أخلَّ بالركوع حتّى سجد، أو أخلَّ بالسجدتين حتّى دخل في الرّكوع،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للمسألتين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التي يظهر منها شدّة الاهتمام بهما، وأنّهما معتبران في قوام ماهيّة الصَّلاة، كخبر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التي استدلّ بها المحقّق الهمداني رحمه الله</w:t>
      </w:r>
      <w:r>
        <w:rPr>
          <w:rStyle w:val="FootnoteAnchor"/>
          <w:rtl w:val="true"/>
        </w:rPr>
        <w:footnoteReference w:id="269"/>
      </w:r>
      <w:r>
        <w:rPr>
          <w:rFonts w:ascii="Amiri" w:hAnsi="Amiri" w:eastAsia="Amiri" w:cs="Amiri"/>
          <w:color w:val="111111"/>
          <w:sz w:val="28"/>
          <w:sz w:val="28"/>
          <w:szCs w:val="28"/>
          <w:rtl w:val="true"/>
          <w:lang w:bidi="ar-SA"/>
        </w:rPr>
        <w:t>لذلك، فلا تدلّ عليه، لأنّها تدلّ على أخذ صِرْف وجود الرّكوع والسّجود في ماهيّة الصَّلاة، لا جميع الركوعات والسجدات، كي يتمّ الاستدلال بها، مع أنّه لا يستفاد منها أزيد من الجزئيّة، وهذا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الأدلّة جملةٌ من النصوص، وهي تدلّ على عدم بطلان الصَّلاة بالإخلال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بن القاسم،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ركعةً من صلاته حتّى فرغ منها، ثمّ ذكر أنّه لم يركع‌؟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ويسجد سجدتي السَّهو</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ينسى الرّكوع أو سجدة، هل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سجدتا السَّهو؟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أتمَّ الصَّلاة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خبر حكم بن حكيم</w:t>
      </w:r>
      <w:r>
        <w:rPr>
          <w:rStyle w:val="FootnoteAnchor"/>
          <w:rtl w:val="true"/>
        </w:rPr>
        <w:footnoteReference w:id="272"/>
      </w:r>
      <w:r>
        <w:rPr>
          <w:rFonts w:ascii="Amiri" w:hAnsi="Amiri" w:eastAsia="Amiri" w:cs="Amiri"/>
          <w:color w:val="111111"/>
          <w:sz w:val="28"/>
          <w:sz w:val="28"/>
          <w:szCs w:val="28"/>
          <w:rtl w:val="true"/>
          <w:lang w:bidi="ar-SA"/>
        </w:rPr>
        <w:t>، ورواية عبد اللّه بن سنان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لإعراض الأصحاب عنها، لابدَّ من طرحها، وردّ علمها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تذكّر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تذكّر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أوّلاً في الرّكوع، ثمّ في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274"/>
      </w:r>
      <w:r>
        <w:rPr>
          <w:rFonts w:ascii="Amiri" w:hAnsi="Amiri" w:eastAsia="Amiri" w:cs="Amiri"/>
          <w:color w:val="111111"/>
          <w:sz w:val="28"/>
          <w:sz w:val="28"/>
          <w:szCs w:val="28"/>
          <w:rtl w:val="true"/>
          <w:lang w:bidi="ar-SA"/>
        </w:rPr>
        <w:t>بطلان الصَّلاة فيما إذا كان التذكّر بعد الدخول في السّجدة،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ينسى أن يركع حتّى يسجد ويقوم‌؟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الاستقبال استقبال الصَّلاة من أوّلها لا من حيث أخلَّ بها، أي الرّكعة التي ترك ركوعها، كما أنّ الظاهر من القيام هو القيام من السّجدة، فيشمل القيام عن السّجدة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إسحاق بن عمّار،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ينسي أن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أن يركع‌؟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بتركه، بل يأتي به أينما تذكّر، ولو بعد السَّجدتين، من غير فرقٍ بين ما إذا كان ذلك في الرّكعة الاُولى أو الثانية، أو إحدى الأخيرتين، أسند هذا القول الشيخ رحمه الله إلى بعض أصحابنا</w:t>
      </w:r>
      <w:r>
        <w:rPr>
          <w:rStyle w:val="FootnoteAnchor"/>
          <w:rtl w:val="true"/>
        </w:rPr>
        <w:footnoteReference w:id="27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إسناده إلى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بطلانها إذا كان في غير الرّكعة الاُولى‌، وهو المنسوب لابن الجُنيد</w:t>
      </w:r>
      <w:r>
        <w:rPr>
          <w:rStyle w:val="FootnoteAnchor"/>
          <w:rtl w:val="true"/>
        </w:rPr>
        <w:footnoteReference w:id="280"/>
      </w:r>
      <w:r>
        <w:rPr>
          <w:rFonts w:ascii="Amiri" w:hAnsi="Amiri" w:eastAsia="Amiri" w:cs="Amiri"/>
          <w:color w:val="111111"/>
          <w:sz w:val="28"/>
          <w:sz w:val="28"/>
          <w:szCs w:val="28"/>
          <w:rtl w:val="true"/>
          <w:lang w:bidi="ar-SA"/>
        </w:rPr>
        <w:t>وعلي بن بابويه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إذا كان في الأخيرتين من الرباعيّة، وهو المنسوب إلى الشيخ قدس سره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شكَّ بعدما سجد أنّه لم يركع‌؟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استيقن فليلق السَّجدتين اللّتين لا ركعة لهما، فيبني على صلاته على التمام، فإنْ كان لم يستيقن إلّابعدما فرغ وانصرف، فليتمّ الصَّلاة بركعة وسجدتين ولا شيء عليه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بطريق صحيح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السائل إنّه لم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 حتّى يستيقن إنّه لم يركع، فإنْ استيقن إنّه لم يركع، فليلق السَّجدتين اللّتين لا ركوع لهما، ويبني على صلاته على التمام، فإنْ كان لم يستيقن إلّا بعدما فرغ وانصرف، فليقم وليصلِّ ركعةً وسجدتين ولا شيء عليه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النصوص الآمرة بالإعادة، وعليه فيطرح، أو يُحمل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بأنّه متضمّنٌ لأمرٍ لا يمكن للفقيه الالتزام به وهو أنّه لو استيقن بعد الصَّلاة ترك الرّكوع، عليه أن يُصلّي ركعةً مع سجدتين بعد الانصراف، وهذا ممّا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الجمع بين الطائفتين، يقتضي حمل الأمر بالاستئناف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 مع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ويبني على صلاته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 متنافيان 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بالتلفيق مطلقاً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لإعراض الأصحاب عنه، لا يُعتمد عليه، مضافاً إلى أنّ النصوص المتقدّمة المعارضة له لأشهريّتها تقدّم عليه كما قيل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 قدس سره</w:t>
      </w:r>
      <w:r>
        <w:rPr>
          <w:rStyle w:val="FootnoteAnchor"/>
          <w:rtl w:val="true"/>
        </w:rPr>
        <w:footnoteReference w:id="286"/>
      </w:r>
      <w:r>
        <w:rPr>
          <w:rFonts w:ascii="Amiri" w:hAnsi="Amiri" w:eastAsia="Amiri" w:cs="Amiri"/>
          <w:color w:val="111111"/>
          <w:sz w:val="28"/>
          <w:sz w:val="28"/>
          <w:szCs w:val="28"/>
          <w:rtl w:val="true"/>
          <w:lang w:bidi="ar-SA"/>
        </w:rPr>
        <w:t>فقد استدلّ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الجمع بين صحيح ابنن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وصحيح العيص المتقدّم، وبين النصوص الآمرة بالإعادة، فإنّه تُحمل تلك النصوص على الركعتين الأولتين، وهذان على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هذا الجمع بحسب الظاهر، هو ما دلَّ من الأخبار على أنّ السَّهو في الأخيرتين دون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تبرّعيٌ لا شاهد له، فضلاً عمّا دلّ على أنّه لا سهو إلّافي الأخيرتين، مضافاً إلى أنّ المراد بالسهو فيه هو الشكّ‌، لا يصلح شاهداً للجمع، إلّاعلى القول بانقلاب النسبة الذي لا نقول به كما لا يخفى‌، مع أنّ الصحيحين غير معمول بهما، فلابدَّ من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نسيتَ الرّكوع بعدما سجدت من الرّكعة الاُولى‌، فأعد صلاتك، لأنّه إذا لم تصحّ لك الاُولى تصحّ صلاتك، وإنْ كان الرّكوع من الرّكعة الثانية أو الثالثة فاحذف السَّجدتين، واجعلها أعني الثالثة ثانيةً والرابعة ثالثة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منّا مراراً من عدم حجيّة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المشهور بين الأصحاب هو الأظهر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المقام نزاعاً آخر وهو أنّ تجاوز الرّكوع هل هو بالدخول في السّجدة الثانية،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أم بالدخول في السّجدة الاُولى كما هو المشهور؟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مقتضى القاعدة وإنْ كان ما أفاده السيّد رحمه الله من أنّه إذ لم يدخل في السّجدة الثانية، لو رجع وأتى بالركوع، لا يلزم منه شيءٌ‌، إذ زيادة السّجدة الواحدة كزيادة القراءة لا تضرّ، إنْ لم تكن عن عمد كما ستعرف، إلّاأنّ مقتضى إطلاق النصوص المتقدمه المقيّد بما إذا لم يكن التذكّر قبل الدخول في السّجدة، هو القول الثاني، وبها يخرج عن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ايقن الرّجل أنّه ترك ركعة من الصَّلاة، وقد سجد سجدتين، أو ترك الرّكوع، استانف الصَّلاة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بمفهومه يدلّ على أنّه إذا لم يتيقّن ترك الرّكوع بعد السَّجدتين، لا يجب الاستئناف، وإنْ تيقّن قبل السَّجدتين، وبه يقيّد إطلاق النصوص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291"/>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مطلقات الباب لا تقبل التقييد، وآبية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لا مفهوم له، لأنّ توهّم المفهوم إمّا ناشٍ عن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سجد سجدتين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كلمة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أيقن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وشيءٌ منهما لا يصلح منشئاً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حجيّة مفهموم القيد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ذو حكم وهو المتيقّن، لم يدخل عليه أداة الشرط، وما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عليه الأداة أعني اليقين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ظهور الوجه لهذه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الخبرين الأخيرين، قد قُيّد بما إذا نَسى الرّكوع وتذكّر قبل الدخول في السّجدة الاُولى قطعاً، وأيّ فرقٍ بين هذا التقييد بما إذ تذكّر قبل الدخول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مأخوذٌ على وجه الطريقيّة، وعليه فكأنّما المدخول هو المتيقّن نفسه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مجال للاعتماد عليه لعدم إفتاء المشهور بما يقتضيه إطلاق مفهومه، لكن يبقى للتأمّل مجالٌ لاحتمال أن يكون عدم إفتائهم بما يقتضيه الإطلاق، من جهة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أو غير ذلك، فالإعراض غير ثابت، والاحتياط سبيل النجاة</w:t>
      </w:r>
      <w:r>
        <w:rPr>
          <w:rFonts w:eastAsia="Amiri" w:cs="Amiri" w:ascii="Amiri" w:hAnsi="Amiri"/>
          <w:color w:val="111111"/>
          <w:sz w:val="28"/>
          <w:szCs w:val="28"/>
          <w:rtl w:val="true"/>
          <w:lang w:bidi="ar-SA"/>
        </w:rPr>
        <w:t>.</w:t>
      </w:r>
      <w:bookmarkStart w:id="135" w:name="pg11801_108049"/>
    </w:p>
    <w:p>
      <w:pPr>
        <w:pStyle w:val="Heading6"/>
        <w:numPr>
          <w:ilvl w:val="5"/>
          <w:numId w:val="1"/>
        </w:numPr>
        <w:rPr/>
      </w:pPr>
      <w:bookmarkStart w:id="136" w:name="__RefHeading___Toc10506810_73709187"/>
      <w:bookmarkStart w:id="137" w:name="_Toc53"/>
      <w:bookmarkEnd w:id="135"/>
      <w:bookmarkEnd w:id="136"/>
      <w:r>
        <w:rPr>
          <w:rtl w:val="true"/>
        </w:rPr>
        <w:t>حكم الإخلال بالسجدتين</w:t>
      </w:r>
      <w:bookmarkEnd w:id="137"/>
    </w:p>
    <w:p>
      <w:pPr>
        <w:pStyle w:val="Heading6"/>
        <w:numPr>
          <w:ilvl w:val="5"/>
          <w:numId w:val="1"/>
        </w:numPr>
        <w:rPr/>
      </w:pPr>
      <w:bookmarkStart w:id="138" w:name="__RefHeading___Toc10506812_73709187"/>
      <w:bookmarkStart w:id="139" w:name="_Toc54"/>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وأمّا السجدتان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تذكّر في الأثناء أنّه لم يأتِ بهما، فالمشهور</w:t>
      </w:r>
      <w:r>
        <w:rPr>
          <w:rStyle w:val="FootnoteAnchor"/>
          <w:rtl w:val="true"/>
        </w:rPr>
        <w:footnoteReference w:id="292"/>
      </w:r>
      <w:r>
        <w:rPr>
          <w:rFonts w:ascii="Amiri" w:hAnsi="Amiri" w:eastAsia="Amiri" w:cs="Amiri"/>
          <w:color w:val="111111"/>
          <w:sz w:val="28"/>
          <w:sz w:val="28"/>
          <w:szCs w:val="28"/>
          <w:rtl w:val="true"/>
          <w:lang w:bidi="ar-SA"/>
        </w:rPr>
        <w:t>أنّه إن دَخل في الرّكوع، وتذكّر، أعاد صلاته، والظاهر وجود الأقوال الثلاثة المتقدّمة في المسألة السابقة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للمشهور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يُصلّي ركعتين، ثمّ ذكر في الثانية وهو راكع أنّه ترك سجدةً في الاُولى؟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السّجدة في الرّكعة الاُولى‌، فلم يدر أواحدة أو اثنتين، استقبلتَ حتّى يصحّ لك ثنتان، وإذا كان في الثالثة والرابعة تركتَ سجدة بعد أنْ تكون قد حفظت الرّكوع، أعدت السّجود</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بطلان الصَّلاة مع الشكّ في كون المتروك سجدة أو سجدتين، فمع العلم بكون المنسيّ اثنتين، فإنّ البطلان أولى‌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بالركعة الاُولى، أنّه مع الشكّ المزبور يُحتمل كون الرّكوع صحيحاً، إذ لو كان المنسيّ سجدة واحدة، كان الرّكوع صحيحاً، فلا يمكن إحراز صحّة الصَّلاة بالعود وإتيان السَّجدة، لإحتمال زيادة الرّكوع، وهذا بخلاف ما لو علم بأنّ المنسيّ اثنتان، فإنّ الرّكوع ليس بصحيحٍ قطعاً، أضف إليه أنّه مع العود في صورة الشكّ‌، إنْ أتى بواحدة، يُحتمل النقص، وإنْ أتى بثنتين يحتمل الزيادة، فلا أولويّة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Style w:val="FootnoteAnchor"/>
          <w:rtl w:val="true"/>
        </w:rPr>
        <w:footnoteReference w:id="294"/>
      </w:r>
      <w:r>
        <w:rPr>
          <w:rFonts w:ascii="Amiri" w:hAnsi="Amiri" w:eastAsia="Amiri" w:cs="Amiri"/>
          <w:color w:val="111111"/>
          <w:sz w:val="28"/>
          <w:sz w:val="28"/>
          <w:szCs w:val="28"/>
          <w:rtl w:val="true"/>
          <w:lang w:bidi="ar-SA"/>
        </w:rPr>
        <w:t>المستفيضة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ناسي السَّجدة الواحدة إذا تذكّر في الرّكوع يقضيها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التعليل بذلك، فإذا كان محلّ تدارك السّجدة ماضياً بالدخول في الرّكوع، فمع كون المنسيّ ثنتين، لا مناص عن البناء على البطلان، لنقص الصَّلاة من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مضيّ محلّ التدارك لو كانت واحدة، لعلّه من جهة كون الرّكوع صحيحاً، وأمّا في المقام فالركوع زائدٌ وباطلٌ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الإجماع والنصّ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بطلان الصَّلاة بزيادة الرّكوع، وعليه فإنْ مضى ناسي السَّجدتين في صلاته، بطلت لنقص صلاته من السَّجدتين، وإنْ عاد وأتى بهما ولم يأت بالركوع، نقصت صلاته من الرّكوع، ولزم خلاف الترتيب، وإنْ أتى به أيضاً فقد زاد ركوعاً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تلك النصوص لا تشمل مثل هذه الزيادة الناشئة من رفع اليد عن الجزء المأتي به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مُعلّى بن خُنَيس، عن أبي الحسن الماضي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السّجدة من صلاته‌؟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ذَكرها قبل ركوعه سَجَدها، وبنى على صلاته، ثمّ سَجَد سجدتي السَّهو بعد انصرافه، وإنْ ذكرها بعد ركوعه أعاد الصَّلاة، ونسيان السّجدة في الأولتين والأخيرتين سواء</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ومقتضى إطلاق الخبر وإنْ كان بطلان الصَّلاة بترك سجدةٍ واحدة، إلّاأنّه من جهة المستفيضة الدالّة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الخبر على إرادة الجنس من السّجدة، فيقيّد إطلاقه بها، أو على أنّه اُطلقت على السَّجدتين باعتبار أنّهما معاً جزء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مُعلّى</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بمعارضته بخبر عبد اللّه بن سنان</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شيئاً من الصَّلاة، ركوعاً أو سجوداً أو تكبيراً، ثمّ ذكرت، فاصنع الذي فاتك سواء</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به كلٌّ من القائلين بعدم البطلان مطلقاً، والقائلين باختصاصه بالأوليين، وقد مرَّ تقريب استدلالهما به وبما شاكله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المُعلّى ثقة، ويُعتمد على روايته، لتصريح جمعٍ من أئمّة الرِّجال بذلك، ولورود رواياتٍ في مدحه، والنسبة بين الخبرين عموم مطلق، فيقيّد إطلاق خبر ابن سنان بخبر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لأنّ علي بن إسماعيل يرويه عن رجلٍ عن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 بما سيأتي من مبطليّة زيادة الرّكوع مطلقاً، ونقص السَّجدتين، وفي هذه الصَّلاة الأمر يدور بينهما، فيُعلم تفصيلاً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ثبتت ركنيّته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تثبت ركنيّته ولا عدمها بالدليل، وإنّما ثبتت جزئيّته أو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0" w:name="pg11801_108052"/>
    </w:p>
    <w:p>
      <w:pPr>
        <w:pStyle w:val="BookText"/>
        <w:rPr/>
      </w:pPr>
      <w:bookmarkEnd w:id="140"/>
      <w:r>
        <w:rPr>
          <w:rFonts w:ascii="Amiri" w:hAnsi="Amiri" w:eastAsia="Amiri" w:cs="Amiri"/>
          <w:color w:val="111111"/>
          <w:sz w:val="28"/>
          <w:sz w:val="28"/>
          <w:szCs w:val="28"/>
          <w:rtl w:val="true"/>
          <w:lang w:bidi="ar-SA"/>
        </w:rPr>
        <w:t>شرطيّته للصَّلاة، وشكّ في أنّه هل تبطل الصَّلاة بفقدانه في حال النسيان أم لا؟</w:t>
      </w:r>
    </w:p>
    <w:p>
      <w:pPr>
        <w:pStyle w:val="BookText"/>
        <w:rPr/>
      </w:pPr>
      <w:r>
        <w:rPr>
          <w:rFonts w:ascii="Amiri" w:hAnsi="Amiri" w:eastAsia="Amiri" w:cs="Amiri"/>
          <w:color w:val="111111"/>
          <w:sz w:val="28"/>
          <w:sz w:val="28"/>
          <w:szCs w:val="28"/>
          <w:rtl w:val="true"/>
          <w:lang w:bidi="ar-SA"/>
        </w:rPr>
        <w:t>فتنقيح القول فيه يقتضي التكلّم في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يقتضيه الأصل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يقتضيه الأصل العملي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تقتضيه القاعدة الثانويّة في خصوص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بالبحث فيها، لابدَّ من تقديم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تكليف الناسي بغير ما نسيه من الأجزاء والشرائط أم لا؟</w:t>
      </w:r>
    </w:p>
    <w:p>
      <w:pPr>
        <w:pStyle w:val="Heading6"/>
        <w:numPr>
          <w:ilvl w:val="5"/>
          <w:numId w:val="1"/>
        </w:numPr>
        <w:rPr/>
      </w:pPr>
      <w:bookmarkStart w:id="141" w:name="__RefHeading___Toc10506814_73709187"/>
      <w:bookmarkStart w:id="142" w:name="_Toc55"/>
      <w:bookmarkEnd w:id="141"/>
      <w:r>
        <w:rPr>
          <w:rtl w:val="true"/>
        </w:rPr>
        <w:t>إمكان تكليف النّاسي بغير ما نسيه</w:t>
      </w:r>
      <w:bookmarkEnd w:id="142"/>
    </w:p>
    <w:p>
      <w:pPr>
        <w:pStyle w:val="BookText"/>
        <w:rPr/>
      </w:pPr>
      <w:r>
        <w:rPr>
          <w:rFonts w:ascii="Amiri" w:hAnsi="Amiri" w:eastAsia="Amiri" w:cs="Amiri"/>
          <w:color w:val="111111"/>
          <w:sz w:val="28"/>
          <w:sz w:val="28"/>
          <w:szCs w:val="28"/>
          <w:rtl w:val="true"/>
          <w:lang w:bidi="ar-SA"/>
        </w:rPr>
        <w:t>ذهب جماعةٌ منهم الشيخ الأعظم رحمه الله</w:t>
      </w:r>
      <w:r>
        <w:rPr>
          <w:rStyle w:val="FootnoteAnchor"/>
          <w:rtl w:val="true"/>
        </w:rPr>
        <w:footnoteReference w:id="300"/>
      </w:r>
      <w:r>
        <w:rPr>
          <w:rFonts w:ascii="Amiri" w:hAnsi="Amiri" w:eastAsia="Amiri" w:cs="Amiri"/>
          <w:color w:val="111111"/>
          <w:sz w:val="28"/>
          <w:sz w:val="28"/>
          <w:szCs w:val="28"/>
          <w:rtl w:val="true"/>
          <w:lang w:bidi="ar-SA"/>
        </w:rPr>
        <w:t>إلى عدم إمكانه واستحالته، من جهة عدم إمكان فعليّة ذلك الحكم،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يلتفت إلى نسيانه، لا يمكن انبعاثه عنه، وإذا لم يمكن ذلك، لما أمكن بعثه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التفت إليه انقلب إلى الذّاكر، فلا يصبح الحكم الثابت للناسي فعليّاً في حقّه على كلّ تقدير، وإذا امتنع ذلك امتنع الجعل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أمتنها ما أفاده المحقّق الخراساني رحمه الله</w:t>
      </w:r>
      <w:r>
        <w:rPr>
          <w:rStyle w:val="FootnoteAnchor"/>
          <w:rtl w:val="true"/>
        </w:rPr>
        <w:footnoteReference w:id="301"/>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ذلك بأن يوجّه التكليف بعدّة من الأجزاء إلى عامّة المكلّفين، وبالنسبة إلى بقيّة الأجزاء والشرائط يوجّه الأمر بكلّ واحدٍ منها إلى خصوص الذاكرين، فتختصّ </w:t>
      </w:r>
      <w:bookmarkStart w:id="143" w:name="pg11801_108053"/>
    </w:p>
    <w:p>
      <w:pPr>
        <w:pStyle w:val="BookText"/>
        <w:rPr/>
      </w:pPr>
      <w:bookmarkEnd w:id="143"/>
      <w:r>
        <w:rPr>
          <w:rFonts w:ascii="Amiri" w:hAnsi="Amiri" w:eastAsia="Amiri" w:cs="Amiri"/>
          <w:color w:val="111111"/>
          <w:sz w:val="28"/>
          <w:sz w:val="28"/>
          <w:szCs w:val="28"/>
          <w:rtl w:val="true"/>
          <w:lang w:bidi="ar-SA"/>
        </w:rPr>
        <w:t>جزئيّته أو شرطيّته بحال الذّكر، ولا يعمّ حال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تعيّن للمنسيّ حتّى يؤمر بما عداه مطلقاً، وبه مقيّداً بالالتفات، فلابدّ من الالتزام بتعدّد البعث بعدد ما يتصوّر من أنحاء نسيان الجزء، إطلاقاً وتقييداً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الناسي لعدم توجّهه إلى كونه ناسياً، يقصد الأمر المتوجّه إلى الذاكرين، فما قصده لا واقع له، وما له واقعٌ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محذور في أن يكون التكليف بغير ما يتقوّم به العمل مقيّداً بالالتفات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الناسي وإنْ كان يعتقد ممّاثلة أمره لأمر الذاكرين، ولكنّه لأجل قصده امتثال الأمر الفعلي المتوجّه إليه، ووجود أمر فعلي كذلك، لا يضرّ ذلك بصحّة عمله، بل يكون من قبيل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الأجوبة الاُخر، فبيانها موكولٌ إلى محلّها في الاُصول</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144" w:name="__RefHeading___Toc10506816_73709187"/>
      <w:bookmarkStart w:id="145" w:name="_Toc56"/>
      <w:bookmarkEnd w:id="144"/>
      <w:r>
        <w:rPr>
          <w:rtl w:val="true"/>
        </w:rPr>
        <w:t>ثبوت الجزئيّة في حال النسيان وعدمه</w:t>
      </w:r>
      <w:bookmarkEnd w:id="145"/>
    </w:p>
    <w:p>
      <w:pPr>
        <w:pStyle w:val="BookText"/>
        <w:rPr/>
      </w:pPr>
      <w:r>
        <w:rPr>
          <w:rFonts w:ascii="Amiri" w:hAnsi="Amiri" w:eastAsia="Amiri" w:cs="Amiri"/>
          <w:color w:val="111111"/>
          <w:sz w:val="28"/>
          <w:sz w:val="28"/>
          <w:szCs w:val="28"/>
          <w:rtl w:val="true"/>
          <w:lang w:bidi="ar-SA"/>
        </w:rPr>
        <w:t>إذا عرفت هذه المقدّمة فيقع الكلام في المقامات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 إنّه إنْ كان لدليل الجزئيّة أو الشرطيّة إطلاق يشمل حال النسيان، فيؤخذ به، ويُحكم بالجزئيّة أو الشرطيّة المطلقة، سواءٌ كان لدليل الواجب إطلاقٌ أم لا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فلتقدّم إطلاق المقيّد على إطلاق دليل المطلق، ومعه لا شكّ في الاعتبار كي يرجع إلى البراءة، ولازم الإطلاق المزبور ليس ثبوت الأمر بما هو مركّبٌ من المنسيّ في حال النسيان، كي يقال إنّه مستحيلٌ عقلاً، بل حيث إنّ لازم معنى ثبوت الجزئيّة أو الشرطيّة في جميع الأزمنة والآنات التي أمر فيها بالمركّب، هو سقوط الأمر عند نسيان الجزء أو الشرط، يصبح الفاقد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فرق فيما ذكرناه بين أنْ يكون الدليل المُثبِت للجزئيّة أو الشرطيّة بلسان الأمر به، أو بغير ذلك، إذ الأوامر المتعلّقة بالأجزاء والشرائط ليست أوامر بعثيّة، حتّى يُقال إنّها مقيّدة بحال الذّكر عقلاً لاشتراط التكليف بها، بل تكون إرشاداً إلى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يتمّ لولا حديث رفع النسيان</w:t>
      </w:r>
      <w:r>
        <w:rPr>
          <w:rStyle w:val="FootnoteAnchor"/>
          <w:rtl w:val="true"/>
        </w:rPr>
        <w:footnoteReference w:id="303"/>
      </w:r>
      <w:r>
        <w:rPr>
          <w:rFonts w:ascii="Amiri" w:hAnsi="Amiri" w:eastAsia="Amiri" w:cs="Amiri"/>
          <w:color w:val="111111"/>
          <w:sz w:val="28"/>
          <w:sz w:val="28"/>
          <w:szCs w:val="28"/>
          <w:rtl w:val="true"/>
          <w:lang w:bidi="ar-SA"/>
        </w:rPr>
        <w:t>، وإلّا فهو من جهة كون الرفع بالإضافة الى غير ما لا يعلمون رفعاً واقعيّاً، يكون حاكماً على إطلاقات الأدلّة المثبته للأحكام في ظرف النسيان، وموجباً لإلغاء الجزئيّة والشرطيّة، وبه يثبت صحّة المأتي به ومطابقته للمأمور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رفع النسيان، لا يصلح إلّالرفع الأمر من المنسيّ‌، وحيث إنّه ضمنيّ فلا يمكن رفعه إلّابرفع الأمر بالمركّب منه ومن غيره، ولا يصلح لإثبات الأمر بغير المنسيّ‌، مضافاً إلى أنّ نسيان جزءٍ أو شرط في فردٍ من الواجب، ليس مورداً لحديث الرفع، إذ ما تعلّق به النسيان حينئذٍ غير ما هو متعلّق الأمر، فإنّ متعلّق الأمر هو الجامع والطبيعي، والمفروض إنّه لم يطرأ عليه النسيان، وما طرأ عليه ذلك وهو الفرد، ليس متعلّقاً للأمر، ومعلوم أنّ الحديث إنّما يرفع الحكم إذا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6" w:name="pg11801_108055"/>
    </w:p>
    <w:p>
      <w:pPr>
        <w:pStyle w:val="BookText"/>
        <w:rPr/>
      </w:pPr>
      <w:bookmarkEnd w:id="146"/>
      <w:r>
        <w:rPr>
          <w:rFonts w:ascii="Amiri" w:hAnsi="Amiri" w:eastAsia="Amiri" w:cs="Amiri"/>
          <w:color w:val="111111"/>
          <w:sz w:val="28"/>
          <w:sz w:val="28"/>
          <w:szCs w:val="28"/>
          <w:rtl w:val="true"/>
          <w:lang w:bidi="ar-SA"/>
        </w:rPr>
        <w:t>كان متعلّق النسيان والحكم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من خلال حديث الرفع إثبات وجوب بقيّة الأجزاء غير المنسيّ‌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الصَّلاة إذا كان النسيان مستوعباً للوقت، يثبت ذلك بعدما نرفع بالحديث الأمر بالمركّب من المنسيّ وغيره بما دلَّ على أنّ الصَّلاة لا تسقط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لدليل الجزيئة أو الشرطيّة إطلاقٌ‌، وكان لدليل الواجب إطلاقٌ فيؤخذ به، ويُحكم بعدم كون المنسيّ جزءً أو شرطاً في حال النسيان، اقتصاراً في تقييد إطلاق دليل الواجب بخصوص حال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لدليل الواجب أيضاً إطلاق، فلابدَّ من الرجوع إلى ما يقتضيه الأصل العملي، وهو المقام الثاني من البحث</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10506818_73709187"/>
      <w:bookmarkStart w:id="148" w:name="_Toc57"/>
      <w:bookmarkEnd w:id="147"/>
      <w:r>
        <w:rPr>
          <w:rtl w:val="true"/>
        </w:rPr>
        <w:t>مقتضى الأصل العملي عند الشكّ في الجزئيّة</w:t>
      </w:r>
      <w:bookmarkEnd w:id="148"/>
    </w:p>
    <w:p>
      <w:pPr>
        <w:pStyle w:val="BookText"/>
        <w:rPr/>
      </w:pPr>
      <w:r>
        <w:rPr>
          <w:rFonts w:ascii="Amiri" w:hAnsi="Amiri" w:eastAsia="Amiri" w:cs="Amiri"/>
          <w:color w:val="111111"/>
          <w:sz w:val="28"/>
          <w:sz w:val="28"/>
          <w:szCs w:val="28"/>
          <w:rtl w:val="true"/>
          <w:lang w:bidi="ar-SA"/>
        </w:rPr>
        <w:t>التزم المحقّق الخراساني رحمه الله</w:t>
      </w:r>
      <w:r>
        <w:rPr>
          <w:rStyle w:val="FootnoteAnchor"/>
          <w:rtl w:val="true"/>
        </w:rPr>
        <w:footnoteReference w:id="304"/>
      </w:r>
      <w:r>
        <w:rPr>
          <w:rFonts w:ascii="Amiri" w:hAnsi="Amiri" w:eastAsia="Amiri" w:cs="Amiri"/>
          <w:color w:val="111111"/>
          <w:sz w:val="28"/>
          <w:sz w:val="28"/>
          <w:szCs w:val="28"/>
          <w:rtl w:val="true"/>
          <w:lang w:bidi="ar-SA"/>
        </w:rPr>
        <w:t>بجريان البراءة عن جزيئة المنسيّ أو شرطيّته، وإثبات صحّة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التفصيل بين موارد التكاليف الانحلاليّة، وبين موارد التكاليف المتعلّقة بصِرْف وجود الطبيعة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حديث الرفع عدم الأمر بشيء، وذلك لأنّه إذا أمر المولى عبده بالوقوف في محلّ خاص من أوّل طلوع الشّمس الى الزّوال، ونسى </w:t>
      </w:r>
    </w:p>
    <w:p>
      <w:pPr>
        <w:pStyle w:val="BookText"/>
        <w:rPr/>
      </w:pPr>
      <w:r>
        <w:rPr>
          <w:rFonts w:ascii="Amiri" w:hAnsi="Amiri" w:eastAsia="Amiri" w:cs="Amiri"/>
          <w:color w:val="111111"/>
          <w:sz w:val="28"/>
          <w:sz w:val="28"/>
          <w:szCs w:val="28"/>
          <w:rtl w:val="true"/>
          <w:lang w:bidi="ar-SA"/>
        </w:rPr>
        <w:t>العبد الوقوف في ساعةٍ منه، وشكّ في أنّ جزئيّة الوقوف في هذه الساعة، هل هي مطلقة، ليسقط الأمر بالوقوف في الساعات المتأخّرة، أم مختصّة بحال الذُكر، ليكون الأمر به باقياً؟</w:t>
      </w:r>
    </w:p>
    <w:p>
      <w:pPr>
        <w:pStyle w:val="BookText"/>
        <w:rPr/>
      </w:pPr>
      <w:r>
        <w:rPr>
          <w:rFonts w:ascii="Amiri" w:hAnsi="Amiri" w:eastAsia="Amiri" w:cs="Amiri"/>
          <w:color w:val="111111"/>
          <w:sz w:val="28"/>
          <w:sz w:val="28"/>
          <w:szCs w:val="28"/>
          <w:rtl w:val="true"/>
          <w:lang w:bidi="ar-SA"/>
        </w:rPr>
        <w:t>فالشكّ فيه يرجع إلى الشكّ في التكليف بالإتيان بغير المنسيّ‌، فتجري فيه البراءة، ممّا يقتضي عدم وجوب الإتيان بغير المنسيّ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نسى الإتيان بجزءٍ من الصَّلاة المأمور بها في فردٍ منها، فحيث أنّ التكليف بأصل طبيعي الصَّلاة الواقعة في جزءٍ من الوقت المقرّر لها معلومٌ‌، والشكّ في إطلاق الجزئيّة يرجع إلى جواز الاكتفاء بالمأتيّ به وعدمه،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استحالة توجّه الخطاب إلى الناسي، فالمأتي به غير مأمورٍ به قطعاً، فالشكّ في جواز الإجتزاء وعدمه ناشٍ عن الشكّ في وفائه بالغرض، فلا مناص عن الرجوع الى قاعدة الاشتغال، والنتيجة هي لزوم الإعادة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إمكانه كما عرفت، فيكون المقام من موارد دوران الأمر بين الأقلّ والأكثر، للعلم بتعلّق التكليف بالصلاة مثلاً، والعلم بجزئيّة السّورة مثلاً في حال الذكر، والشكّ في جزئيّتها في حال النسيان، فيصبح الواجبُ مردّداً بين أنْ يكون خصوص الصَّلاة المشتملة على السّورة أو الجامع بينها، وبين الفاقدة لها في حال النسيان، فالأمر يؤول إلى العلم بالقدر الجامع، والشكّ في اعتبار السّورة على الإطلاق، والمرجع إلى البراءة بناءً على جريانها في موارد دوران الأمر بين الأقلّ والأكثر، كما هو الحقّ‌، وهي تقتضي الحكم بعدم جزئيّة المنسيّ‌، ومطابقة المأتي به للمأمور به</w:t>
      </w:r>
      <w:r>
        <w:rPr>
          <w:rFonts w:eastAsia="Amiri" w:cs="Amiri" w:ascii="Amiri" w:hAnsi="Amiri"/>
          <w:color w:val="111111"/>
          <w:sz w:val="28"/>
          <w:szCs w:val="28"/>
          <w:rtl w:val="true"/>
          <w:lang w:bidi="ar-SA"/>
        </w:rPr>
        <w:t xml:space="preserve">. </w:t>
      </w:r>
      <w:bookmarkStart w:id="149" w:name="pg11801_108057"/>
    </w:p>
    <w:p>
      <w:pPr>
        <w:pStyle w:val="Heading6"/>
        <w:numPr>
          <w:ilvl w:val="5"/>
          <w:numId w:val="1"/>
        </w:numPr>
        <w:rPr/>
      </w:pPr>
      <w:bookmarkStart w:id="150" w:name="__RefHeading___Toc10506820_73709187"/>
      <w:bookmarkStart w:id="151" w:name="_Toc58"/>
      <w:bookmarkEnd w:id="149"/>
      <w:bookmarkEnd w:id="150"/>
      <w:r>
        <w:rPr>
          <w:rtl w:val="true"/>
        </w:rPr>
        <w:t>مقتضى القاعدة الثانويّة عند الشكّ في الجزئيّة</w:t>
      </w:r>
      <w:bookmarkEnd w:id="1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نصوص في باب الصَّلاة تدلّ على صحّة الصَّلاة إذا أخلَّ بجملةٍ من الأجزاء والشرائط نسياناً، وعمدة تلك النصوص، صحيح زرارة عن أبي جعفر عليه السلام، وحيث إنّ هذا الحديث الشريف هو الأصل في هذا الباب، ومتضمّنٌ لحكم جملةٍ من الفروع، فلابدّ لنا من نقله، ثمّ التكلّم عن دلالته كي يتّضح سعة ما يستفاد منه</w:t>
      </w:r>
      <w:r>
        <w:rPr>
          <w:rFonts w:eastAsia="Amiri" w:cs="Amiri" w:ascii="Amiri" w:hAnsi="Amiri"/>
          <w:color w:val="111111"/>
          <w:sz w:val="28"/>
          <w:szCs w:val="28"/>
          <w:rtl w:val="true"/>
          <w:lang w:bidi="ar-SA"/>
        </w:rPr>
        <w:t>.</w:t>
      </w:r>
      <w:bookmarkStart w:id="152" w:name="pg11801_108058"/>
    </w:p>
    <w:p>
      <w:pPr>
        <w:pStyle w:val="Heading6"/>
        <w:numPr>
          <w:ilvl w:val="5"/>
          <w:numId w:val="1"/>
        </w:numPr>
        <w:rPr/>
      </w:pPr>
      <w:bookmarkStart w:id="153" w:name="__RefHeading___Toc10506822_73709187"/>
      <w:bookmarkStart w:id="154" w:name="_Toc59"/>
      <w:bookmarkEnd w:id="152"/>
      <w:bookmarkEnd w:id="153"/>
      <w:r>
        <w:rPr>
          <w:rtl w:val="true"/>
        </w:rPr>
        <w:t xml:space="preserve">البحث عن حديث </w:t>
      </w:r>
      <w:r>
        <w:rPr>
          <w:rtl w:val="true"/>
        </w:rPr>
        <w:t>(</w:t>
      </w:r>
      <w:r>
        <w:rPr>
          <w:rtl w:val="true"/>
        </w:rPr>
        <w:t>لا تُعاد الصلاة</w:t>
      </w:r>
      <w:r>
        <w:rPr>
          <w:rtl w:val="true"/>
        </w:rPr>
        <w:t>)</w:t>
      </w:r>
      <w:bookmarkEnd w:id="154"/>
    </w:p>
    <w:p>
      <w:pPr>
        <w:pStyle w:val="Heading6"/>
        <w:numPr>
          <w:ilvl w:val="5"/>
          <w:numId w:val="1"/>
        </w:numPr>
        <w:rPr/>
      </w:pPr>
      <w:bookmarkStart w:id="155" w:name="__RefHeading___Toc10506824_73709187"/>
      <w:bookmarkStart w:id="156" w:name="_Toc60"/>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المشائخ الثلاثة بأسانيدهم إلى زرارة، عن الإمام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والتشهّد سُنّة، ولا تنقضُ السُنّةُ الفريضة</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صحيحٌ معتمدٌ عليه عند الأصحاب،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جهات</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10506826_73709187"/>
      <w:bookmarkStart w:id="158" w:name="_Toc61"/>
      <w:bookmarkEnd w:id="157"/>
      <w:r>
        <w:rPr>
          <w:rtl w:val="true"/>
        </w:rPr>
        <w:t>توهّم كون الحديث وارداً في مقام بيان ماهيّة الصَّلاة</w:t>
      </w:r>
      <w:bookmarkEnd w:id="158"/>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كون الحديث وارداً في مقام بيان ماهيّة الصَّلاة وما يعتبر فيها، ويدلّ على أنّه لا يعتبر فيها سوى الخمسة المذكورة، فكلّما ثبت اعتباره بدليلٍ آخر، يكون خارجاً عنه بالتخصيص، ولو شكّ في اعتبار شيء فيه، فإنّ مقتضى إطلاق الحديث هو العدم،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معناه المطابقي أنّ الصَّلاة لا تُعاد من ناحية الإخلال بما يتوهّم اعتباره فيها، إلّامن هذه الاُمور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ومدلوله الالتزامي أنّ ما توهّم اعتباره فيها، ولاجله يتوهّم لزوم الإعادة عند الإخلال به، لا يكون معتبراً سوى الخمسة المذكورة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آبٍ عن التخصيص، لوروده مورد التحديد، والحمل على المعنى المزبور، موجبٌ لورود التخصيص عليه، مع أنّ لازمه تخصيص الأكثر، إذ ما ثبت من الأجزاء والشرائط للصَّلاة أكثر بمراتب ممّا ورد ذكره في الحديث</w:t>
      </w:r>
      <w:r>
        <w:rPr>
          <w:rFonts w:eastAsia="Amiri" w:cs="Amiri" w:ascii="Amiri" w:hAnsi="Amiri"/>
          <w:color w:val="111111"/>
          <w:sz w:val="28"/>
          <w:szCs w:val="28"/>
          <w:rtl w:val="true"/>
          <w:lang w:bidi="ar-SA"/>
        </w:rPr>
        <w:t xml:space="preserve">. </w:t>
      </w:r>
      <w:bookmarkStart w:id="159" w:name="pg11801_108059"/>
    </w:p>
    <w:p>
      <w:pPr>
        <w:pStyle w:val="BookText"/>
        <w:rPr/>
      </w:pPr>
      <w:bookmarkEnd w:id="1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ورود الحديث مورد بيان أجزاء المأمور به وشرائطه، لايكون آبياً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الحديث متضمّنٌ 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الإعادة من ناحية غير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لزومها من 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اعتبار شيء آخر فيها غير الخمسة المذكورة، إنّما يكون مخصّصاً للأُولى دون الثانية، فلا يلزم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إنّما يدلّ على عدم لزوم الإعادة، فالمفروض في موضوعه الإتيان بالمأمور به، المتوقّف على ثبوت أصل ماهيّة الصَّلاة بحسب الجعل من ناحية الشارع، فهو في مقام بيان ما يكون متأخّراً عن ماهيّة الصَّلاة بحسب الجعل بمرتبتين، فكيف يمكن الالتزام بكونه وارداً في مقام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 محيص عن حمل الحديث على ما فهمه الأصحاب، ويكون ظاهراً فيه، وهو إرادة بيان حكم الإخلال بما ثبت اعتباره فيها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0506828_73709187"/>
      <w:bookmarkStart w:id="161" w:name="_Toc62"/>
      <w:bookmarkEnd w:id="160"/>
      <w:r>
        <w:rPr>
          <w:rtl w:val="true"/>
        </w:rPr>
        <w:t>الصحيح لا يشمل العامد</w:t>
      </w:r>
      <w:bookmarkEnd w:id="161"/>
    </w:p>
    <w:p>
      <w:pPr>
        <w:pStyle w:val="Heading6"/>
        <w:numPr>
          <w:ilvl w:val="5"/>
          <w:numId w:val="1"/>
        </w:numPr>
        <w:rPr/>
      </w:pPr>
      <w:bookmarkStart w:id="162" w:name="__RefHeading___Toc10506830_73709187"/>
      <w:bookmarkStart w:id="163" w:name="_Toc63"/>
      <w:bookmarkEnd w:id="162"/>
      <w:r>
        <w:rPr>
          <w:rtl w:val="true"/>
        </w:rPr>
        <w:t>اشارة</w:t>
      </w:r>
      <w:bookmarkEnd w:id="1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306"/>
      </w:r>
      <w:r>
        <w:rPr>
          <w:rFonts w:ascii="Amiri" w:hAnsi="Amiri" w:eastAsia="Amiri" w:cs="Amiri"/>
          <w:color w:val="111111"/>
          <w:sz w:val="28"/>
          <w:sz w:val="28"/>
          <w:szCs w:val="28"/>
          <w:rtl w:val="true"/>
          <w:lang w:bidi="ar-SA"/>
        </w:rPr>
        <w:t>اختصاص الخبر بما عدا العامد، وأنّه لا يشمل العامد مطلقاً</w:t>
      </w:r>
      <w:r>
        <w:rPr>
          <w:rFonts w:eastAsia="Amiri" w:cs="Amiri" w:ascii="Amiri" w:hAnsi="Amiri"/>
          <w:color w:val="111111"/>
          <w:sz w:val="28"/>
          <w:szCs w:val="28"/>
          <w:rtl w:val="true"/>
          <w:lang w:bidi="ar-SA"/>
        </w:rPr>
        <w:t xml:space="preserve">. </w:t>
      </w:r>
      <w:bookmarkStart w:id="164" w:name="pg11801_108060"/>
    </w:p>
    <w:p>
      <w:pPr>
        <w:pStyle w:val="BookText"/>
        <w:rPr/>
      </w:pPr>
      <w:bookmarkEnd w:id="164"/>
      <w:r>
        <w:rPr>
          <w:rFonts w:ascii="Amiri" w:hAnsi="Amiri" w:eastAsia="Amiri" w:cs="Amiri"/>
          <w:color w:val="111111"/>
          <w:sz w:val="28"/>
          <w:sz w:val="28"/>
          <w:szCs w:val="28"/>
          <w:rtl w:val="true"/>
          <w:lang w:bidi="ar-SA"/>
        </w:rPr>
        <w:t xml:space="preserve">وعن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والمحقّق الميرزا محمّد تقي الشيرازي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شموله للعامد سواءً أكان عالماً أم جاهلاً، غاية الأمر أنّ العالم خارج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الأعظم</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المصدر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للعالم بالحكم، والجاهل به عن تقصير، وشموله للجاهل به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الأقوى‌عدم شموله للعالم والجاهل المحتمل، لعدم انطباق المأمور به على‌المأتيّ به، وشموله لما عداهما من الناسي والجاهل بالحكم عن قصورٍ، والجاهل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الجهة يقع في موارد</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0506832_73709187"/>
      <w:bookmarkStart w:id="166" w:name="_Toc64"/>
      <w:bookmarkEnd w:id="165"/>
      <w:r>
        <w:rPr>
          <w:rtl w:val="true"/>
        </w:rPr>
        <w:t>في شموله للعامد وعدمه</w:t>
      </w:r>
      <w:bookmarkEnd w:id="166"/>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شموله للعامد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منافٍ مع ما يحكم به العقل من لزوم الامتثال، بل تصوّر كون الشيء معتبراً في الواجب، يوجب القطع بأنّ الإخلال به عمداً موجبٌ للبطلان، بلا احتياج إلى الاستدلال وترتيب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ما في كلمات جماعةٍ منهم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بالإجماع، لأنّ المسألة غير متعلّقة بالشارع، فلا تكون محلّاً للإجماع الذي هو كاشفٌ عن الحجّة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المحقّقين رحمه الله</w:t>
      </w:r>
      <w:r>
        <w:rPr>
          <w:rStyle w:val="FootnoteAnchor"/>
          <w:rtl w:val="true"/>
        </w:rPr>
        <w:footnoteReference w:id="310"/>
      </w:r>
      <w:r>
        <w:rPr>
          <w:rFonts w:ascii="Amiri" w:hAnsi="Amiri" w:eastAsia="Amiri" w:cs="Amiri"/>
          <w:color w:val="111111"/>
          <w:sz w:val="28"/>
          <w:sz w:val="28"/>
          <w:szCs w:val="28"/>
          <w:rtl w:val="true"/>
          <w:lang w:bidi="ar-SA"/>
        </w:rPr>
        <w:t>هذا الوجه ببيان آخر، وحاصله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يلزم من شموله للعالم الخُلف، لأنّ عدم لزوم الإعادة مع الإخلال مطلقاً </w:t>
      </w:r>
    </w:p>
    <w:p>
      <w:pPr>
        <w:pStyle w:val="BookText"/>
        <w:rPr/>
      </w:pPr>
      <w:r>
        <w:rPr>
          <w:rFonts w:ascii="Amiri" w:hAnsi="Amiri" w:eastAsia="Amiri" w:cs="Amiri"/>
          <w:color w:val="111111"/>
          <w:sz w:val="28"/>
          <w:sz w:val="28"/>
          <w:szCs w:val="28"/>
          <w:rtl w:val="true"/>
          <w:lang w:bidi="ar-SA"/>
        </w:rPr>
        <w:t>حتّى في حال العمد خُلفٌ‌، ومنافٍ مع فرض اعتباره في الصَّلاة الذي هو مفروغٌ عنه، لأنّ لازمه لزوم الامتثال، المستلزم للزوم الإعادة عند الإخلال به في الجملة، ولو عند الإخلال العمدي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الشيرازي رحمه الله</w:t>
      </w:r>
      <w:r>
        <w:rPr>
          <w:rStyle w:val="FootnoteAnchor"/>
          <w:rtl w:val="true"/>
        </w:rPr>
        <w:footnoteReference w:id="311"/>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ببعض أفعال الحجّ‌، حيث إنّهم يفتون بصحّته مع ترك بعض أجزائه الواجبة غير الركنيّة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أنّه يمكن تصوير ذلك بالالتزام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بالخمسة المذكورة في الحديث وغيرها ممّا ثبت ركنيّته، كالتكبير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بتلك الأجزاء أيضاً، والأجزاء الاُخر المفروض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فهناك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بالبعض، وأمرٌ آخر بالكلّ المشتمل على تلك الأجزاء وغيرها، نظير ما لو نذر الإتيان بالصلاة المشتملة على الأجزاء المستحبّة، فإنّ الأمر الصلاتي الوجوبي متعلّقٌ بأصل الصَّلاة، والأمر النذري متعلّقٌ بها وبغيرها من الأجزاء المستحبّة، فلو أتى بالصلاة مع الإخلال ببعض ما يعتبر في الأمر الثاني عمداً، سقط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فلإتيان متعلّقة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القدرة على امتثاله، لعدم بقاء مورد له بعد سقوط الأمر الأوّل، لفرض أنّ مورده عين مورد الأوّل مع زيادات من الأجزاء والشرائط عليه، فبعد سقوطالأمر الأوّل لا يبقى موردٌ للأمرالثاني، لانتفاء الكلّ بانتفاء الجزء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يكون عاصياً بالنسبة إلى الأمر الثاني، ومطيعاً بالنسبة إلى الأوّل،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نظير ما إذا ترك بعض الأجزاء المستحبّة في الفرض، فإنّه يسقط كلا الأمرين، وهما الأمر بالصلاة والأمر النذري المتعلّق بها، المشتملة على الأجزاء الندبيّة، ويكون عاصياً بالنسبة إلى الأمر النذري، مطيعاً بالنسبة إلى الأمر الصلاتي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وجوب اُمورٍ في الصَّلاة غير الخمسة المستثناة، وعدم وجوب الإعادة بتركها في الصَّلاة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وإنْ كان دقيقاً، ولكن يرد عليه ما أشار إليه هو قدس سره، من أنّ ما ذكر لا يرفع المنافاة بما للحديث من الظهور، وهو تماميّة الصَّلاة وحصول الغرض كما لا يخفى‌، مع أنّه منافٍ لظهور جميع أدلّة الاُمور المعتبرة في الصَّلاة،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فإنّ الظاهر منها كون المأمور به شيئاً واحداً، وهذه الاُمور معتبرة فيه، ولازم ذلك عدم الصحّة، ولزوم الإعادة مع الإخلال بشيء منها عمداً،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شموله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الصحيح هو نفي الإعادة على من كانت الإعادة لازمة عليه، مع عدم الدليل من جهة انكشاف الخلاف المتأخّر، بحيث لولاه لما كان يُعيد صلاته، ولا شبهة في أنّه على هذا لا يشمل العالم، كما لا يخفى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استدلّ به بعض المحقّقين رحمه الله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نفي الإعادة إنّما يصحّ في موردٍ أمكن فيه الأمر بالإعادة، وهو إنّما يصحّ فيما إذا لم يكن الأمر الأوّل باقياً، وإلّا فلكونه كافياً في المحرّكيّة والباعثيّة لا يحتاج إلى الأمر بالإعادة بل لا يصحّ الأمر بها، للزوم اجتماع المثلين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7" w:name="pg11801_108063"/>
    </w:p>
    <w:p>
      <w:pPr>
        <w:pStyle w:val="BookText"/>
        <w:rPr/>
      </w:pPr>
      <w:bookmarkEnd w:id="167"/>
      <w:r>
        <w:rPr>
          <w:rFonts w:ascii="Amiri" w:hAnsi="Amiri" w:eastAsia="Amiri" w:cs="Amiri"/>
          <w:color w:val="111111"/>
          <w:sz w:val="28"/>
          <w:sz w:val="28"/>
          <w:szCs w:val="28"/>
          <w:rtl w:val="true"/>
          <w:lang w:bidi="ar-SA"/>
        </w:rPr>
        <w:t>وعليه، فيختصّ الحديث بصورة النسيان والاضطرار، ولا يشمل صورة العلم، لأنّ الأمر بالإعادة لا يصحّ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نفي الإعادة، وإنْ كان فيما إذا أمكن الأمر بالإعادة، ولكن لا ينحصر بما إذا أمكن الأمر بها مولويّاً نفسيّاً، بل يصحّ فيما إذا أمكن الأمر بها ولو إرشاداً إلى بقاء الأمر الأوّل، كما هو الشأن في أغلب موارد الأمر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وروده في مقام بيان سقوط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بما إذا صحّ الأمر بها إرشاديّاً، كما لايخفى‌، وعليه فيشمل الحديث صورة العلم، لولا ما ذكرناه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0506834_73709187"/>
      <w:bookmarkStart w:id="169" w:name="_Toc65"/>
      <w:bookmarkEnd w:id="168"/>
      <w:r>
        <w:rPr>
          <w:rtl w:val="true"/>
        </w:rPr>
        <w:t>الحديث لا يشمل الجاهل المقصر</w:t>
      </w:r>
      <w:bookmarkEnd w:id="169"/>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شمول الحديث للجاهل المقصّر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الشيخ الأعظم رحمه الله الاستدلال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مسوقٌ لبيان حكم من له أمرٌ واقعاً، فيدلّ على أنّه مكلّفٌ في زمان المعذوريّة بالناقص، وحيث أنّ المقصّر يرتفع عنه الخطاب واقعاً بمعصيته، وإلّا لما استحقّ العقاب ولما كان مقصّراً، فلا يشمله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المقام بالجاهل المقصّر في مسألة الجهر والإخفات، فإنّه في تلك المسألة يكون ما دلَّ على معذوريّة الجاهل، كاشفاً عن حدوث خطابٍ جديد بعد ارتفاع الخطاب الأوّل، وهذا بخلاف المقام، حيث لا كاشف عن حدوث خطابٍ آخر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يدلّ على الاجتزاء بالناقص، لا على أنّه مأمورٌ به، </w:t>
      </w:r>
    </w:p>
    <w:p>
      <w:pPr>
        <w:pStyle w:val="BookText"/>
        <w:rPr/>
      </w:pP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دلالته على الأمر به، فحيثُ أنّ إطلاقه يشمل الجاهل المقصّر كما هو المفروض، فيدلّ على أنّ الأمر بالناقص متوجّهٌ إليه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بما ذكر أنّ استحقاق الجاهل المقصّر للعقاب، وسقوط التكليف بالتامّ عنه بالعصيان، غير مربوطين بما هو مفاد الحديث من صحّة الفاقد ولا منافيين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ذكرناه في المورد الأوّل، ظهر أنّ مااستدلّ به بعض المحقّقين لعدم شموله، من أنّ مورد نفي الإعادة هو ما إذا صحّ الأمر بها، المختصّ بما إذا لم يكن الأمر الأوّل باقياً، فلا يشمل الجاهل،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الحديث وروده في مقام بيان نفي الإعادة، فيما إذا ترك الأجزاء غير الركنيّة عن عُذر، لا فيما إذا ترك ما كان التكليف المتعلّق به منجّزاً غير معذورٍ في مخالفته، وعليه فلا يشمل المقصّر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شموله للمقصّر المحتمل، لعدم انطباق المأتي به على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وجه عدم شموله للعامد، من أنّ ظاهر الصحيح عدم لزوم الإعادة على من كانت الإعادة لازمة عليه، لولا الدليل، من جهة انكشاف الخلاف، بحيث لولاه لما كان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عليفرض الشمول، لابدّ من تقييده بالإجماع، على أنّ حكمه حكم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اختصاص الحديث بغير الجاهل المقصّر</w:t>
      </w:r>
      <w:r>
        <w:rPr>
          <w:rFonts w:eastAsia="Amiri" w:cs="Amiri" w:ascii="Amiri" w:hAnsi="Amiri"/>
          <w:color w:val="111111"/>
          <w:sz w:val="28"/>
          <w:szCs w:val="28"/>
          <w:rtl w:val="true"/>
          <w:lang w:bidi="ar-SA"/>
        </w:rPr>
        <w:t>.</w:t>
      </w:r>
      <w:bookmarkStart w:id="170" w:name="pg11801_108065"/>
    </w:p>
    <w:p>
      <w:pPr>
        <w:pStyle w:val="Heading6"/>
        <w:numPr>
          <w:ilvl w:val="5"/>
          <w:numId w:val="1"/>
        </w:numPr>
        <w:rPr/>
      </w:pPr>
      <w:bookmarkStart w:id="171" w:name="__RefHeading___Toc10506836_73709187"/>
      <w:bookmarkStart w:id="172" w:name="_Toc66"/>
      <w:bookmarkEnd w:id="170"/>
      <w:bookmarkEnd w:id="171"/>
      <w:r>
        <w:rPr>
          <w:rtl w:val="true"/>
        </w:rPr>
        <w:t>الحديث يشمل الجاهل القاصر</w:t>
      </w:r>
      <w:bookmarkEnd w:id="172"/>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الحديث للجاهل القاصر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للثاني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بعض المحقّقين</w:t>
      </w:r>
      <w:r>
        <w:rPr>
          <w:rStyle w:val="FootnoteAnchor"/>
          <w:rtl w:val="true"/>
        </w:rPr>
        <w:footnoteReference w:id="313"/>
      </w:r>
      <w:r>
        <w:rPr>
          <w:rFonts w:ascii="Amiri" w:hAnsi="Amiri" w:eastAsia="Amiri" w:cs="Amiri"/>
          <w:color w:val="111111"/>
          <w:sz w:val="28"/>
          <w:sz w:val="28"/>
          <w:szCs w:val="28"/>
          <w:rtl w:val="true"/>
          <w:lang w:bidi="ar-SA"/>
        </w:rPr>
        <w:t>من أنّ مورد الحديث ما إذا صَحّ الأمر بالصلاة الواجدة للمتروك، وهو إنّما يكون فيما إذا لم يكن الأمر الأوّل باقياً، فلايشمل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الموردين الأولين،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رحمه الله</w:t>
      </w:r>
      <w:r>
        <w:rPr>
          <w:rStyle w:val="FootnoteAnchor"/>
          <w:rtl w:val="true"/>
        </w:rPr>
        <w:footnoteReference w:id="314"/>
      </w:r>
      <w:r>
        <w:rPr>
          <w:rFonts w:ascii="Amiri" w:hAnsi="Amiri" w:eastAsia="Amiri" w:cs="Amiri"/>
          <w:color w:val="111111"/>
          <w:sz w:val="28"/>
          <w:sz w:val="28"/>
          <w:szCs w:val="28"/>
          <w:rtl w:val="true"/>
          <w:lang w:bidi="ar-SA"/>
        </w:rPr>
        <w:t>في كتاب صلاته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الصحيحة، الحكم بالصحّة الواقعيّة، ومقتضاها عدم كون المتروك جزءً أو شرطاً، ولا يعقل أن يقيّد الجزئيّة والشرطيّة بالعلم بهما، بحيث لو صار عالماً بعدمهما بالجهل المركّب، لمّا كان الجزء جزءً والشرط شرطاً إلّاعلى نحو التصويب الُمجمَع على بطلانه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عدم كون التامّ هو المأمور به الواقعي، بل غاية ما يدلّ عليه الحديث، هو أنّ ترك غير الخمسة المذكورة فيها، لا يكون موجباً للإعادة، وإنْ كان حين العمل مأموراً بإتيان التامّ‌، مع أنّه لا ريب في أنّ الجاهل معذورٌ في مسألتي الجهر والإخفات والقصر والإتمام، وهو قدس سره ملتزمٌ بذلك، فكما أنّه في تلك المسألتين لا يلزم التصويب الُمجمَع على بطلانه، فكذلك في المقام</w:t>
      </w:r>
      <w:r>
        <w:rPr>
          <w:rFonts w:eastAsia="Amiri" w:cs="Amiri" w:ascii="Amiri" w:hAnsi="Amiri"/>
          <w:color w:val="111111"/>
          <w:sz w:val="28"/>
          <w:szCs w:val="28"/>
          <w:rtl w:val="true"/>
          <w:lang w:bidi="ar-SA"/>
        </w:rPr>
        <w:t xml:space="preserve">. </w:t>
      </w:r>
      <w:bookmarkStart w:id="173" w:name="pg11801_108066"/>
    </w:p>
    <w:p>
      <w:pPr>
        <w:pStyle w:val="BookText"/>
        <w:rPr/>
      </w:pPr>
      <w:bookmarkEnd w:id="173"/>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شمول الحديث للجاهل القاصر، سواءٌ أكان الجهل جهلاً بالحكم أو الموضوع</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10506838_73709187"/>
      <w:bookmarkStart w:id="175" w:name="_Toc67"/>
      <w:bookmarkEnd w:id="174"/>
      <w:r>
        <w:rPr>
          <w:rtl w:val="true"/>
        </w:rPr>
        <w:t>شمول الحديث للزيادة</w:t>
      </w:r>
      <w:bookmarkEnd w:id="175"/>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شمول الحديث للزيادة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بعض أجلّة عصرنا</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الحديث بقرينة استثناء الخمسة المذكورة فيه، أنّه لا تُعاد الصَّلاة من قِبل نقصِ كلّ جزءٍ وجودي من أجزائها إلّاالخمسة، فلا يدلّ على أنّ نقص الجزء العَدَمي، سواءٌ أكان عدم زيادة الجزء أو غيره موجباً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المستثنى من الوجوديّات، لا يوجبُ أنْ يكون المستثنى منه أيضاً كذلك، مع كونه في نفسه ظاهراً في الأعمّ منها، من جهة أنّ الصَّلاة مركّبةٌ من الأجزاء الوجوديّة والعَدَميّة، وهي المأخوذة في لسان الدليل، وهي التي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مع حذف المتعلّق الذي هو دليل العموم، ألا ترى أنّه لو قال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زيدٌ من الاُصوليين، لا يتوهّم أحدٌ اختصاص الخطاب في المستثنى منه أيضاً بالاُصوليين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هذا القول اُدّعي أنّ الظاهر من الحديث يدلّ على أنّه لا تُعاد الصَّلاة بسبب نقص جزءٍ أو شرطٍ أو زيادة شيء منهما إلّاالخمسة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قدس سره</w:t>
      </w:r>
      <w:r>
        <w:rPr>
          <w:rStyle w:val="FootnoteAnchor"/>
          <w:rtl w:val="true"/>
        </w:rPr>
        <w:footnoteReference w:id="316"/>
      </w:r>
      <w:r>
        <w:rPr>
          <w:rFonts w:ascii="Amiri" w:hAnsi="Amiri" w:eastAsia="Amiri" w:cs="Amiri"/>
          <w:color w:val="111111"/>
          <w:sz w:val="28"/>
          <w:sz w:val="28"/>
          <w:szCs w:val="28"/>
          <w:rtl w:val="true"/>
          <w:lang w:bidi="ar-SA"/>
        </w:rPr>
        <w:t xml:space="preserve">من أنّه دليلٌ أوّلاً على تقدير الزيادة </w:t>
      </w:r>
    </w:p>
    <w:p>
      <w:pPr>
        <w:pStyle w:val="BookText"/>
        <w:rPr/>
      </w:pPr>
      <w:r>
        <w:rPr>
          <w:rFonts w:ascii="Amiri" w:hAnsi="Amiri" w:eastAsia="Amiri" w:cs="Amiri"/>
          <w:color w:val="111111"/>
          <w:sz w:val="28"/>
          <w:sz w:val="28"/>
          <w:szCs w:val="28"/>
          <w:rtl w:val="true"/>
          <w:lang w:bidi="ar-SA"/>
        </w:rPr>
        <w:t>والنقص بعنوانهما، فلا يصحّ تعلّقهما ثانياً بالخمسة، إذ لا يتصوّر الزيادة في غير الرّكوع والسّجود منها، وجعل الزيادة باعتبار المجموع لا يصحّ‌، لأنّ المستثنى كلّ واحدٍ من الخمسة، فلم يبق من محتملات الحديث إلّاإثنان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تُعاد الصَّلاة من قِبل نقص كلّ جزءٍ من أجزائها، أعمٌّ من الوجودي والعدمي، كعدم الزيادة المأخوذ شرطاً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تُعاد الصَّلاة بسبب الخَلل من ناحية الأجزاء إلّابالخلل مِن قِبل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الأوّل يدلّ على أنّ نقص الجزء العدمي، سواءٌ أكان عدم زيادة الرّكن أو غيره، لا يوجب الإعادة، لأنّ المستثنى نقصُ الخمسة، والزيادة حينئذٍ نقصٌ في الصَّلاة، لمكان اعتبار عدمها فيها، لأنّها نقص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الخَلل من ناحية الرّكوع والسّجود وغيرهما من الخمسة، يوجب الإعادة دون غيرها، سواءٌ أكان من جهة زيادتهما إذا أُخذ عدمها شرطاً في الصَّلاة، أو كان من جهة نقصهما، فزيادة الرّكوع أو السّجود موجبة للإعادة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أرجحيّة الأوّل كما ادّعاها بعض مشايخنا قدس سره، لزيادة عنايةٍ في الثاني، باعتبار الخَلل الصادق على الزيادة والنقيصة، بخلاف اعتبار النقص، فإنّ المركّب المطلوب إيجاده يُعاد من قبل تركه، لا من قبل وجوده، فهو لا يحتاج إلى عنايةٍ زائدة على ترك ما يجبُ تحصيله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أبيتَ عمّا ذكرناه، فلا أقلّ من الإجمال، ممّا يقتضي أن لا يدلّ الحديث على صحّة الصَّلاة مع زيادة الرّكوع أو السّجود، ولا على فسادها، وعلى كلٍّ يدلّ على أنّ زيادة غيرهما لا توجب فساد الصَّلاة</w:t>
      </w:r>
      <w:r>
        <w:rPr>
          <w:rFonts w:eastAsia="Amiri" w:cs="Amiri" w:ascii="Amiri" w:hAnsi="Amiri"/>
          <w:color w:val="111111"/>
          <w:sz w:val="28"/>
          <w:szCs w:val="28"/>
          <w:rtl w:val="true"/>
          <w:lang w:bidi="ar-SA"/>
        </w:rPr>
        <w:t xml:space="preserve">. </w:t>
      </w:r>
      <w:bookmarkStart w:id="176" w:name="pg11801_108068"/>
    </w:p>
    <w:p>
      <w:pPr>
        <w:pStyle w:val="Heading6"/>
        <w:numPr>
          <w:ilvl w:val="5"/>
          <w:numId w:val="1"/>
        </w:numPr>
        <w:rPr/>
      </w:pPr>
      <w:bookmarkStart w:id="177" w:name="__RefHeading___Toc10506840_73709187"/>
      <w:bookmarkStart w:id="178" w:name="_Toc68"/>
      <w:bookmarkEnd w:id="176"/>
      <w:bookmarkEnd w:id="177"/>
      <w:r>
        <w:rPr>
          <w:rtl w:val="true"/>
        </w:rPr>
        <w:t>في شمول حديث لا تُعاد للشروط والموانع</w:t>
      </w:r>
      <w:bookmarkEnd w:id="178"/>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بعدم الإعادة، يختصّ بالأجزاء، أم يعمّها والشرائط، ولا يشمل الموانع، أم يعمّها أيضاً؟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أقواها الأخير، 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المركّبة من الاُمور الوجوديّة والعَدَميّة، ولم يقيّد بنقصِ شيءٍ خاص منها، بل حُذف المتعلّق، وهو دليل العموم، وعرفت أنّ استثناء الوجوديّات لا يوجب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ما يلحظ من المركّب المقيّد بالاُمور الوجوديّة والعَدَميّة، هو نفس الاُمور التي يلتئم منها الكُلّ‌، وهي التي يُعبِّر عنها عند أهل المعقول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الأجزاء بالأسر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يلاحظ تقيّدها بالقيود الوجوديّة، ثمّ بالاُمور العَدَميّة، فمرتبة الأجزاء متقدّمة على الشرائط والموانع في الاعتبار، كما أنّ مرتبة الشرائط متقدّمة على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 المستثنى منه، لا يكون ظاهراً في العموم، مع قطع النظر عن الاستثناء، فالمتيقّن إرادة الأجزاء، ولكن بقرينة استثناء الشرائط يُعلم إرادتها أيضاً في المستثنى منه، وأمّا الموانع فليس على إرادتها دليلٌ‌، فالصحيح دليلٌ على القول الوسط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حذف المتعلّق دليلُ العموم، وتقدّم رتبة الأجزاء على الشرائط، ورتبة الشرط على المانع، لا يوجب التقييد والاختصاص، إذ هذا الترتيب إنّما يكون في مرتبة الجعل والاعتبار، وأمّا في الحكم الذي تضمّنه الحديث، وهو عدم البطلان من ناحية نقص بعض ما يعتبر في الصَّلاة، فلاتفاوت بينها</w:t>
      </w:r>
      <w:r>
        <w:rPr>
          <w:rFonts w:eastAsia="Amiri" w:cs="Amiri" w:ascii="Amiri" w:hAnsi="Amiri"/>
          <w:color w:val="111111"/>
          <w:sz w:val="28"/>
          <w:szCs w:val="28"/>
          <w:rtl w:val="true"/>
          <w:lang w:bidi="ar-SA"/>
        </w:rPr>
        <w:t xml:space="preserve">. </w:t>
      </w:r>
      <w:bookmarkStart w:id="179" w:name="pg11801_108069"/>
    </w:p>
    <w:p>
      <w:pPr>
        <w:pStyle w:val="Heading6"/>
        <w:numPr>
          <w:ilvl w:val="5"/>
          <w:numId w:val="1"/>
        </w:numPr>
        <w:rPr/>
      </w:pPr>
      <w:bookmarkStart w:id="180" w:name="__RefHeading___Toc10506842_73709187"/>
      <w:bookmarkStart w:id="181" w:name="_Toc69"/>
      <w:bookmarkEnd w:id="179"/>
      <w:bookmarkEnd w:id="180"/>
      <w:r>
        <w:rPr>
          <w:rtl w:val="true"/>
        </w:rPr>
        <w:t>المراد من الإعادة</w:t>
      </w:r>
      <w:bookmarkEnd w:id="181"/>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المراد من الإعادة في الجملتين، ما يعمّ القضاء، ولعلّ وجهه أنّ معنى الإعادة عرفاً وعند الشارع إنّما هو إتيان الفعل ثانياً، من غير فرقٍ بين إتيانه في الوقت أو في خارجه، كما يظهر لمن راجع العرف والنصوص المتضمّنة للإعادة، ونفيها الواردة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كون المراد بها في الحديث معناها المعروف عند الفقهاء، وهو إتيان الفعل ثانياً في وقته في مقابل القضاء، فحيثُ إنّ الحديث يدلّ على أنّ ما أتى به المكلّف وإنْ كان ناقصاً، لكنّه هو المكلّف به، فلا فوتَ حتّى يجب القضاء فتأمّل، مضافاً إلى إمكان دعوى الأولويّة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10506844_73709187"/>
      <w:bookmarkStart w:id="183" w:name="_Toc70"/>
      <w:bookmarkEnd w:id="182"/>
      <w:r>
        <w:rPr>
          <w:rtl w:val="true"/>
        </w:rPr>
        <w:t>الإخلال بما عدا الخمسة المستثناة</w:t>
      </w:r>
      <w:bookmarkEnd w:id="183"/>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كثرة استعمال الإعادة في الاستئناف، لو لم ندّعِ ظهورها في نفسها فيه، وتعليل الحكم بعدم الإعادة بأنّ القراءة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بما عدا الخمسة المستثناة لا يوجب فساد الصَّلاة حين الإخلال، لا أنّه لا يوجب ذلك إذا انكشف بعد تماميّة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الانكشاف قبل تماميّة الصَّلاة أو بعدها، لا يكون دخيلاً في هذا الحكم</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10506846_73709187"/>
      <w:bookmarkStart w:id="185" w:name="_Toc71"/>
      <w:bookmarkEnd w:id="184"/>
      <w:r>
        <w:rPr>
          <w:rtl w:val="true"/>
        </w:rPr>
        <w:t>المراد بالطهور</w:t>
      </w:r>
      <w:bookmarkEnd w:id="1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ولا خلاف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للطهارة الحَدَثيّة، وإنّما الخلاف والكلام في شموله للطهارة الخَبَثيّة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317"/>
      </w:r>
      <w:r>
        <w:rPr>
          <w:rFonts w:ascii="Amiri" w:hAnsi="Amiri" w:eastAsia="Amiri" w:cs="Amiri"/>
          <w:color w:val="111111"/>
          <w:sz w:val="28"/>
          <w:sz w:val="28"/>
          <w:szCs w:val="28"/>
          <w:rtl w:val="true"/>
          <w:lang w:bidi="ar-SA"/>
        </w:rPr>
        <w:t xml:space="preserve">عدم شموله لها، وهو الأقوى، إذ الظاهر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الآلة، فالمراد منه ما يتطهّر به، كالسّحور والفطور، وحيث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الحَدَثيّة في نفسه لازمٌ بخلافه في الطهارة الخَبَثيّة، إذ ما لم يتنجّس يجوز الصَّلاة فيه، ولو لم يستعمل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 كون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المعتبرة في الصَّلاة مطلقاً، فلا محالة يختصّ الحديث بالطهارة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اختصاصه بها، بناءً على ما عن بعضٍ من أنّ المراد به المطهّر، وما عن آخرَ أنّه الطاهر المُطهّر، كما أنّه يكون الصحيح ظاهراً في الاختصاص بناءً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أن يُقرأ بالضمّ كالوضوء، أو أن يُقرأ بالفتح، لأنّ الظاهر من التطهّر رفع الحَدَث،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المباحث المهمّة، المتعلّقة بهذا الخبر الشريف، الذي هو الأصل في استنباط الأصل الثانوي في هذا الباب، وبقي فيه مباحث تعرّضنا لها في هذا الجزء، وسائر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ممّا ذكرناه أنّ الإخلال سهواً بغير الخمسة المذكورة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بصحّة الصَّلاة، وكذلك لو كان عن جهلٍ غير تقصيري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86" w:name="pg11801_108071"/>
    </w:p>
    <w:p>
      <w:pPr>
        <w:pStyle w:val="Heading6"/>
        <w:numPr>
          <w:ilvl w:val="5"/>
          <w:numId w:val="1"/>
        </w:numPr>
        <w:rPr/>
      </w:pPr>
      <w:bookmarkStart w:id="187" w:name="__RefHeading___Toc10506848_73709187"/>
      <w:bookmarkStart w:id="188" w:name="_Toc72"/>
      <w:bookmarkEnd w:id="186"/>
      <w:bookmarkEnd w:id="187"/>
      <w:r>
        <w:rPr>
          <w:rtl w:val="true"/>
        </w:rPr>
        <w:t>حكم الزيادة السَّهويّة</w:t>
      </w:r>
      <w:bookmarkEnd w:id="18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الزيادة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مقتضى القاعدة الأوّليّة، عدم بطلان الصَّلاة بالزيادة، وأمّا بحسب النصوص الواردة في المقام بالنسبة إلى غير الأركان، فإنّ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بالإضافة إلى الأركان، فقد تقدّم أنّه يدلّ على عدم البطلان، ولا أقلّ من إجماله وعدم دلالته على البطلان ولا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طائفتان من النصوص، تدلّان على عدم البطلان في غيرالأركان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وردت في الزيادة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خبر سفيان بن السَّمط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لكلّ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الطائفة وإنْ لم تكن متكفّلة لبيان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وجوب الإعادة للزيادة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السّجدة لكلّ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هي متضمّنة لحكم الزيادة السَّهويّة، من حيث وجوب سجدتي السَّهو في فرض إحراز صحّة الصَّلاة، إلّاأنّها تدلّ بالالتزام على أنّ كلّ زيادة سهويّة لا تُوجب البطلان، وهذا بضميمة عدم الفرق بين الأجزاء، يوجب ثبوت عدم مبطليّة الزيادة في غير الأركان مطلقاً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إعادة الصَّلاة من سجدةٍ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الإمام الصادق عليه السلام في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صلاةً من سجدة ويُعيدها من ركعة</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الوارد فيمن زاد سجدةً نسياناً، فإنّه بضميمة القطع بعدم الفرق في الأجزاء غير الركنيّة بين السَّجدة الواحدة وغيرها،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لمبطليّة الزيادة السَّهويه مطلقاً 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بطلان الصَّلاة بالزّيادة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عليه السلام في صحيح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مختصّة بالزيادة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زرارة وبُكير،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قد زاد في صلاته المكتوبة، لم يَعتدّ بها، واستقبل صلاته استقبالاً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الطائفة الاُولى فلابدّ من تخصيصها بالعامد، لأخصيّة بعض النصوص المتقدّمة، الدالّة على عدم مبطليّة الزيادة السَّهويّة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بينه وبين هذه النصوص، وإنْ هي العموم من وجه، لاختصاصه بغير العامد، واختصاص هذه بالزيادة، إلّاأنّه لحكومة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الأجزاء والشرائط والموانع، التي منها أدلّة مبطليّة الزيادة، يُقدّم الحديث، إذ القاعدة تقتضي عدم ملاحظة النسبة بين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بدلالة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مبطليّة الزيادة السَّهويّة، حتّى في الأركان، تكون النتيجة عدم مبطليّة زيادة الرّكن أيضاً، وإنْ كانت سهويّة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بعدم دلالته على ذلك في الأركان، فتبقى زيادة الرّكن داخلة تحت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كذلك على فرض الإجمال، لأنّ إجمال المخصّص والحاكم لا يسري إلى العام والمحكوم في فرض الانفصال، كما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المختار من شمول حديث زرارة وبُكير لزيادة الأركان، ودلالته على عدم مبطليّتها، تكون أخصّ من الحديث، وتقدّم عليه، غاية الأمر أنّها تُخصّص في غير الأركان بالطائفتين الأخيرتين الدالّتين على عدم مبطليّة زيادة غير الرّكن سهواً، وبه يندفع ما قيل من إنّه للإجماع على عدم الفصل بين الزيادة السَّهويّة والنقيصة السَّهويّة، لو قُدّمت الطائفة الدالّة على مبطليّة الزيادة السَّهويّة، لا يبقى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بدلالته على مبطليّة زيادة الرّكن، فحيثُ أنّ النسبة بين عقد المستثنى منه، الدالّ على عدم مبطليّة زيادة غير الرّكن، وبين هذه النصوص الدالّة على مبطليّة الزيادة السَّهويّة مطلقاً عمومٌ من وجه، لاختصاص الحديث بغير الأركان، وعمومه للزيادة والنقيصة،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أدلّة الأجزاء والشرائط والموانع، يقدّم الحديث، وتكون النتيجة أيضاً مبطليّة الزيادة السَّهويّة في الأركان، وعدمها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على القول بإجمال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فإنّ لازم الإجمال دلالته على مبطليّة الزيادة في الأركان، ففيها يرجع إلى ما دلَّ على مبطليّة الزيادة السَّهويّة مطلقاً، كما لا يخفى‌، فالجمع بين نصوص الباب يقتضي القول بمبطلية الزيادة السَّهويّة في الأركان وعدمها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ربما يُورد على خبر زرارة وبكير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الهمداني رحمه الله</w:t>
      </w:r>
      <w:r>
        <w:rPr>
          <w:rStyle w:val="FootnoteAnchor"/>
          <w:rtl w:val="true"/>
        </w:rPr>
        <w:footnoteReference w:id="322"/>
      </w:r>
      <w:r>
        <w:rPr>
          <w:rFonts w:ascii="Amiri" w:hAnsi="Amiri" w:eastAsia="Amiri" w:cs="Amiri"/>
          <w:color w:val="111111"/>
          <w:sz w:val="28"/>
          <w:sz w:val="28"/>
          <w:szCs w:val="28"/>
          <w:rtl w:val="true"/>
          <w:lang w:bidi="ar-SA"/>
        </w:rPr>
        <w:t xml:space="preserve">من أنّ ضبط الخبر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 أنّه زاد في المكتوبة ركعةً لم يعتدّ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أضبط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أقلّ من الإجمال، والمتيقّن منه زيادة الرّكعة، وعليه فلا معارض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مخصّص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حَسنٌ كالصحيح بإبراهيم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السَّهو في الرّكوع، حيث رواه بإسناده عن علي بن إبراهيم، عن أبيه، عن ابن عُمير بن اُذينة، عن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قد زاد في الصَّلاة المكتوبة ركعةً‌، لم يعتدّ بها، واستقبل الصَّلاة استقبالاً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السَّهو في الأربع والخمس، بنفس هذا الإسناد، مع زيادة بكير منضمّاً إلى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استدللنا بها وذكرناها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المختلفة مع هذه في الجملة،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روى الثانية دون الاُولى‌، ولكن مع ذلك كلّه من المستبعد جدّاً كونهما روايتين، وعليه فمبطليّة زيادة الرّكن سهواً محلّ إشكال وتأمّل، إلّا أنّ الاحتياط سبيل النجاة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9" w:name="pg11801_108075"/>
    </w:p>
    <w:p>
      <w:pPr>
        <w:pStyle w:val="Heading6"/>
        <w:numPr>
          <w:ilvl w:val="5"/>
          <w:numId w:val="1"/>
        </w:numPr>
        <w:rPr/>
      </w:pPr>
      <w:bookmarkStart w:id="190" w:name="__RefHeading___Toc10506850_73709187"/>
      <w:bookmarkStart w:id="191" w:name="_Toc73"/>
      <w:bookmarkEnd w:id="189"/>
      <w:bookmarkEnd w:id="190"/>
      <w:r>
        <w:rPr>
          <w:rtl w:val="true"/>
        </w:rPr>
        <w:t>تردّد المنسيّ بين الرّكن وغيره</w:t>
      </w:r>
      <w:bookmarkEnd w:id="191"/>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المنسيّ بين الرّكن، فتكون الصَّلاة باطلة وبين غيره فتكون صحيحة، كما لو علم بنقصان مردّدٍ بين كون الناقص هو الرّكوع، أو سجدة واحدة، أو دار أمر المنسيّ بين كونه هو الرّكوع أو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الكلام إنّما هو ما لو كان لكلّ واحدٍ من أطراف العلم الإجمالي أثرٌ، وإلاّ فإنْ لم يكن لفوت غير الرّكن الذي هو طرف العلم أثرٌ، يكون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جارياً في الرّكن بلا معارض</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محلّ التدارك بالإضافة إلى كلٍّ من طرفي العلم ماضياً، كما إذا علم بعد الدخول في ركوع الثانية أنّه إمّا ترك ركوع الرّكعة الثانية أو سجدة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محلّ التدارك بالإضافة إليهما ماضياً، ففي المسألة عدّة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بطلان الصَّلاة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جمعٌ من أصحاب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لزوم الجمع بين الإعادة، وترتيب أثر فوت غير الرّكن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المحقّق العراقي رحمه الله</w:t>
      </w:r>
      <w:r>
        <w:rPr>
          <w:rStyle w:val="FootnoteAnchor"/>
          <w:rtl w:val="true"/>
        </w:rPr>
        <w:footnoteReference w:id="325"/>
      </w:r>
      <w:r>
        <w:rPr>
          <w:rFonts w:ascii="Amiri" w:hAnsi="Amiri" w:eastAsia="Amiri" w:cs="Amiri"/>
          <w:color w:val="111111"/>
          <w:sz w:val="28"/>
          <w:sz w:val="28"/>
          <w:szCs w:val="28"/>
          <w:rtl w:val="true"/>
          <w:lang w:bidi="ar-SA"/>
        </w:rPr>
        <w:t>، وهو التفصيل بين ما لو تذكّر بعد الصَّلاة، فيجب الإعادة، وبين ما لو تذكّر في أثنائها، فصلاته صحيحة، ويجب ترتيب أثر فوت غير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اختاره جمعٌ من المحقّقين</w:t>
      </w:r>
      <w:r>
        <w:rPr>
          <w:rStyle w:val="FootnoteAnchor"/>
          <w:rtl w:val="true"/>
        </w:rPr>
        <w:footnoteReference w:id="326"/>
      </w:r>
      <w:r>
        <w:rPr>
          <w:rFonts w:ascii="Amiri" w:hAnsi="Amiri" w:eastAsia="Amiri" w:cs="Amiri"/>
          <w:color w:val="111111"/>
          <w:sz w:val="28"/>
          <w:sz w:val="28"/>
          <w:szCs w:val="28"/>
          <w:rtl w:val="true"/>
          <w:lang w:bidi="ar-SA"/>
        </w:rPr>
        <w:t>، وهو الصحّة، ولزوم ترتيب أثر ترك غير الرّكن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وستعرف أنّه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التجاوز في نفسها تجري في كلّ من طرفي العلم، فتسقط بالمعارضة، والمرجع إلى استصحاب عدم الإتيان بالرّكن، المقتضي لبطلان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قاعدة التجاوز الجارية في الرّكن غير معارضة بالجارية في غيره عند الدوران، بعدما كان أثر فوت الرّكن بطلان الصَّلاة، وأثر ترك غيره عدم تماميّتها، ولزوم ضمّ شيءٍ آخر إليها من قضاء ذلك الجزء ونحوه، وذلك لأنّ جريان القاعدة المتمّمة، متوقّفٌ على إحراز أنّ الصَّلاة صحيحة من سائر الجهات، إذا فوت الجزء من الصَّلاة الباطلة لا أثر له، فما لم تجر القاعدة المصحّحة لا مجال للقاعدة المتمّمة، وبعد جريانها لا تجري هي أيضاً للتعارض</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المتمّمة غير جارية على كلّ تقدير، لأنّها لا تجري مع جريان القاعدة المصححة للتعارض، ومع عدم جريانها لا تجري لعدم إحراز الصحّة، وعلى ذلك فتجري قاعدة التجاوز في الرّكن ويُحكم بصحّة الصَّلاة، وفي الطرف الآخر المرجع إلى أصالة عدم الإتيان به، فلابدّ من ترتيب أثر تركه بعد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ظهر مدرك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تعارض قاعدة التجاوز الجارية في الرّكن، مع قاعدة التجاوز الجارية في غيره وتساقطهما، وتعارض استصحاب عدم إتيان الرّكن، مع استصحاب عدم إتيان غيره وتساقطهما، لا بدَّ من الرجوع إلى ما يقتضيه العلم الإجمالي بلزوم إعادة الصَّلاة، أو لزوم ترتيب أثر فوت غير الرّكن وهو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عدم تعارض قاعدتي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تعارضهما، يتعيّن الرجوع الى استصحاب عدم الإتيان بالرّكن الموجب للبطلان، ولا يعارضه الأصل في غيره، لأنّ الاستصحاب الجاري في الرّكن، الموجب لبطلان الصَّلاة، يوجب انعدام موضوع الأصل الجاري في غيره، فإنّ موضوعه الصَّلاة الصحيحة، إذ لا أثر للفوت في الصَّلاة الباطلة، فيكون من قبيل الأصل السببي، فيجري هو بالخصوص، مع أنّ عدم إتيان غير الرّكن على طبق أمره معلومٌ وجداناً، إمّا لتركه أو لبطلان الصَّلاة بعدم إتيان الرّكن، ومعه 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التذكّر بعد الصَّلاة، فمقتضى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تساقط قاعدة التجاوز في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إعادة الصَّلاة، وإنْ كان في الأثناء تجري قاعدة التجاوز في الرّكن بلا معارضٍ‌، لعدم جريانها في غير الرّكن، للعلم بعدم سقوط أمره، إمّا لبطلان الصَّلاة أو لعدم الإتيان به، فلابدَّ من إتمام الصَّلاة وترتيب أثر فوت غير الرّكن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لنا وجهُ الفرق بين الصورتين، فإنّ ما ذُكر في الثانية بعينه جارٍ الاُولى‌، مع أنّه قد عرفت أنّ قاعدة التجاوز في الرّكن لامعارض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صحّة الصَّلاة، ولزوم ترتيب أثر فوت غير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تذكّر ولم يمض المحلّ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المحلّ الشكّي بالإضافة إليهما باقياً، فمقتضى قاعدة الشكّ في المحلّ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بإقدامه بإتيانهما يوجب حصول العلم الإجمالي بتحقّق الزيادة أمّا في الرّكن فتوجب بطلان الصلاة، وأمّا في غيره فتستلزم سجدة السهو، ومقتضى العلم الإجمالي لزوم ترتيب الأثرين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مبطليّة الزيادة في الرّكن عن غير عمدٍ، ولزوم سجدة السَّهو لكلّ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ستعرف ما في الثاني وعرفت 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أصالة عدم زيادة الرّكن، وأصالة عدم زيادة غيره، إذ الاُولى مصحّحة للصَّلاة، والثانية متمّمة، وقد مرّ آنفاً عدم تعارض مثل هذين الأصلين فتجري، الاُولى بلا معارض، وأمّا الثانية فلا مجال لجريانها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المحلّ الشكي باقياً بالإضافة إلى أحدهما دون الآخر، فتجري قاعدة التجاوز فيما مضى محلّه بلا معارض، وبمقتضى مفهوم دليل القاعدة، لابدّ من الإتيان بما يكون محلّه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المحلّ الشّكي بالإضافة إليهما ماضياً، مع بقاء المحلّ الذُكري بالإضافة إليهما، كما إذا كان في القيام، فعلم بفوت السَّجدتين أو التشهّد من الرّكعة الّتي قام عنها، فحيثُ إنّه يعلم بعدم كون قيامه هذا مأموراً به، لوقوعه قبل التشهّد، أو لبطلان الصَّلاة، فحكم هذه الصورة حكم الصورة الاُولى‌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المحلّ الشّكي بالإضافة إليهما ماضياً، مع بقاء المحلّ </w:t>
      </w:r>
    </w:p>
    <w:p>
      <w:pPr>
        <w:pStyle w:val="BookText"/>
        <w:rPr/>
      </w:pPr>
      <w:r>
        <w:rPr>
          <w:rFonts w:ascii="Amiri" w:hAnsi="Amiri" w:eastAsia="Amiri" w:cs="Amiri"/>
          <w:color w:val="111111"/>
          <w:sz w:val="28"/>
          <w:sz w:val="28"/>
          <w:szCs w:val="28"/>
          <w:rtl w:val="true"/>
          <w:lang w:bidi="ar-SA"/>
        </w:rPr>
        <w:t>الذُكري بالإضافة إلى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الباقي محلّه الذُكري هو الرّكن، تعارض قاعدة التجاوز بالإضافة إليهما، إذ ليس أثر عدم الإتيان بالرّكن حينئذٍ هو البطلان، كي يُقال إنّ قاعدة التجاوز الجارية في غيره، لا تعارض قاعدة التجاوز فيه، فيرجع إلى أصالة عدم الإتيان بهما، فلابدَّ من العود والإتيان بالرّكن في محلّه، وترتيب أثر ترك غير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الماضي محلّه الذُكري هو الرّكن، فتجري قاعدة التجاوز فيه بلا معارضٍ‌، لما تقدّم، وفي غير الرّكن يرجع إلى أصالة عدم الإتيان، فلابدَّ من الرجوع والإتيان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الإشارة إلى أنّنا فصّلنا في هذه المسألة وما يتعلّق بها من الفروع والمسائل في أبحاثنا السابقة، وهي مدوّنة في الرسالة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فروع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ألّفها العالم الفاضل التقيّ‌، ركن الإسلام، ومفخرة هذه الأيّام، الحاج الشيخ غلام حسين الطسوجي حفظه اللّه تعالى‌</w:t>
      </w:r>
      <w:r>
        <w:rPr>
          <w:rFonts w:eastAsia="Amiri" w:cs="Amiri" w:ascii="Amiri" w:hAnsi="Amiri"/>
          <w:color w:val="111111"/>
          <w:sz w:val="28"/>
          <w:szCs w:val="28"/>
          <w:rtl w:val="true"/>
          <w:lang w:bidi="ar-SA"/>
        </w:rPr>
        <w:t>.</w:t>
      </w:r>
      <w:bookmarkStart w:id="192" w:name="pg11801_108080"/>
    </w:p>
    <w:p>
      <w:pPr>
        <w:pStyle w:val="BookText"/>
        <w:rPr/>
      </w:pPr>
      <w:bookmarkEnd w:id="192"/>
      <w:r>
        <w:rPr>
          <w:rFonts w:ascii="Amiri" w:hAnsi="Amiri" w:eastAsia="Amiri" w:cs="Amiri"/>
          <w:color w:val="111111"/>
          <w:sz w:val="28"/>
          <w:sz w:val="28"/>
          <w:szCs w:val="28"/>
          <w:rtl w:val="true"/>
          <w:lang w:bidi="ar-SA"/>
        </w:rPr>
        <w:t>ولو زاد ركوعاً عمداً أو سهواً أعاد</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0506852_73709187"/>
      <w:bookmarkStart w:id="194" w:name="_Toc74"/>
      <w:bookmarkEnd w:id="193"/>
      <w:r>
        <w:rPr>
          <w:rtl w:val="true"/>
        </w:rPr>
        <w:t>حُكم زيادة الرّكوع أو السَّجدتين</w:t>
      </w:r>
      <w:bookmarkEnd w:id="19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زاد ركوعا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أو سهواً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المشهور بين الأصحاب في جميع ذلك</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البرهان</w:t>
      </w:r>
      <w:r>
        <w:rPr>
          <w:rFonts w:eastAsia="IRNazanin" w:cs="IRNazanin"/>
          <w:color w:val="111111"/>
          <w:sz w:val="28"/>
          <w:szCs w:val="28"/>
          <w:rtl w:val="true"/>
          <w:lang w:bidi="fa-IR"/>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زيادتهما عمداً فلا إشكال في مبطليّتها بحسب الأدلّة،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 يعتبر في صدق الزّيادة، فيهما ما يعتبر في غيرهما من قصد كون الزائد من الصَّلاة، أم لا يعتبر ذلك، بل تصدق الزيادة وإنْ لم يقصد ذلك‌؟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وجهان، أظهرهما الثاني، وذلك لحسن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في المكتوبة بشيءٍ من العزائم، فإنّ السّجود زيادة في المكتوبة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يدلّ على أنّ السّجدة التي لم يؤت بها بعنوان الصَّلاة، بل أتى بها بعنوان التلاوة، تكون زيادة في المكتوبة، وإنْ لم تكن حقيقةً كذلك، لما عرفت من اعتبار القصد في صدقها، إلّاأنّه للتعبّد الشرعي نلتزم به في هذا المورد، فإذا ثبت ذلك في السّجدة، تثبت في الرّكوع بالأولويّة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ذلك عدم جواز إقحام الصَّلاة في الصَّلاة في غير الموارد المنصوصة، إذ الرّكوع والسّجود، وإنْ لم يؤتِ بهما بقصد الصَّلاة الاُولى لكن برغم ذلك تصدق عليهما الزيادة، فتوجبان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إنْ شاء اللّه تعالى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الصَّلاة بزيادة الرّكوع أو السَّجدتين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قدح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قدح الزيادة السَّهويّة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منصور،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فذكر أنّه زاد سجدة‌؟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صلاةً من سجدةٍ‌، ويعيدها من ركعة</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عبيد بن زرارة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تُطلق في الأخبار على كلٍّ من الرّكعة التامّة والرّكوع، وعليه ففي الخبرين بقرينه المقابلة مع السجود تكون ظاهرة في الرّكوع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على ركنيّتهما، بناءً على تفسير الرّكن بأنّه الذي تبطل الصَّلاة بالإخلال به زيادةً أو نقيصة، عمداً أو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في المسألة الرابعة ما فيهما، وعرفت مقتضى الجمع بينهما وبين سائر النصوص، وأنّ مبطليّة زيادة الرّكن سهواً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فظهورهما في إرادة الرّكوع غير ثابت، لأنّه لو اُريد بهما ما يشمل السَّجدتين، لما كان منافياً للمقابلة بالسجدة، كما لا يخفى‌، فالمتيقّن إرادة مايشمل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جماعةٍ‌</w:t>
      </w:r>
      <w:r>
        <w:rPr>
          <w:rStyle w:val="FootnoteAnchor"/>
          <w:rtl w:val="true"/>
        </w:rPr>
        <w:footnoteReference w:id="334"/>
      </w:r>
      <w:r>
        <w:rPr>
          <w:rFonts w:ascii="Amiri" w:hAnsi="Amiri" w:eastAsia="Amiri" w:cs="Amiri"/>
          <w:color w:val="111111"/>
          <w:sz w:val="28"/>
          <w:sz w:val="28"/>
          <w:szCs w:val="28"/>
          <w:rtl w:val="true"/>
          <w:lang w:bidi="ar-SA"/>
        </w:rPr>
        <w:t>تفسير الرّكن بخصوص ما تبطل الصَّلاة بنقصه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بطلان الصَّلاة بزيادتهما سهواً، نعم هو أحوط، وقد عرفت أنّ الاحتياط لزومي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5" w:name="pg11801_108083"/>
    </w:p>
    <w:p>
      <w:pPr>
        <w:pStyle w:val="Heading6"/>
        <w:numPr>
          <w:ilvl w:val="5"/>
          <w:numId w:val="1"/>
        </w:numPr>
        <w:rPr/>
      </w:pPr>
      <w:bookmarkStart w:id="196" w:name="__RefHeading___Toc10506854_73709187"/>
      <w:bookmarkStart w:id="197" w:name="_Toc75"/>
      <w:bookmarkEnd w:id="195"/>
      <w:bookmarkEnd w:id="196"/>
      <w:r>
        <w:rPr>
          <w:rtl w:val="true"/>
        </w:rPr>
        <w:t>حكم زيادة الرّكعة</w:t>
      </w:r>
      <w:bookmarkEnd w:id="197"/>
    </w:p>
    <w:p>
      <w:pPr>
        <w:pStyle w:val="Heading6"/>
        <w:numPr>
          <w:ilvl w:val="5"/>
          <w:numId w:val="1"/>
        </w:numPr>
        <w:rPr/>
      </w:pPr>
      <w:bookmarkStart w:id="198" w:name="__RefHeading___Toc10506856_73709187"/>
      <w:bookmarkStart w:id="199" w:name="_Toc76"/>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35"/>
      </w:r>
      <w:r>
        <w:rPr>
          <w:rFonts w:ascii="Amiri" w:hAnsi="Amiri" w:eastAsia="Amiri" w:cs="Amiri"/>
          <w:color w:val="111111"/>
          <w:sz w:val="28"/>
          <w:sz w:val="28"/>
          <w:szCs w:val="28"/>
          <w:rtl w:val="true"/>
          <w:lang w:bidi="ar-SA"/>
        </w:rPr>
        <w:t>أنّه تبطل الصَّلاة بزيادة الرّكعة سهواً، وأنّها كزيادتها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الأصحاب، منهم ابن الجُنيد</w:t>
      </w:r>
      <w:r>
        <w:rPr>
          <w:rStyle w:val="FootnoteAnchor"/>
          <w:rtl w:val="true"/>
        </w:rPr>
        <w:footnoteReference w:id="336"/>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والمصنّف في بعض كتبه</w:t>
      </w:r>
      <w:r>
        <w:rPr>
          <w:rStyle w:val="FootnoteAnchor"/>
          <w:rtl w:val="true"/>
        </w:rPr>
        <w:footnoteReference w:id="339"/>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وغيرهم</w:t>
      </w:r>
      <w:r>
        <w:rPr>
          <w:rStyle w:val="FootnoteAnchor"/>
          <w:rtl w:val="true"/>
        </w:rPr>
        <w:footnoteReference w:id="341"/>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جلس عقيب الرابعة بمقدار التشهّد لم تبطل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أو إذا تشهّد كما عن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موردين</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10506858_73709187"/>
      <w:bookmarkStart w:id="201" w:name="_Toc77"/>
      <w:bookmarkEnd w:id="200"/>
      <w:r>
        <w:rPr>
          <w:rtl w:val="true"/>
        </w:rPr>
        <w:t>ما تقتضيه القاعدة</w:t>
      </w:r>
      <w:bookmarkEnd w:id="20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انها تقتضي الصحّة، وعدم البطلان مطلقاً، حتّى بناءً على مبطليّة زيادة الرّكن سهواً، وذلك لأنّ وجه البطلان في المقام إنّما هو وقوع الرّكن في أثناء الصَّلاة، ومنعه عن اتّصال الأجزاء الباقية من التشهّد والسَّلام </w:t>
      </w:r>
    </w:p>
    <w:p>
      <w:pPr>
        <w:pStyle w:val="BookText"/>
        <w:rPr/>
      </w:pPr>
      <w:r>
        <w:rPr>
          <w:rFonts w:ascii="Amiri" w:hAnsi="Amiri" w:eastAsia="Amiri" w:cs="Amiri"/>
          <w:color w:val="111111"/>
          <w:sz w:val="28"/>
          <w:sz w:val="28"/>
          <w:szCs w:val="28"/>
          <w:rtl w:val="true"/>
          <w:lang w:bidi="ar-SA"/>
        </w:rPr>
        <w:t xml:space="preserve">بالأجزاء السابقة، وهذا لا يتمّ‌، لأنّ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أنّ نقصان الصَّلاة من ناحية التشهّد والسَّلام لا يوجب البطلان إنْ لم يكن عمديّاً، بل الصَّلاة محكومة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المستثنى في الحديث، وهو لزوم الإعادة من ناحية الإخلال بالخمسة، التي منها الرّكوع، بطلان الصَّلاة في المقام، لوقوع الرّكوع في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المستثنى منه للتشهّد والسَّلام، متوقّفٌ على عدم إمكان اتّصالهما بالصّلاة، وخروج المُصلّي عنها، وهما متوقّفان على وقوع المبطل كما هو واضح، فوقوع المبطل متقدّمٌ رتبةً على شمول المستثنى منه لهما بمرتبتين، ففي المرتبة السابقة على الحكم بعدم الإعادة من ناحية التشهّد والتسليم، الّتي هي مرتبة موضوع هذا الحكم، يحكم ببطلان الصَّلاة من جهة وقوع الرّكوع في وسط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وقوع المبطل متقدّمة على الخروج من الصَّلاة، ففي تلك المرتبة يكون الرّكوع واقعاً في وسط الصَّلاة، فتكون محكومة بالبطلان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الإغماض عمّا ذكرناه من عدم دلالة الحديث على مبطليّة زيادة الرّكوع والسّجود، إذا كانت سهويّة، أنّه لو سُلّم ذلك، لا يوجب الرّكوع والسّجود في المقام البطلان، إذ موضوع البطلان وقوعهما في أثناء الصَّلاة، فلابدّ من تحقّق الموضوع خارجاً ليترتّب عليه الحكم، وفي المقام الخروج عن الصَّلاة، الذي هو موضوع عدم الإعادة والمبطل، يتحقّقان في الخارج في زمان واحد، ففي زمان وجود الرّكوع يتحقّق الخروج عن الصَّلاة، وفي نفس ذلك الزمان يُحكم بعدم الإعادة، وسقوط جزئيّة التشهّد والتسليم بنحو الاتّصال، فلا وجه للحكم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2" w:name="pg11801_108085"/>
    </w:p>
    <w:p>
      <w:pPr>
        <w:pStyle w:val="BookText"/>
        <w:rPr/>
      </w:pPr>
      <w:bookmarkEnd w:id="202"/>
      <w:r>
        <w:rPr>
          <w:rFonts w:ascii="Amiri" w:hAnsi="Amiri" w:eastAsia="Amiri" w:cs="Amiri"/>
          <w:color w:val="111111"/>
          <w:sz w:val="28"/>
          <w:sz w:val="28"/>
          <w:szCs w:val="28"/>
          <w:rtl w:val="true"/>
          <w:lang w:bidi="ar-SA"/>
        </w:rPr>
        <w:t>بالبطلان، وكون الحكم بالإعادة متأخّراً رتبةً لا يكفي في الحكم بالبطلان، بل لابدّ من التأخّر الزماني</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0506860_73709187"/>
      <w:bookmarkStart w:id="204" w:name="_Toc78"/>
      <w:bookmarkEnd w:id="203"/>
      <w:r>
        <w:rPr>
          <w:rtl w:val="true"/>
        </w:rPr>
        <w:t>ما تقتضيه النصوص الخاصّة</w:t>
      </w:r>
      <w:bookmarkEnd w:id="204"/>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للقول بالبطلان بطوائفَ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مبطليّة مطلق الزيادة، أو الزيادة السَّهويّة، وقد تقدّمت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ببركة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بسقوطجزئيّة التشهّد والسَّلام في حال النسيان، ووقوع الرّكعة بعد الفراغ من الصَّلاة، ومثل هذه الزيادة لايُبطل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سجدةٍ وإنّما تعاد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بالركعة بقرينة المقابلة هو الرّكوع، فتدلّ على مبطليّة الرّكوع، وإنْ وقع في الصَّلاة سهواً، وفي المقام وإنْ وقع الرّكوع إلّاأنّه بعد تماميّة الصَّلاة لا في أثنائها، وقد مرّ أنّه لا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يقصر في السّفر لم تَجُز صلاته، لأنّه قد زاد في فرض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بالثنائيّة، وعدم الفصل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جهة مافيه من التعليل، يختصّ بغير حال السَّهو، إذ في تلك الحال تسقط جزئيّة التشهّد والسَّلام، فتكون الزيادة بعد الصَّلاة، إذ العلّة تخصّص كما تعمّم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يُصلّي العصر ستّ </w:t>
      </w:r>
    </w:p>
    <w:p>
      <w:pPr>
        <w:pStyle w:val="BookText"/>
        <w:rPr/>
      </w:pPr>
      <w:r>
        <w:rPr>
          <w:rFonts w:ascii="Amiri" w:hAnsi="Amiri" w:eastAsia="Amiri" w:cs="Amiri"/>
          <w:color w:val="111111"/>
          <w:sz w:val="28"/>
          <w:sz w:val="28"/>
          <w:szCs w:val="28"/>
          <w:rtl w:val="true"/>
          <w:lang w:bidi="ar-SA"/>
        </w:rPr>
        <w:t>ركعات أو خمس ركعات‌؟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أنّه صلّى خَمساً أو ستّاً فليعد</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إضماره، أنّه ضعيف السند، لأنّ في سنده أبي جميلة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زرارة وبُكير،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أنّه زاد في صلاته المكتوبة ركعةً لم يعتدّ بها، واستقبل صلاته استقبالاً، إذا كان قد استيقن يقيناً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أنّه لا بأس بهذا الخبر، لكن بإزاءه طائفتان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الصحّة مطلقاً، كخبر عمرو بن خالد، عن زيد بن علي،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الظهر خَمس ركعات، ثمّ‌انفتل،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هل زِيدَ في الصَّلاة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بنا خمس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وكبّر وهو جالس، ثمّ سجد سجدتين، ليس فيهما قراءة ولا ركوع، ثمّ سَلَّم، وكان يقول هما المُرغِمتان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في طريقه الحسين بن عُلوان، وهو عامّي لم يوثّق</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مشتملٌ على سهو النبيّ صلى الله عليه و آله ولا نقول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الحاصل له صلى الله عليه و آله بعد إعلامهم الشكّ لا اليقين، فيكون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جلس في الرابعة قَدَر التشهّد، فقد تمّت صلاته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جميل بن درّاج</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استيقن بعدما صَلّى الظهر أنّه صَلّى خمساً؟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استيقن‌؟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أنّه كان جلس في الرابعة، فصلاة الظهر تامّة، فليقم فليَضِف إلى الرّكعة الخامسة ركعةً وسجدتين، فتكونان ركعتين نافلةً ولا شيء عليه</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الجمع بينها وبين ما دلَّ على البطلان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المحقّقين</w:t>
      </w:r>
      <w:r>
        <w:rPr>
          <w:rStyle w:val="FootnoteAnchor"/>
          <w:rtl w:val="true"/>
        </w:rPr>
        <w:footnoteReference w:id="349"/>
      </w:r>
      <w:r>
        <w:rPr>
          <w:rFonts w:ascii="Amiri" w:hAnsi="Amiri" w:eastAsia="Amiri" w:cs="Amiri"/>
          <w:color w:val="111111"/>
          <w:sz w:val="28"/>
          <w:sz w:val="28"/>
          <w:szCs w:val="28"/>
          <w:rtl w:val="true"/>
          <w:lang w:bidi="ar-SA"/>
        </w:rPr>
        <w:t>من تقديم ما دلّ على البطلان، من جهة موافقة ما دلّ على التفصيل مع العامّة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الموافقة لهم لا يوجب طرح الخبر، فإنّ ذلك موجبٌ لترجيح إحدى الحجّتين على الاُخرى‌، بعد فقد جملةٍ من المرجّحات، لأنّ الموافقة معهم لا تُعدّ من مميّزات الحجّة عن اللّاحجّة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بهما من دون أن يُقيّد ما دلّ على البطلان بما دلّ على التفصيل، ولا يترتّب عليه محذورٌ، وذلك يبتني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بالجلوس بقدر التشهّد في النصوص، هو فعل التشهّد لا الجلوس محضاً،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شيوع الكناية في الأخبار عن التشهّد بالجلوس، ففي 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ركعتين من المكتوبة، فيقوم قبل أنْ يجلس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فليجلس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دعواه أنّ من المستبعد جدّاً إحراز أنّه جلس بعد الرّكعة بمقدار التشهّد، من دون أن يتشهّد، بل فِعْلُ التشهّد من لوازم ذلك الجلوس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المأخوذ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ابن مسلم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الجلوس، وحيث إنّه لا يمكن الأخذ بإطلاق الجلوس ولو آنا مّا، فيدور الأمر بين تقييده وحمله على المعهود الذهني، أي الجلوس المعهود في الصَّلاة، وهو المشتمل على التشهّد، والثاني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وإنْ كان واجباً، إلّاأنّه جزءٌ للمركّب المأمور به لا للصَّلاة كما تقدّم تفصيله في مبحث التسليم، وعلى هذا فالطائفة الثانية تدلّ على أنّه لا تضرّ الزيادة إذا كانت بعد التشهّد، والوجه فيه أنّها حينئذٍ زيادة في المركّب لا في الصَّلاة، والطائفة الاُولى على مبطليّة الزيادة في الصَّلاة فلا تنافي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أوّلاً وإنْ كان تامّاً، إلّاأنّ الثاني لا يتمّ كما تقدّم في بداية مبحث الصّلاة</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الجلوس لفعل التشهّد، يُحمل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إرادة ما يشمل السَّلام أيضاً، لما شاع في الأخبار من إطلاق التشهّد على ما يعمّه، وعليه فحيثُ لا ريب في أنّ زيادة الرّكعة بعد السَّلام لا تبطل الصَّلاة، بل لا تكون زيادة في الصَّلاة، فلا منافاة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من المستبعد جدّاً زيادة الرّكعة بعد السَّلام، إذ الزيادة سهواً إنّما يكون منشأها بحسب الغالب تخيّل عدم تماميّة الصَّلاة، وعليه فحمل الجلوس على ما يعمّ التسليم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مقتضى قاعدة حمل المطلق على المقيّد، تقييد إطلاق الطائفة الاُولى بالثانية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الأصحاب</w:t>
      </w:r>
      <w:r>
        <w:rPr>
          <w:rStyle w:val="FootnoteAnchor"/>
          <w:rtl w:val="true"/>
        </w:rPr>
        <w:footnoteReference w:id="351"/>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جماعةٍ‌</w:t>
      </w:r>
      <w:r>
        <w:rPr>
          <w:rStyle w:val="FootnoteAnchor"/>
          <w:rtl w:val="true"/>
        </w:rPr>
        <w:footnoteReference w:id="352"/>
      </w:r>
      <w:r>
        <w:rPr>
          <w:rFonts w:ascii="Amiri" w:hAnsi="Amiri" w:eastAsia="Amiri" w:cs="Amiri"/>
          <w:color w:val="111111"/>
          <w:sz w:val="28"/>
          <w:sz w:val="28"/>
          <w:szCs w:val="28"/>
          <w:rtl w:val="true"/>
          <w:lang w:bidi="ar-SA"/>
        </w:rPr>
        <w:t>من القدماء والمتأخّرين القول بمضمونها، ولكن من جهة عدم إفتاء الأكثر بل المشهور بمضمون الطائفة الثانية، مع أنّها صحاح وكثيرة، وبمرأى منهم ومنظر، وقانون حمل المطلق على المقيّد من الواضحات، لا يُترك الاحتياط، فإنّه سبيل النجاة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الصّلاة فيما لو علم أنّه جلس بمقدار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جلوسه بمقدار التشهّد وعدمه، فإنّ مقتضى القاعدة هو البناء على عدم التشهّد، لأنّه وإنْ كان شاكّاً فيه وقد مضى محلّه بالدخول في المبطل، إلّا أنّه من جهة كونه محرزاً لغفلته عن ذلك، لا تجري قاعدة التجاوز، فلابدّ من الإتيان به، ومع ذلك شاك في زيادة الرّكعة المبطلة، والأصل عدمها، فيتشهّد ويُتمّ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بعدم الأمر بالتشهّد، إمّا للإتيان به، أو لبطلان الصَّلاة بزيادة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يدلّ على صحّة الصَّلاة في الفرض، ولزوم الإتيان بالتشهّد، 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الظهر خمساً؟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يدري جَلَس في الرابعة أم لم يجلس فليجعل أربع ركعات منها الظهر، ويجلس ويتشهّد، ثمّ يُصلّي وهو جالس ركعتين وأربع سجدات، ويضيفها إلى الخامسة، فتكون نافلة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يكون التشهّد مشكوكاً فيه، فمقتضى قاعدة التجاوز، البناء على الإتيان به، فلا محالة يكون المراد من التشهّد المأمور به تشهد النافلة، حيث ذكره بعد الركعتين من جلوس،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تضمّنه الحديث من الأمر بركعتين من جلوس، وضمّهما إلى الخامسة، فالظاهر أنّه استحبابي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5" w:name="pg11801_108091"/>
    </w:p>
    <w:p>
      <w:pPr>
        <w:pStyle w:val="BookText"/>
        <w:rPr/>
      </w:pPr>
      <w:bookmarkEnd w:id="205"/>
      <w:r>
        <w:rPr>
          <w:rFonts w:ascii="Amiri" w:hAnsi="Amiri" w:eastAsia="Amiri" w:cs="Amiri"/>
          <w:color w:val="111111"/>
          <w:sz w:val="28"/>
          <w:sz w:val="28"/>
          <w:szCs w:val="28"/>
          <w:rtl w:val="true"/>
          <w:lang w:bidi="ar-SA"/>
        </w:rPr>
        <w:t>ولو نَقَص من الصَّلاة ركعةً أو ركعتين سهواً</w:t>
      </w:r>
    </w:p>
    <w:p>
      <w:pPr>
        <w:pStyle w:val="Heading6"/>
        <w:numPr>
          <w:ilvl w:val="5"/>
          <w:numId w:val="1"/>
        </w:numPr>
        <w:rPr/>
      </w:pPr>
      <w:bookmarkStart w:id="206" w:name="__RefHeading___Toc10506862_73709187"/>
      <w:bookmarkStart w:id="207" w:name="_Toc79"/>
      <w:bookmarkEnd w:id="206"/>
      <w:r>
        <w:rPr>
          <w:rtl w:val="true"/>
        </w:rPr>
        <w:t>حكم نسيان الرّكعة فما زاد</w:t>
      </w:r>
      <w:bookmarkEnd w:id="20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نَقَص من الصَّلاة ركعةً أو ركعتين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ذكرها بعد التسليم، قبل ما يُبطل الصَّلاة عمداً، قام وأتمّ الصّلاة، إذ لا وجه لبطلان صلاته سوى توهّم أنّ السَّلام مخرجٌ ومانعٌ عن اتّصال ما بعده بما قبله، وهو توهّمٌ فاسد، فإنّ السَّلام المُخْرِج هو الواقع في محلّه، وأمّا الواقع في غير موضعه، فلا يكون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مضافاً إلى دلالة جملة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نسي ركعةً من صلاته حتّى فرغ منها، ثمّ ذكر أنّه لم يركع‌؟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ويسجد سجدتين</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بأصحابي المغرب، فلمّا أن صلّيت ركعتين سَلّمت، إلى أنْقال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مولاناالصادق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يُجزيك أن تقوم وتركع ركعة</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عن ظاهر الحلبي</w:t>
      </w:r>
      <w:r>
        <w:rPr>
          <w:rStyle w:val="FootnoteAnchor"/>
          <w:rtl w:val="true"/>
        </w:rPr>
        <w:footnoteReference w:id="358"/>
      </w:r>
      <w:r>
        <w:rPr>
          <w:rFonts w:ascii="Amiri" w:hAnsi="Amiri" w:eastAsia="Amiri" w:cs="Amiri"/>
          <w:color w:val="111111"/>
          <w:sz w:val="28"/>
          <w:sz w:val="28"/>
          <w:szCs w:val="28"/>
          <w:rtl w:val="true"/>
          <w:lang w:bidi="ar-SA"/>
        </w:rPr>
        <w:t>من القول بوجوب الإعادة،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يذكر حتّى تكلّم، أو</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حتّى تكلّم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بشيءٍ مثله، يَبطل الصَّلاة 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فقهاءنا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وفي المتن</w:t>
      </w:r>
      <w:r>
        <w:rPr>
          <w:rStyle w:val="FootnoteAnchor"/>
          <w:rtl w:val="true"/>
        </w:rPr>
        <w:footnoteReference w:id="36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366"/>
      </w:r>
      <w:r>
        <w:rPr>
          <w:rFonts w:ascii="Amiri" w:hAnsi="Amiri" w:eastAsia="Amiri" w:cs="Amiri"/>
          <w:color w:val="111111"/>
          <w:sz w:val="28"/>
          <w:sz w:val="28"/>
          <w:szCs w:val="28"/>
          <w:rtl w:val="true"/>
          <w:lang w:bidi="ar-SA"/>
        </w:rPr>
        <w:t>هو القول بالصحّة، وأنّه لا تبطل الصَّلاة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بعض الأصحاب</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الإعادة في غير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اعتقد أنّه فرغ من الصَّلاة لشبهة، ثمّ تكلّم عامداً، فإنّه لاتفسد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إذا كان عامداً قطع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ليس ساهياً في الكلام، بل كلامه عمدي، ولذا يصحّ لو كان عقداً أو إيقاعاً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فلوهنه بذهاب الأكثر إلى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 يعمل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كلامه في الصَّلاة سهوي، من جهة غفلته عن وقوعه فيها، ومثل هذا لا يوجب البطلان، لصحيح ابن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لو سُلّم عدم صدق الكلام السَّهوي عليه، حيث إنّه معتقدٌ لخروجه عن الصَّلاة، فيكون جاهلاً بكون كلامه هذا واقعاً في أثناء الصَّلاة،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صلاته وعدم بطلانها، بناءً على ما تقدّم من شمول الحديث للجاهل بالموضوع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مقتضى القاعدة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ركعتين من المكتوبة فسلَّم، وهو يرى أنّه قد أتمَّ الصَّلاة، وقد تكلّم، ثمّ ذكر أنّه لم يُصلِّ غير ركعتين‌؟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استدبر القبلة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ولا شيء عليه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يسهو في الركعتين ويتكلّم‌؟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تكلّم أو لم يتكلّم، ولا شيء عليه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منه السَّهو في عدد الركعات، وأنّه يزعم في الركعتين أنّه أخّر صلاته، فيخرج منها ويتكلّم،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واشتمال جملة من نصوص الباب على قصّة ذي الشمالين، وسهو النبيّ صلى الله عليه و آله الذي لا نقول به، ومخالفٌ لمذهبنا، لا يمنع عن الاستدلال بما ليس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مستنده هو ما دلَّ على وجوب حفظ الأوليين والثنائيّة والثلاثيّة من السَّهو، ولكن ستعرف أنّ المراد به الشكّ في عدد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يذكر النقص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استدبر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أتى بغيره ممّا يُبطل الصَّلاة ولو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Style w:val="FootnoteAnchor"/>
          <w:rtl w:val="true"/>
        </w:rPr>
        <w:footnoteReference w:id="373"/>
      </w:r>
      <w:r>
        <w:rPr>
          <w:rFonts w:ascii="Amiri" w:hAnsi="Amiri" w:eastAsia="Amiri" w:cs="Amiri"/>
          <w:color w:val="111111"/>
          <w:sz w:val="28"/>
          <w:sz w:val="28"/>
          <w:szCs w:val="28"/>
          <w:rtl w:val="true"/>
          <w:lang w:bidi="ar-SA"/>
        </w:rPr>
        <w:t>كادت أن تكون إجماعاً، بل هو إجماع</w:t>
      </w:r>
      <w:r>
        <w:rPr>
          <w:rStyle w:val="FootnoteAnchor"/>
          <w:rtl w:val="true"/>
        </w:rPr>
        <w:footnoteReference w:id="374"/>
      </w:r>
      <w:r>
        <w:rPr>
          <w:rFonts w:ascii="Amiri" w:hAnsi="Amiri" w:eastAsia="Amiri" w:cs="Amiri"/>
          <w:color w:val="111111"/>
          <w:sz w:val="28"/>
          <w:sz w:val="28"/>
          <w:szCs w:val="28"/>
          <w:rtl w:val="true"/>
          <w:lang w:bidi="ar-SA"/>
        </w:rPr>
        <w:t xml:space="preserve">، إذ لم ينقل خلافٌ فيه إلّاعن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وهو غير ثابت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مقتضى القاعدة، لفرض وقوع المبطل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ركعتين، ثمّ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يروي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له حديث ذي الشمالين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 يبرح من مكانه، ولو برح استقبل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موثّقا سماعة وأبي بصير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إطلاقها وإنْ كان البطلان بمجرّد الانتقال من الموضع، إلّاأنّها تُحمل على ما إذا فعل المبطل السَّهوي من الاستدبار والفصل الماحي للصورة، بقرينة النصوص المتقدّمة في الصورة السابقة، بضميمة عدم الفصل بين التكلّم وغيره ممّا ينافي الصَّلاة عمداً لا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الصحّة إذا انتقل من موضعه ثمّ تذكّر، وإطلاقها يشمل صورة فعل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عبيد بن زرارة،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ركعة من الغداة، ثمّ انصرف، وخرج في حوائجه، ثمّ ذكر أنّه صَلّى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موثّقه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عن رجلٍ دخل مع الإمام في صلاته، وقد سبقه بركعة، فلمّا فرغ خرج مع النّاس، ثمّ ذكر بعد ذلك أنّه فاتته ركعة،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ركعة واحدة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الصحّة في صورة فعل المبطل السَّهوي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بالكوفه ركعتين، ثّم ذكر وهو بمكّة أو بالمدينة أو بالبصرة أو ببلدةٍ من البلدان، أنّه صَلّى ركعتين‌؟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يذكر بعدما قام وتكلّم ومضى في حوائجه أنّه إنّما صَلّى ركعتين من الظهر والعصر والعتمة والمغرب‌؟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يبني على صلاته ويتمّها ولو بلغ الصين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وجه الجمع بينها وبين نصوص البطلان أنّها تُحمل على صورة عدم صدور المبطل السَّهوي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ثبت ما ورد في 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له ذلك إذا لم يحوّل وجهه عن القبلة، فإذا حَوّل وجهه عن القبلة فعليه أن يستقبل الصَّلاة استقبالاً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ذلك شاهداً على هذا الجمع، وإلّا فهما متعارضان، فيصبح الجمع المذكور جمعاً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الجمع بينها وبين نصوص البطلان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بحمل هذه على الجواز، وما تضمّن الاستئناف على الاستحباب</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الروايات لا يجوز بأيّ نحوٍ أمكن، بل لابدَّ وأن يكون الجمع عرفيّاً، وملاكه على ما تكرّر منّا في هذا الشرح، أنّه لو سمع العرف كلا المتنافيين من متكلّمٍ واحدٍ في مجلسٍ واحد لا يراهما متنافيين، بل يرى أحدهما قرينةً على الآخر بحسب المتفاهم العرفي، وأخبار الباب ليست كذلك، كما لا يخفى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على الناظر المنصف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بحمل نصوص الصحّة على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حملٌ لا شاهد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ماعنه أيضاً</w:t>
      </w:r>
      <w:r>
        <w:rPr>
          <w:rStyle w:val="FootnoteAnchor"/>
          <w:rtl w:val="true"/>
        </w:rPr>
        <w:footnoteReference w:id="385"/>
      </w:r>
      <w:r>
        <w:rPr>
          <w:rFonts w:ascii="Amiri" w:hAnsi="Amiri" w:eastAsia="Amiri" w:cs="Amiri"/>
          <w:color w:val="111111"/>
          <w:sz w:val="28"/>
          <w:sz w:val="28"/>
          <w:szCs w:val="28"/>
          <w:rtl w:val="true"/>
          <w:lang w:bidi="ar-SA"/>
        </w:rPr>
        <w:t>من حمل هذه النصوص عليما إذا لم يتيقّن الترك، بل ظنَّبذلك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لظهورها، لو لم يكن منافياً لصريح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المجلسي رحمه الله</w:t>
      </w:r>
      <w:r>
        <w:rPr>
          <w:rStyle w:val="FootnoteAnchor"/>
          <w:rtl w:val="true"/>
        </w:rPr>
        <w:footnoteReference w:id="386"/>
      </w:r>
      <w:r>
        <w:rPr>
          <w:rFonts w:ascii="Amiri" w:hAnsi="Amiri" w:eastAsia="Amiri" w:cs="Amiri"/>
          <w:color w:val="111111"/>
          <w:sz w:val="28"/>
          <w:sz w:val="28"/>
          <w:szCs w:val="28"/>
          <w:rtl w:val="true"/>
          <w:lang w:bidi="ar-SA"/>
        </w:rPr>
        <w:t>وجملةٍ من المتأخّرين</w:t>
      </w:r>
      <w:r>
        <w:rPr>
          <w:rStyle w:val="FootnoteAnchor"/>
          <w:rtl w:val="true"/>
        </w:rPr>
        <w:footnoteReference w:id="387"/>
      </w:r>
      <w:r>
        <w:rPr>
          <w:rFonts w:ascii="Amiri" w:hAnsi="Amiri" w:eastAsia="Amiri" w:cs="Amiri"/>
          <w:color w:val="111111"/>
          <w:sz w:val="28"/>
          <w:sz w:val="28"/>
          <w:szCs w:val="28"/>
          <w:rtl w:val="true"/>
          <w:lang w:bidi="ar-SA"/>
        </w:rPr>
        <w:t>من حمل هذه النصوص على التقيَّة، فهو مبنيٌّ على جواز حمل النصوص على التقيّة، ولو لم يوجد القائل بما تضمّنته من المخالفين، وهذا غير صحيح، فإنّ الحمل على التقيّة إنّما يكون عند التعارض، وفَقْد جملةٍ من المرجّحات، مع كون أحد المتعارضين موافقاً للعامّة دون الآخر، وإلّا فلا وجه للحمل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النصوص الواردة في الباب من الأخبار المتعارضة، لايمكن الجمع بينها بوجه، ولابدّ من الرجوع إلى المرجّحات، وأوّلها الشهرة وهي توجب تقديم نصوص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المشهور من لزوم الاستئناف هو الأظهر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08" w:name="pg11801_108098"/>
    </w:p>
    <w:p>
      <w:pPr>
        <w:pStyle w:val="BookText"/>
        <w:rPr/>
      </w:pPr>
      <w:bookmarkEnd w:id="208"/>
      <w:r>
        <w:rPr>
          <w:rFonts w:ascii="Amiri" w:hAnsi="Amiri" w:eastAsia="Amiri" w:cs="Amiri"/>
          <w:color w:val="111111"/>
          <w:sz w:val="28"/>
          <w:sz w:val="28"/>
          <w:szCs w:val="28"/>
          <w:rtl w:val="true"/>
          <w:lang w:bidi="ar-SA"/>
        </w:rPr>
        <w:t>ولو صَلّى في مكانٍ مغصوب، أو ثوبٍ مغصوبٍ‌، أو نجسٍ‌، أو سَجَد عليه مع العلم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بغير طهارةٍ أعاد مطلقاً</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10506864_73709187"/>
      <w:bookmarkStart w:id="210" w:name="_Toc80"/>
      <w:bookmarkEnd w:id="209"/>
      <w:r>
        <w:rPr>
          <w:rtl w:val="true"/>
        </w:rPr>
        <w:t>الخَلل في المقدّمات</w:t>
      </w:r>
      <w:bookmarkEnd w:id="21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الخَلل في المقدّمات كالسَّتر والقبلة والطهارة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أشبعنا الكلام في ذلك في البحوث السابقة، وإنّما نشير إلى مختارنا هناك من جهة تعرّض المصنّف رحمه الله 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في مكانٍ مغصوب، أو ثوبٍ مغصوب أو نجسٍ‌، أو سَجَد عليه مع العلم،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كلامٍ‌، لما ذكرناه في مبحث مكان المُصلّي ولباسه،</w:t>
      </w:r>
      <w:r>
        <w:rPr>
          <w:rStyle w:val="FootnoteAnchor"/>
          <w:rtl w:val="true"/>
        </w:rPr>
        <w:footnoteReference w:id="388"/>
      </w:r>
      <w:r>
        <w:rPr>
          <w:rFonts w:ascii="Amiri" w:hAnsi="Amiri" w:eastAsia="Amiri" w:cs="Amiri"/>
          <w:color w:val="111111"/>
          <w:sz w:val="28"/>
          <w:sz w:val="28"/>
          <w:szCs w:val="28"/>
          <w:rtl w:val="true"/>
          <w:lang w:bidi="ar-SA"/>
        </w:rPr>
        <w:t>وكذلك لو كان عن جهلٍ بالحكم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صَلّى على مكانٍ مغصوب، جهلاً بالغصبيّة أو نسياناً أو جهلاً بالحكم عن قصور، أو في ثوبٍ مغصوبٍ كذلك، صحّت صلاته،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في الثوب النّجس جهلاً بالحكم، وكان الجهلُ عن قصورٍ صحّت أيضاً للحديث، وكذلك إنْ كان عن جهل بالموضوع، صحّت أيضاً لما تقدّم في محلّه، كما أنّه ظهر هناك أنّه لو صَلّى فيه نسياناً، فإنْ انكشف الخلاف في الوقت أعاد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بغير طهارة أعاد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الإعادة فيما إذا صلّى كذلك عالماً عامداً، فواضح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صَلّى نسياناً أو عن جهل، فلقول أبي جعفر عليه السلام في صحيح زاررة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قبل الوقت، أو مستدبر القبلة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 إلّامن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عن عمدٍ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نسياناً، أو معتقداً 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وقعت بتمامها قبل الوقت أعاد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إن وقع بعضها في الوقت، وكان ذلك عن غفلة أو 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وقع بعضها فيه، وكان دخوله فيها لاعتقاد دخول الوقت، صحّت صلاته، لخبر إسماعيل بن رياح المتقدّم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مستدبر القبلة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أشبعنا الكلام في ذلك في مبحث القبلة والقواطع، فراجع</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1" w:name="pg11801_108100"/>
    </w:p>
    <w:p>
      <w:pPr>
        <w:pStyle w:val="BookText"/>
        <w:rPr/>
      </w:pPr>
      <w:bookmarkEnd w:id="211"/>
      <w:r>
        <w:rPr>
          <w:rFonts w:ascii="Amiri" w:hAnsi="Amiri" w:eastAsia="Amiri" w:cs="Amiri"/>
          <w:color w:val="111111"/>
          <w:sz w:val="28"/>
          <w:sz w:val="28"/>
          <w:szCs w:val="28"/>
          <w:rtl w:val="true"/>
          <w:lang w:bidi="ar-SA"/>
        </w:rPr>
        <w:t>وإنْ كان غير ركنٍ فثلاثة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حكم له، وهو مَنْ نسي القراءة حتّى ركع</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10506866_73709187"/>
      <w:bookmarkStart w:id="213" w:name="_Toc81"/>
      <w:bookmarkEnd w:id="212"/>
      <w:r>
        <w:rPr>
          <w:rtl w:val="true"/>
        </w:rPr>
        <w:t>حكم نسيان غير الرّكن</w:t>
      </w:r>
      <w:bookmarkEnd w:id="213"/>
    </w:p>
    <w:p>
      <w:pPr>
        <w:pStyle w:val="Heading6"/>
        <w:numPr>
          <w:ilvl w:val="5"/>
          <w:numId w:val="1"/>
        </w:numPr>
        <w:rPr/>
      </w:pPr>
      <w:bookmarkStart w:id="214" w:name="__RefHeading___Toc10506868_73709187"/>
      <w:bookmarkStart w:id="215" w:name="_Toc82"/>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نسيان غير الرّكن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صلاته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وغيره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والنصوص الآتية الدالّة على أنّه إذا حفظ الرّكوع والسّجود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بلحاظ وجوب شيءٍ آخر عليه، فقد قسّمه المصنّف كغيره،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0506870_73709187"/>
      <w:bookmarkStart w:id="217" w:name="_Toc83"/>
      <w:bookmarkEnd w:id="216"/>
      <w:r>
        <w:rPr>
          <w:rtl w:val="true"/>
        </w:rPr>
        <w:t>القسم الأول ما لا حكم له</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يجبُ عليه شيء بنسيانه من قضاءٍ أو سجدتي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نَسي القراءة حتّى 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فرض الرّكوع والسّجود، وجعل القراءة سُنّة، فمن ترك القراءة متعمّداً أعاد الصَّلاة، ومن نسى فلا شيء عليه</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وقع الكلام في المقام موضعين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قلنا بوجوب سجدتي السَّهو لكلّ زيادةٍ ونقيصة، هل </w:t>
      </w:r>
    </w:p>
    <w:p>
      <w:pPr>
        <w:pStyle w:val="BookText"/>
        <w:rPr/>
      </w:pPr>
      <w:r>
        <w:rPr>
          <w:rFonts w:ascii="Amiri" w:hAnsi="Amiri" w:eastAsia="Amiri" w:cs="Amiri"/>
          <w:color w:val="111111"/>
          <w:sz w:val="28"/>
          <w:sz w:val="28"/>
          <w:szCs w:val="28"/>
          <w:rtl w:val="true"/>
          <w:lang w:bidi="ar-SA"/>
        </w:rPr>
        <w:t>تجب السّجدة لنقصان القراءة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وجوبهما على هذا المسلك، فإنّ النسبة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نسي القراءة فقد تمّت صلاته ولا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قوله عليه السلام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عمومٌ من وجه، لأعميّة الأوّل من حيث نفي كلّ شيء، وأخصيّته من حيث الاختصاص بالقراءة، وأعميّة الثاني من حيث شموله لغير القراءة، وأخصيّته من حيث الاختصاص بسجدة السَّهو، ولكن بما أنّ دلالة الثاني تكون بالعموم، ودلالة الأوّل تكون بالإطلاق، يُقدَّم الثاني، لما حقّقناه في محلّه من أنّه في موارد المخالفة بالعموم من وجه، إذا كان أحدهما عاما والآخر مطلقاً، يقدّم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في تحقيق المبنى، وأنّه هل تجب السّجدة لكلّ زيادةٍ ونقيصه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نُسب إلى المحقّق النائيني رحمه الله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من دعوى أخصيّة أخبار الباب عن أخبار سجدتي السَّهو فتكون مخصّصة لها، بتقريب أنّ نصوص الباب متضمّنة لحكمه بأنّه لا شي غء عليه بعد الحكم بتماميّة الصَّلاة، فلا يكون المراد به نفي الإعادة، فيبقى له موردان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وجوب قضاء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وجوب سجدتي السَّهو</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أنّ حملها على إرادة نفي القضاء بعيدٌ، لدلالة أخبار قضاء التشهّد والسّجدة الواحدة على أنّ ما يجب قضائه منحصرٌ بهما، مع قيام الإجماع على ذلك أيضاً، فينحصر المنفيّ في هذه الأخبار بسجدتي السَّهو، فتكون أخصّ من ما دلَّ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الجهر، أو الإخفات، أو تسبيح الرّكوع، أو طمأنينته حتّى ينتصب،</w:t>
      </w:r>
    </w:p>
    <w:p>
      <w:pPr>
        <w:pStyle w:val="BookText"/>
        <w:rPr/>
      </w:pPr>
      <w:r>
        <w:rPr>
          <w:rFonts w:ascii="Amiri" w:hAnsi="Amiri" w:eastAsia="Amiri" w:cs="Amiri"/>
          <w:color w:val="111111"/>
          <w:sz w:val="28"/>
          <w:sz w:val="28"/>
          <w:szCs w:val="28"/>
          <w:rtl w:val="true"/>
          <w:lang w:bidi="ar-SA"/>
        </w:rPr>
        <w:t>على وجوب سجدة السَّهو لكلّ زيادةٍ ونقيصة، فيخصّص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دلالتها على عدم وجوب قضاء القراءة، لا تنافي دلالة غيرها على ذلك أيضاً، ليكون ذلك قرينة على عدم دلالتها 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نَسي القراءة حتّى ركع، هل يجب عليه اختيار القراءة في الرَّكعات اللّاحقة، فإن نسيها في الثانية قرأها في الثالثة، أم لا يجب ذلك‌؟ فيه خلاف، وقد حقّقنا المسألة في مبحث ما يجب في الرَّكعات الأخيرة، فراجع</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الجهر أو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موضعهما كما عرفته في هذا الشرح في مبحث الجهر والإخفات من القراءة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تسبيح الرّكوع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عن رجلٍ نسي تسبيحة في ركوعه وسجوده‌؟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القداح،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رجلٍ ركع ولم يُسبّح ناسياً؟ قال عليه السلام تمّت صلاته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طمأنينته حتّى ينتصب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في محلّه من أنّ ما يدلّ على اشتراطها في الرّكوع، قاصرٌ عن الدلالة على في غير حال التذكّر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رَفْع الرأس منه، أو طمأنينته، أو تسبيح السّجود، أو طمأنينته، أو إحدى الأعضاء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الرأس منه أو طمأنينته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بلاخلافٍفيهما، ويشهدله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تسبيح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 خبر علي بن يقطين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طمأنينته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ما دلَّ على اعتبارها فيه، عن شموله لغير حال التذكّر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الأعضاء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من غير فرقٍ بين الجَبهة وغيرها، على ما يظهر من المتن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صرّح غير واحدٍ بأنّ هذا في غير الجبهة، وأمّا فيها فنسيان السّجود عليها، إنّما يوجب الإخلال بالسجود، فإنْ أخلَّ بها في السَّجدتين بطلت الصَّلاة، وإلّا فيلحقه حكم نسيان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كون وضع الجبهة من مقوّمات مفهوم السّجود، فلابدَّ من تنقيح المبنى، كي يتّضح الحكم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أخلّ به ممّا هو معتبرٌ في السّجود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داخلاً في مفهومه، ولا يصدق بدونه، والظاهر أنّ الإنحناء الخاصّ من هذا القبيل، إذ الظاهر من دليله أنّ ما تضمّنه من التحديد راجعٌ إلى تعيين المفهوم، وتخطئه العرف في التطبيق على ما هو خارج عن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اعتبر في السّجود شرعاً، ولعلّ كون وضع الجبهة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قيود الصَّلاة حال السّجدة، وتكون هي محلّاً له كالذِّكر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شُكّ في ذلك، ولم يُحرز أنّه من قيود الصَّلاة في حال السّجدة أو </w:t>
      </w:r>
    </w:p>
    <w:p>
      <w:pPr>
        <w:pStyle w:val="BookText"/>
        <w:rPr/>
      </w:pPr>
      <w:r>
        <w:rPr>
          <w:rFonts w:ascii="Amiri" w:hAnsi="Amiri" w:eastAsia="Amiri" w:cs="Amiri"/>
          <w:color w:val="111111"/>
          <w:sz w:val="28"/>
          <w:sz w:val="28"/>
          <w:szCs w:val="28"/>
          <w:rtl w:val="true"/>
          <w:lang w:bidi="ar-SA"/>
        </w:rPr>
        <w:t>أو رفع الرأس منه، أو طمأنينته في الرّفع منها، أو طمأنينة الجلوس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قيود السّجدة، فيجب التعامل معه معاملة قيد الصَّلاة، وذلك لأنّ قيديّته للصّلاة معلومة، والشكّ في تقيّيد السّجود به، والأصل يقتضي العدم، وحينئذٍ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أخلّ به من قبيل الأوّل، لزم ترتيب أثر فوت السّجدة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إنْ كان من قبيل الثاني، فإنْ تضمّن الدليل على أنّ السّجدة الواحدة المنسيّة يجب قضاءها، وما دلّ على إعادة الصَّلاة بنسيان السّجدتين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ظاهران في إرادة السّجدة الشرعيّة دون المسمّى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قبيل الثالث، صَحّت الصَّلاة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الرأس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نسيان الرفع بالمرّة، وإلّا فلا يتحقّق نسيان الرفع مع تحقّق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من حصول التعدّد بالنيّة، واضح الدفع، لأنّه بالنيّة لايصدق أنّه سجد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طمأنينته في الرّفع منهما، أو طمأنينة الجلوس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8" w:name="pg11801_108105"/>
    </w:p>
    <w:p>
      <w:pPr>
        <w:pStyle w:val="Heading6"/>
        <w:numPr>
          <w:ilvl w:val="5"/>
          <w:numId w:val="1"/>
        </w:numPr>
        <w:rPr/>
      </w:pPr>
      <w:bookmarkStart w:id="219" w:name="__RefHeading___Toc10506872_73709187"/>
      <w:bookmarkStart w:id="220" w:name="_Toc84"/>
      <w:bookmarkEnd w:id="218"/>
      <w:bookmarkEnd w:id="219"/>
      <w:r>
        <w:rPr>
          <w:rtl w:val="true"/>
        </w:rPr>
        <w:t>القسم الثاني ما يوجب التلافي</w:t>
      </w:r>
      <w:bookmarkEnd w:id="220"/>
    </w:p>
    <w:p>
      <w:pPr>
        <w:pStyle w:val="Heading6"/>
        <w:numPr>
          <w:ilvl w:val="5"/>
          <w:numId w:val="1"/>
        </w:numPr>
        <w:rPr/>
      </w:pPr>
      <w:bookmarkStart w:id="221" w:name="__RefHeading___Toc10506874_73709187"/>
      <w:bookmarkStart w:id="222" w:name="_Toc85"/>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التلافي، فمن ذَكَر أنّه لم يقرأ الحمد وهو في السّورة، قرأ الحمد، وأعاد السّورة</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10506876_73709187"/>
      <w:bookmarkStart w:id="224" w:name="_Toc86"/>
      <w:bookmarkEnd w:id="223"/>
      <w:r>
        <w:rPr>
          <w:rtl w:val="true"/>
        </w:rPr>
        <w:t>ما يتدارك من غير سَجدة السَّهو</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مايوجب التلافي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ذَكَر أنّه لم يَقرأ الحمد وهو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قبل أن يركع،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الحمَد وأعاد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401"/>
      </w:r>
      <w:r>
        <w:rPr>
          <w:rFonts w:ascii="Amiri" w:hAnsi="Amiri" w:eastAsia="Amiri" w:cs="Amiri"/>
          <w:color w:val="111111"/>
          <w:sz w:val="28"/>
          <w:sz w:val="28"/>
          <w:szCs w:val="28"/>
          <w:rtl w:val="true"/>
          <w:lang w:bidi="ar-SA"/>
        </w:rPr>
        <w:t>، لأنّه مقتضى القاعدة، فإنّ السّورة واقعة في غير محلّها، فتكون زائدة، فيجب أن يَقرأ الحمد لبقاء محلّه، ثمّ الإتيان بالسّورة بناءً على وجوب السّورة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الترتيب بين الأجزاء من شرائط الصَّلاة لا من شرائطها، فإذا أتى بالسّورة قبل الحمد، فلم يكن مخلّاً بالسّورة، بل هي وقعت بحيث لا يمكن تداركه إلّا بإعادة الصَّلاة،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صحّتها، وسقوط شرطيّة الترتيب، فلابدَّ من الإتيان بالفاتحة بعدها ويجتزي بذلك، نعم إذا بقي من السّورة شيء أتمّها بعدها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المأمور بها، هي السّورة الخاصّة لا طبيعتها، أي الواقعة بعد الحمد، فالترتيب شرطٌ فيها، وعليه فحيث أنّ محلّها باقٍ‌، فلابدَّ من الإتيان بها بعد الفاتحة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وجوب الإتيان بما أتى به نسياناً وعدمه، كلامٌ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 قراءة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اُمّ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يركع فليُعِد أُمّ القرآن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سماعة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خبر علي بن جعفر، عن أخيه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افتتح الصَّلاة، فقرأ سورةً قبل فاتحة الكتاب، ثمّ ذكر بعدما فرغ من السّورة‌؟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ويَقرأ فاتحة الكتاب فيما يَستقبل</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الإتيان بالفاتحة في هذه الرّكعة، وأنّه يكتفي بإتيانها في الرّكعة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توهمٌ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كونه مسوقاً لبيان كيفيّة المُضيّ‌، دفعاً لتوهّم مُضيّ محلّ فاتحة الكتاب لأنّه قبل السّورة،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 بالابتداء من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دفع توهّمٍ آخر، وهو دلالته على عدم لزوم استئناف الحمد، ثمّ الإتيان بالسّورة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هل تجب عليه سجدة السَّهو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لزومها لكلّ زيادةٍ ونقيصة وعدمه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المشهور بين الأصحاب</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يقرأ بعد الحمد غير السّورة التي أتى بها نسياناً قبله، كما أنّ له الإتيان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الإتيان بما أتى به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إطلاق أدلّة وجوب السّورة على القول به، المقتضي للتخيير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نسيتَ الحمد حتّى قرأت السّورة، ثمّ ذكرت قبل أن تركع، فاقرأ الحمد وأعِد السّورة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وبتقريب أنّ اللّام للعهد الذكري، وتكون إشارة إلى لزوم إعادة ما قَرأ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السّورة إنّما تتعيّن بإرادتها لا بالشروع فيها، وعليه فالسّورة التي أتى بها بما أنّها مرادة تتعيّن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عن المحقّق النائيني رحمه الله</w:t>
      </w:r>
      <w:r>
        <w:rPr>
          <w:rStyle w:val="FootnoteAnchor"/>
          <w:rtl w:val="true"/>
        </w:rPr>
        <w:footnoteReference w:id="410"/>
      </w:r>
      <w:r>
        <w:rPr>
          <w:rFonts w:ascii="Amiri" w:hAnsi="Amiri" w:eastAsia="Amiri" w:cs="Amiri"/>
          <w:color w:val="111111"/>
          <w:sz w:val="28"/>
          <w:sz w:val="28"/>
          <w:szCs w:val="28"/>
          <w:rtl w:val="true"/>
          <w:lang w:bidi="ar-SA"/>
        </w:rPr>
        <w:t>من العثور على روايةٍ تدلّ على التعيّن بالتعيين قبل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 مضافاً إلى أنّ الظاهر من اللّام كونها للجنس، ولا صارف عن هذا الظهور في الخبر، بل الظاهر 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أنّها ليست للعهد فكذلك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دعوى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حجيّته للإرسال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الإتيان بسورة غير السورة التي كان قد قرأها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5" w:name="pg11801_108108"/>
    </w:p>
    <w:p>
      <w:pPr>
        <w:pStyle w:val="BookText"/>
        <w:rPr/>
      </w:pPr>
      <w:bookmarkEnd w:id="225"/>
      <w:r>
        <w:rPr>
          <w:rFonts w:ascii="Amiri" w:hAnsi="Amiri" w:eastAsia="Amiri" w:cs="Amiri"/>
          <w:color w:val="111111"/>
          <w:sz w:val="28"/>
          <w:sz w:val="28"/>
          <w:szCs w:val="28"/>
          <w:rtl w:val="true"/>
          <w:lang w:bidi="ar-SA"/>
        </w:rPr>
        <w:t>ومَنْ ذَكَر ترك الرّكوع قبل السّجود رَكَع</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10506878_73709187"/>
      <w:bookmarkStart w:id="227" w:name="_Toc87"/>
      <w:bookmarkEnd w:id="226"/>
      <w:r>
        <w:rPr>
          <w:rtl w:val="true"/>
        </w:rPr>
        <w:t>لو تذكر ترك الرّكوع قبل السّجود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ذَكر ترك الرّكوع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411"/>
      </w:r>
      <w:r>
        <w:rPr>
          <w:rFonts w:ascii="Amiri" w:hAnsi="Amiri" w:eastAsia="Amiri" w:cs="Amiri"/>
          <w:color w:val="111111"/>
          <w:sz w:val="28"/>
          <w:sz w:val="28"/>
          <w:szCs w:val="28"/>
          <w:rtl w:val="true"/>
          <w:lang w:bidi="ar-SA"/>
        </w:rPr>
        <w:t>كما عن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بالركوع لم يُمتثل، ومحلّ امتثاله باقٍ‌، فلابدَّ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زيادة الهُوي، فعلى فرض كونه من أجزاء الصَّلاة لا من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زيادة سهويّة، لا توجب البطلان،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الذي استُدلّ به لهذا القول، بحمله على ما قبل فوات المحلّ‌، للإجماع</w:t>
      </w:r>
      <w:r>
        <w:rPr>
          <w:rStyle w:val="FootnoteAnchor"/>
          <w:rtl w:val="true"/>
        </w:rPr>
        <w:footnoteReference w:id="414"/>
      </w:r>
      <w:r>
        <w:rPr>
          <w:rFonts w:ascii="Amiri" w:hAnsi="Amiri" w:eastAsia="Amiri" w:cs="Amiri"/>
          <w:color w:val="111111"/>
          <w:sz w:val="28"/>
          <w:sz w:val="28"/>
          <w:szCs w:val="28"/>
          <w:rtl w:val="true"/>
          <w:lang w:bidi="ar-SA"/>
        </w:rPr>
        <w:t>على عدم مشروعيّة قضائها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علمه إلى أهله أولى من هذا التأويل، كما أفاده بعض المحقّقين رحمه الله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لبطلان الصَّلاة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مبطليّة نسيان الرّكوع من النصّ والإجماع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الهُويّ إلى السّجود ليس من الأجزاء، فما لم يدخل في السّجود، يكون محلّ الرّكوع غير متجاوزٍ، فلا يصدق نسيان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أنّ نقصان الصَّلاة من الرّكوع، ولو كان تركه عن نسيانٍ‌، فإنّه يوجب البطلان في مقابل نقصانها من غير الأركان، لا أنّ نسيانه من حيث هو يعدّ من المبطلات، وفي المقام بما أنّه يمكن تدارك الرّكوع، فلا وجه لبطلان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المقام البحث عن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نَسي الرّكوع، وتذكّر بعد تحقّق مُسمّى السّجود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فالمنسوب إلى المشهور</w:t>
      </w:r>
      <w:r>
        <w:rPr>
          <w:rStyle w:val="FootnoteAnchor"/>
          <w:rtl w:val="true"/>
        </w:rPr>
        <w:footnoteReference w:id="416"/>
      </w:r>
      <w:r>
        <w:rPr>
          <w:rFonts w:ascii="Amiri" w:hAnsi="Amiri" w:eastAsia="Amiri" w:cs="Amiri"/>
          <w:color w:val="111111"/>
          <w:sz w:val="28"/>
          <w:sz w:val="28"/>
          <w:szCs w:val="28"/>
          <w:rtl w:val="true"/>
          <w:lang w:bidi="ar-SA"/>
        </w:rPr>
        <w:t xml:space="preserve">بطلان الصَّلاة، بل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17"/>
      </w:r>
      <w:r>
        <w:rPr>
          <w:rFonts w:ascii="Amiri" w:hAnsi="Amiri" w:eastAsia="Amiri" w:cs="Amiri"/>
          <w:color w:val="111111"/>
          <w:sz w:val="28"/>
          <w:sz w:val="28"/>
          <w:szCs w:val="28"/>
          <w:rtl w:val="true"/>
          <w:lang w:bidi="ar-SA"/>
        </w:rPr>
        <w:t xml:space="preserve">لم يقف على مَن فصّل بين السّجدة الواحدة والسّجدتين، سوى 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 وتبعه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من المناقشة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هي الصحّة، فان السّجدة الواحدة لوقوعها قبل الرّكوع زائدة، وحيثُ أنّ زيادتها غير عمديّة، فلا توجب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للبطلان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ما دلَّ على فساد الصَّلاة بنسيان الرّكوع إذا تذكّر بعدما يسجد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يركع حتّى يسجد ويقوم‌؟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ابراهيم عليه السلام عن الرّجل يَنسى أن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يضع كلّ شيء من ذلك موضعه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أنّه ترك ركعةً من الصَّلاة، وقد سجد سجدتين، وترك الرّكوع، استأنف الصَّلاة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بطلان الصَّلاة بنسيان الرّكوع، كخبر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ينسى أن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ظاهرٌ في إرادة التذكّر بعد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فلدلالته بمقتضى التعليل على أنّ البطلان إنّما هو فيما لا يمكن وضع كلّ جزءٍ في محلّه، وفي المقام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فلظهوره في نسيان الرّكوع في تمام المحلّ‌، مع أنّه لو سُلّم دلالته على ذلك، لابدَّ من تقييده بالتعليل في موثّق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بطلان الصَّلاة في الفرض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انحنى بقصد الرّكوع، فنسي في الأثناء، فهَوى إلى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نسيانه قبل الوصول إلى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وصوله إلى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قبل التجاوز عن أقصى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 هنا أربعة يقتضي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طرأ النسيان قبل الوصول إلى الحَدّ، وتذكّر بعد التجاوز عن أقصاه، فإنّه لا كلام في وجوب العود لإتيان الرّكوع، وفي جواز انتصابه قائماً بقصد الرّكوع، إنّما الكلام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العود إلى القيام‌؟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يجوز أن يعود إلى محلّ النسيان منحنياً، ثمّ الانحناء بقصد الرّكوع إلى حَدّه‌؟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يجوز أن يعود إلى حَدّ الرّكوع‌؟</w:t>
      </w:r>
    </w:p>
    <w:p>
      <w:p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الواجب هو المعنى الفعلي المصدري، فالواجبُ هو من بداية الانحناء من القيام إلى بلوغ حَدّ الرّكوع، وأنّ الملفّق من السابق واللّاحق ليس ركوعاً واحداً عن الاعتدال القيامي، فعلى ذلك لا يكفي العود إلى الرّكوع ولا إلى محلّ النسيان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القيام المتّصل بالركوع الذي هو من الأركان، هو الذي لم يفصّل بينه وبين الرّكوع، وفي المقام بما أنّه وقع بينهما فصلٌ‌، فلابدّ من القيام كي يتحقّق </w:t>
      </w:r>
    </w:p>
    <w:p>
      <w:pPr>
        <w:pStyle w:val="BookText"/>
        <w:rPr/>
      </w:pPr>
      <w:r>
        <w:rPr>
          <w:rFonts w:ascii="Amiri" w:hAnsi="Amiri" w:eastAsia="Amiri" w:cs="Amiri"/>
          <w:color w:val="111111"/>
          <w:sz w:val="28"/>
          <w:sz w:val="28"/>
          <w:szCs w:val="28"/>
          <w:rtl w:val="true"/>
          <w:lang w:bidi="ar-SA"/>
        </w:rPr>
        <w:t>القيام المتّصل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الواجب، وإنْ كان هو المعنى الفعلي المصدري، إلّاأنّه يكفي الملفّق من السابق واللّاحق، وأنّ القيام المتّصل بالركوع هو القيام المتّصل بمطلق الانحناء، وإنْ لم يصل إلى حَدّ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من الرّكوع هو المعنى الهيئي الاسم المصدري، وأنّ الهويّ مقدّمة له، وعلى هذا فلا يعتبر اتّصال القيام بالركوع، لتحقّق الفصل بينهما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طرأ النسيان قبل الوصول إلى حَدّ الرّكوع، وتذكّر قبل التجاوز عن أقصى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حكمه ممّا ذكرناه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طرأ النسيان بعد الوصول إلى حَدّ الرّكوع، وتذكّر بعد التجاوز عن أقصى الحَدّ، وحينئذٍ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عليه القيام والرّكوع عنه‌؟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عليه العود إلى حَدّ الرّكوع متقوّساً، ويأتي بالذِّكر، ويراعي فيه سائر الشرائط، كما عن بعضٍ‌</w:t>
      </w:r>
      <w:r>
        <w:rPr>
          <w:rStyle w:val="FootnoteAnchor"/>
          <w:rtl w:val="true"/>
        </w:rPr>
        <w:footnoteReference w:id="42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يجب عليه أن يهوي إلى السّجود، ولا يعود إلى الرّكوع، كما لعلّه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ليس عبارة عن الوصول إلى ذلك الحَدّ، بل يعتبر في صدقه انتهاء الانحناء، والهويّ إلى حَدّه الشرعي، وعليه ففي الفرض لم يتحقّق</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عليه العود إليه، وحيثُ أنّ القيام السابق لم يكن متّصلاً بالركوع لو عاد إلى حَدّ الرّكوع متقوّساً، وجب عليه حينئذٍ القيام والرّكوع منه، مع أنّ الرّكوع اسمٌ للانحناء الحاصل عن اعتدال قيامي، فلو نهض منحنياً لا يُقال إنّه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الرّكوع اسمٌ للمعنى الهيئي الاسم المصدري، فيكفي النهوض إليه منحنياً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الرّكوع لا يعتبر في صدقه انتهاء الانحناء، والهويّ إلى الحَدّ الشرعي، بل يكفي في صدقه الوصول إلى ذلك الحَدّ، وعليه فحيثُ إنّه تحقّق، وليس المنسيّ إلّاواجبات الرّكوع، من الذِّكر والطمأنينة وغيرهما، التي يخرج محلّها بالخروج عن الرّكوع، فلا يضرّ السَّهو عنه،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بعد كونها من قيود حال الصَّلاة لا من قيوده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الأخير، لأنّ اعتبار الانتهاء إلى الحَدّ في صدق الرّكوع، ممّا لم يدلّ عليه دليلٌ‌، ومقتضى الأصل عدمه، بناءً على ما هو الحقّ من جريان البراءة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والاستشهاد لإعتباره فيه، بأنّه لا يقال للهاوي للسجود إنّه ركع، وليس ذلك إلّالعدم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فإنّ عدم صدقه عليه إنّما هو لاعتبار القصد في مفهومه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الأقوال هو القول الثاني، إذ مع فرض عدم صدق الرّكوع على المأتي به، لو عاد إلى حَدّ الرّكوع متقوّساً، فإنّه وإنْ سُلّم صدق الرّكوع على تقوّسه من جهة أنّه اسمٌ للمعنى الهيئي الاسم المصدري، إلّاأنّه لعدم تحقّق القيام المتّصل بالركوع، لابدَّ من العود إلى القيام،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28" w:name="pg11801_108114"/>
    </w:p>
    <w:p>
      <w:pPr>
        <w:pStyle w:val="BookText"/>
        <w:rPr/>
      </w:pPr>
      <w:bookmarkEnd w:id="228"/>
      <w:r>
        <w:rPr>
          <w:rFonts w:ascii="Amiri" w:hAnsi="Amiri" w:eastAsia="Amiri" w:cs="Amiri"/>
          <w:color w:val="111111"/>
          <w:sz w:val="28"/>
          <w:sz w:val="28"/>
          <w:szCs w:val="28"/>
          <w:rtl w:val="true"/>
          <w:lang w:bidi="ar-SA"/>
        </w:rPr>
        <w:t>ومَنْ ذَكر بعد القيام تَرك سجدةٍ‌، قَعَد وسَجَد</w:t>
      </w:r>
    </w:p>
    <w:p>
      <w:pPr>
        <w:pStyle w:val="Heading6"/>
        <w:numPr>
          <w:ilvl w:val="5"/>
          <w:numId w:val="1"/>
        </w:numPr>
        <w:rPr/>
      </w:pPr>
      <w:bookmarkStart w:id="229" w:name="__RefHeading___Toc10506880_73709187"/>
      <w:bookmarkStart w:id="230" w:name="_Toc88"/>
      <w:bookmarkEnd w:id="229"/>
      <w:r>
        <w:rPr>
          <w:rtl w:val="true"/>
        </w:rPr>
        <w:t>تذكّر ترك السّجدة بعد القيام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ذَكَر بعد القيام تَرْك سَجدةٍ‌، قَعَد وسَجَد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427"/>
      </w:r>
      <w:r>
        <w:rPr>
          <w:rFonts w:ascii="Amiri" w:hAnsi="Amiri" w:eastAsia="Amiri" w:cs="Amiri"/>
          <w:color w:val="111111"/>
          <w:sz w:val="28"/>
          <w:sz w:val="28"/>
          <w:szCs w:val="28"/>
          <w:rtl w:val="true"/>
          <w:lang w:bidi="ar-SA"/>
        </w:rPr>
        <w:t>في لزوم العود إلى السّجود، وصحّة صلاته، لأنّه لا يلزم من العود إليه زيادة مبطلة، فتكون الأحكام المذكورة بمقتضى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يسجد سجدة من الثانية، حتّى قام، فَذَكَر وهو قائم أنّه لم يسجد؟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 فإذا ركع وذَكَر بعدُ أنّه لم يسجد، فليمض على صلاته، حتّى يُسلِّم ثمّ يسجدها فإنّها قضاء</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أبي بصير</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المقام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المنسيّ سجدتين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ظاهر غير واحدٍ من القدماء كالمفيد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وأبي الصّلاح</w:t>
      </w:r>
      <w:r>
        <w:rPr>
          <w:rStyle w:val="FootnoteAnchor"/>
          <w:rtl w:val="true"/>
        </w:rPr>
        <w:footnoteReference w:id="431"/>
      </w:r>
      <w:r>
        <w:rPr>
          <w:rFonts w:ascii="Amiri" w:hAnsi="Amiri" w:eastAsia="Amiri" w:cs="Amiri"/>
          <w:color w:val="111111"/>
          <w:sz w:val="28"/>
          <w:sz w:val="28"/>
          <w:szCs w:val="28"/>
          <w:rtl w:val="true"/>
          <w:lang w:bidi="ar-SA"/>
        </w:rPr>
        <w:t>، وابن إدريس</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ببطلان الصَّلاة، ولو تذكّر قبل الرّكوع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433"/>
      </w:r>
      <w:r>
        <w:rPr>
          <w:rFonts w:ascii="Amiri" w:hAnsi="Amiri" w:eastAsia="Amiri" w:cs="Amiri"/>
          <w:color w:val="111111"/>
          <w:sz w:val="28"/>
          <w:sz w:val="28"/>
          <w:szCs w:val="28"/>
          <w:rtl w:val="true"/>
          <w:lang w:bidi="ar-SA"/>
        </w:rPr>
        <w:t>هي الصحّة، وهي الأظهر لما تقدّم من بقاء المحلّ‌، وعدم لزوم الزيادة المبطلة من العود، والإتيان بهما، مضافاً إلى إطلاق خبر المعلى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بالنصوص</w:t>
      </w:r>
      <w:r>
        <w:rPr>
          <w:rStyle w:val="FootnoteAnchor"/>
          <w:rtl w:val="true"/>
        </w:rPr>
        <w:footnoteReference w:id="434"/>
      </w:r>
      <w:r>
        <w:rPr>
          <w:rFonts w:ascii="Amiri" w:hAnsi="Amiri" w:eastAsia="Amiri" w:cs="Amiri"/>
          <w:color w:val="111111"/>
          <w:sz w:val="28"/>
          <w:sz w:val="28"/>
          <w:szCs w:val="28"/>
          <w:rtl w:val="true"/>
          <w:lang w:bidi="ar-SA"/>
        </w:rPr>
        <w:t>الدالّة على بطلان الصَّلاة بنسيان السّجود، خرج منها نسيان سجدةٍ واحدة نصّاً وإجماعاً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نسيان الرّكوع من أنّها لا تدلّ على مبطليّة النسيان من حيث هو، بل المبطل نقصان الصَّلاة عن السّجدتين، فراجع</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علم نسيان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أن يَقعُد ويسجد، كما هو ظاهر المتن‌؟</w:t>
      </w:r>
    </w:p>
    <w:p>
      <w:pPr>
        <w:pStyle w:val="BookText"/>
        <w:rPr/>
      </w:pPr>
      <w:r>
        <w:rPr>
          <w:rFonts w:ascii="Amiri" w:hAnsi="Amiri" w:eastAsia="Amiri" w:cs="Amiri"/>
          <w:color w:val="111111"/>
          <w:sz w:val="28"/>
          <w:sz w:val="28"/>
          <w:szCs w:val="28"/>
          <w:rtl w:val="true"/>
          <w:lang w:bidi="ar-SA"/>
        </w:rPr>
        <w:t>أم لا يجب الجلوس مطلقاً، بل يجوز أن يهوي إلى السّجود دون الحاجة إلى الجلوس‌؟</w:t>
      </w:r>
    </w:p>
    <w:p>
      <w:pPr>
        <w:pStyle w:val="BookText"/>
        <w:rPr/>
      </w:pPr>
      <w:r>
        <w:rPr>
          <w:rFonts w:ascii="Amiri" w:hAnsi="Amiri" w:eastAsia="Amiri" w:cs="Amiri"/>
          <w:color w:val="111111"/>
          <w:sz w:val="28"/>
          <w:sz w:val="28"/>
          <w:szCs w:val="28"/>
          <w:rtl w:val="true"/>
          <w:lang w:bidi="ar-SA"/>
        </w:rPr>
        <w:t>أم يفصّل بين ما إذا علم بالجلوس بعد السّجدة الأُولى فلا يجب عليه الجلوس، وبين ما إذا علم بعدمه أو شكّ فيه فيجب عليه الجلوس‌؟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القول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علم بعدم الجلوس بعد الأُولى وجب عليه أن يقعد، لأنّه من أجزاء الصَّلاة، ومحلّه باقٍ‌، فيجب الإتيان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لعدم وجوبه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بإطلاق صحيح إسماعيل المتقدّم، فإنّه حكم فيه بوجوب الإتيان بالسّجدة، من دون تعرّض للزوم الجلوس، بلا استفصال عن كون ترك السّجدة الثانية مع ترك الجلوس بين السّجدتين أو مع الإتيان به، ولو كان الجلوس مع تركه واجباً، لزم التعرّض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وبتعذّر الجلوس الواجب، فإنّ الجلوس المقيّد بكون طرفيه السجدتان من غير تخلّل شيءٍ بينه وبينهما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الفرض بما أنّ القيام قد تخلّل، فيتعذّر الجلوس الواجب، فلا محالة يكون 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المقام مورداً للتمسّك بترك الاستفصال، فإنّ الجلوس غير السّجود، والمسؤول عنه هو الثاني دون الأوّل، وليس ترك الجلوس لازماً غالبيّاً لترك السّجدة، وعليه فعدم التعرّض له لايدلّ على عدم وجوبه لو علم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الواجب من الجلوس لم يثبت بالقيد المزبور، والأصل عدمه، مع أنّ الظاهر عدم اعتباره، لجواز الخروج عن الجلوس بالحركة يمنةً ويسرة، بما لا يعدّ من أفعال الصَّلاة بين السّجدتين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بالجلوس بعد الأُولى‌، لا يجب الجلوس وإنْ كان جلوسه بعدها لاعتقاد كونها الثانية، وأنّها جلسة الاستراحة، إذ الجلوس بين السّجدتين وبعدهما ليسا حقيقتين متغايرتين، كي يكون المعتبر في كلّ منهما عنواناً قصديّاً كالظهريّة والعصريّة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أتى به ولو باعتقاد أنّه بعد الثانية، فقد أتى بالمأمور به، ويكون الخطأ في التطبيق، فلا يجب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شكّ في الجلوس بعدها، فحيثُ أنّه في حال القيام تذكّر ترك السّجدة الثانية، فيكون قيامه زائداً ولا يعدّ من أجزاء الصَّلاة، فبالنسبة إلى الجلوس يكون الشكّ شكّاً في المحلّ‌، فيجب الإتيان به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القول الثالث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وَيَسجُد سَجدتي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أم لا كما هو خيرة جمعٍ من الأساطين</w:t>
      </w:r>
      <w:r>
        <w:rPr>
          <w:rStyle w:val="FootnoteAnchor"/>
          <w:rtl w:val="true"/>
        </w:rPr>
        <w:footnoteReference w:id="43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دلّ على عدم وجوبهما لنسيان السّجدة، وإن ذَكر بعد مضيّ محلّ التدراك كصحيح أبي بصير، وخبر محمّد بن منصور، وموثّق مصدق الآتية في القسم الثالث، لكن ستعرف أنّها حجّة في موردها، والتعدّي عنه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أنّه لا يجب سجدة السَّهو على مَنْ حفظ سهوه وأتمّه، كموثّق سماعة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مُعَلّى بن خُنَيس،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السّجدة من صلاته‌؟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ذكرها قبل ركوعه سَجَدها، وبنى على صلاته، ثمّ سجد سجدتي السَّهو بعد انصرافه، وإنْ ذكرها بعد ركوعه أعاد الصَّلاة</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للإرسال، فتأمّل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بالقول باستحبابهما لقاعدة التسامح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1" w:name="pg11801_108118"/>
    </w:p>
    <w:p>
      <w:pPr>
        <w:pStyle w:val="BookText"/>
        <w:rPr/>
      </w:pPr>
      <w:bookmarkEnd w:id="231"/>
      <w:r>
        <w:rPr>
          <w:rFonts w:ascii="Amiri" w:hAnsi="Amiri" w:eastAsia="Amiri" w:cs="Amiri"/>
          <w:color w:val="111111"/>
          <w:sz w:val="28"/>
          <w:sz w:val="28"/>
          <w:szCs w:val="28"/>
          <w:rtl w:val="true"/>
          <w:lang w:bidi="ar-SA"/>
        </w:rPr>
        <w:t>وكذا لو ذَكَر ترك التشهّد</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0506882_73709187"/>
      <w:bookmarkStart w:id="233" w:name="_Toc89"/>
      <w:bookmarkEnd w:id="232"/>
      <w:r>
        <w:rPr>
          <w:rtl w:val="true"/>
        </w:rPr>
        <w:t>حكم التذكّر قبل الدخول في الرّكن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التدارك فيما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تَرك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يركع، بلا خلافٍفيه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مقتضى القاعدة، لبقاء محلّه، وما أتى به من القيام وغيره زيادة غير عمديّة لا تُبطل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في الرّكعتين من الظهر ومن غيرها، ولم تتشهّد فيهما، فذكرت ذلك في الرّكعة الثالثة، قبل أن تركع، فاجلس وتشهّد وقُم فأتمّ صلاتك</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صحيحا ابن أبي يعفور</w:t>
      </w:r>
      <w:r>
        <w:rPr>
          <w:rStyle w:val="FootnoteAnchor"/>
          <w:rtl w:val="true"/>
        </w:rPr>
        <w:footnoteReference w:id="441"/>
      </w:r>
      <w:r>
        <w:rPr>
          <w:rFonts w:ascii="Amiri" w:hAnsi="Amiri" w:eastAsia="Amiri" w:cs="Amiri"/>
          <w:color w:val="111111"/>
          <w:sz w:val="28"/>
          <w:sz w:val="28"/>
          <w:szCs w:val="28"/>
          <w:rtl w:val="true"/>
          <w:lang w:bidi="ar-SA"/>
        </w:rPr>
        <w:t>وسليمان بن خالد</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سجدة السَّهو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بعض الأخبار الدالّ على أنّه لا سهو على من حفظ سهوه وأتمّه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وخصوص خبر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يسهو في الصَّلاة فينسى التشهّد؟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فيتشهّد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ليسجد سجدتي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سجدتا السَّهو</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ذَكر بعد التسليم تَرك التشهّد، أو الصَّلاة على النبيّ صلى الله عليه و آله، قضاه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 بعد التسليم ترك التشهّد، أو الصَّلاة على النبيّ صلى الله عليه و آله قضاه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أتى بما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في التشهّد، 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يفرغ من صلاته، وقد نسي التشهّد حتّى ينصرف‌؟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إنْكان قريباً رجع إليمكانه فتشهّد، وإلّا طلب مكاناً نظيفاًفتشهّد فيه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يستفاد من هذا الخبر أنّ ما يأتي به يكون تلافياً أم قضاءً‌، ولذلك لابدَّ من الرجوع إلى القواعد، وعليه فإذا لم يكن آتياً، يبطل مطلق وجوده، ويكون سلامه واقعاً في غير محلّه، لكن بما أنّ محلّ التشهّد باقٍ فعليه أن يأتي به كذلك ويُتمّ صلاته، وإنْ كان آتياً به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أنّه لو ترك الصَّلاة على النبيّ صلى الله عليه و آله قضاها، أي أتى بها وبما بعدها لو تذكّر قبل أن يأتي بما يبطل مطلق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بعده لا شيء عليه، وتكون صلاته صحيحة،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لوجوب قضائها في الفرض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مأمور بالإتيان بها، ولم يأت بها، فيبقى التكليف في عهدته إلى أن يخرج منه بفعلها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التشهّد يُقضي بالنصّ فكذا أبعاضه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الأصل فساد الصَّلاة بتركها، لأنّها من أجزائها، ولكن ثبت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بالإجماع</w:t>
      </w:r>
      <w:r>
        <w:rPr>
          <w:rStyle w:val="FootnoteAnchor"/>
          <w:rtl w:val="true"/>
        </w:rPr>
        <w:footnoteReference w:id="445"/>
      </w:r>
      <w:r>
        <w:rPr>
          <w:rFonts w:ascii="Amiri" w:hAnsi="Amiri" w:eastAsia="Amiri" w:cs="Amiri"/>
          <w:color w:val="111111"/>
          <w:sz w:val="28"/>
          <w:sz w:val="28"/>
          <w:szCs w:val="28"/>
          <w:rtl w:val="true"/>
          <w:lang w:bidi="ar-SA"/>
        </w:rPr>
        <w:t>صحّة الصَّلاة مع القضاء، وبدونه لم يُحرز كون المأتي به مبرءٌ‌، فمقتضى الأصل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الصَّلاة على النبيّ صلى الله عليه و آله واجبة في التشهّد، وقد فات محلّها، والقضاء يحتاج إلى أمرٍ جديد وهو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بتركها إنْ كان عن 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قضائها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4" w:name="pg11801_108121"/>
    </w:p>
    <w:p>
      <w:pPr>
        <w:pStyle w:val="Heading6"/>
        <w:numPr>
          <w:ilvl w:val="5"/>
          <w:numId w:val="1"/>
        </w:numPr>
        <w:rPr/>
      </w:pPr>
      <w:bookmarkStart w:id="235" w:name="__RefHeading___Toc10506884_73709187"/>
      <w:bookmarkStart w:id="236" w:name="_Toc90"/>
      <w:bookmarkEnd w:id="234"/>
      <w:bookmarkEnd w:id="235"/>
      <w:r>
        <w:rPr>
          <w:rtl w:val="true"/>
        </w:rPr>
        <w:t>القسم الثالث</w:t>
      </w:r>
      <w:r>
        <w:rPr>
          <w:rtl w:val="true"/>
        </w:rPr>
        <w:t xml:space="preserve">: </w:t>
      </w:r>
      <w:r>
        <w:rPr>
          <w:rtl w:val="true"/>
        </w:rPr>
        <w:t>الشك</w:t>
      </w:r>
      <w:bookmarkEnd w:id="236"/>
    </w:p>
    <w:p>
      <w:pPr>
        <w:pStyle w:val="Heading6"/>
        <w:numPr>
          <w:ilvl w:val="5"/>
          <w:numId w:val="1"/>
        </w:numPr>
        <w:rPr/>
      </w:pPr>
      <w:bookmarkStart w:id="237" w:name="__RefHeading___Toc10506886_73709187"/>
      <w:bookmarkStart w:id="238" w:name="_Toc91"/>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Heading6"/>
        <w:numPr>
          <w:ilvl w:val="5"/>
          <w:numId w:val="1"/>
        </w:numPr>
        <w:rPr/>
      </w:pPr>
      <w:bookmarkStart w:id="239" w:name="__RefHeading___Toc10506888_73709187"/>
      <w:bookmarkStart w:id="240" w:name="_Toc92"/>
      <w:bookmarkEnd w:id="239"/>
      <w:r>
        <w:rPr>
          <w:rtl w:val="true"/>
        </w:rPr>
        <w:t>ما يتدارك مع سَجدتي السَّهو</w:t>
      </w:r>
      <w:bookmarkEnd w:id="240"/>
    </w:p>
    <w:p>
      <w:pPr>
        <w:pStyle w:val="Heading6"/>
        <w:numPr>
          <w:ilvl w:val="5"/>
          <w:numId w:val="1"/>
        </w:numPr>
        <w:rPr/>
      </w:pPr>
      <w:bookmarkStart w:id="241" w:name="__RefHeading___Toc10506890_73709187"/>
      <w:bookmarkStart w:id="242" w:name="_Toc93"/>
      <w:bookmarkEnd w:id="241"/>
      <w:r>
        <w:rPr>
          <w:rtl w:val="true"/>
        </w:rPr>
        <w:t>اشارة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يُتدارك مع سَجدتي السَّهو عند المشهور، فقد ذكروا لذلك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تذكّر السَّجدة الواحدة بعد دخوله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ذكر التشهّد بعد الدخول في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يوجب نسيان السّجدة الواحدة بطلان الصَّلاة مطلقاً كما عن العُمّاني</w:t>
      </w:r>
      <w:r>
        <w:rPr>
          <w:rStyle w:val="FootnoteAnchor"/>
          <w:rtl w:val="true"/>
        </w:rPr>
        <w:footnoteReference w:id="446"/>
      </w:r>
      <w:r>
        <w:rPr>
          <w:rFonts w:ascii="Amiri" w:hAnsi="Amiri" w:eastAsia="Amiri" w:cs="Amiri"/>
          <w:color w:val="111111"/>
          <w:sz w:val="28"/>
          <w:sz w:val="28"/>
          <w:szCs w:val="28"/>
          <w:rtl w:val="true"/>
          <w:lang w:bidi="ar-SA"/>
        </w:rPr>
        <w:t>والكليني</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يوجب البطلان إذا كانت من الأوليين، كما عن المفيد</w:t>
      </w:r>
      <w:r>
        <w:rPr>
          <w:rStyle w:val="FootnoteAnchor"/>
          <w:rtl w:val="true"/>
        </w:rPr>
        <w:footnoteReference w:id="448"/>
      </w:r>
      <w:r>
        <w:rPr>
          <w:rFonts w:ascii="Amiri" w:hAnsi="Amiri" w:eastAsia="Amiri" w:cs="Amiri"/>
          <w:color w:val="111111"/>
          <w:sz w:val="28"/>
          <w:sz w:val="28"/>
          <w:szCs w:val="28"/>
          <w:rtl w:val="true"/>
          <w:lang w:bidi="ar-SA"/>
        </w:rPr>
        <w:t>والشيخ</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يوجب ذلك، بل الصَّلاة محكومة بالصحّة، وإنّما يجب قضاؤها بعد الصَّلاة، كما هو المشهور بين الأصحاب‌؟</w:t>
      </w:r>
      <w:r>
        <w:rPr>
          <w:rStyle w:val="FootnoteAnchor"/>
          <w:rtl w:val="true"/>
        </w:rPr>
        <w:footnoteReference w:id="45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أقواها الثالث، وتشهد له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أن يسجد سجدة واحدة، فذكرها وهو قائم‌؟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سجدها إذا ذكرها مالم يركع، فإنْ كان قد رَكَع فليمض على صلاته، فإذا انصرف قضاها وليس عليه سهو</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يسجد السّجدة الثانية، قام فذكر وهو قائمٌ أنّه لم يسجد؟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 ما لم يركع، فإذا رَكَع فذَكَر بعد ركوعه إنّه لم يسجد، فليمضِ على صلاته حتّى يُسلِّم، ثمّ يسجدها فإنّها قضاء</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w:t>
      </w:r>
      <w:r>
        <w:rPr>
          <w:rStyle w:val="FootnoteAnchor"/>
          <w:rtl w:val="true"/>
        </w:rPr>
        <w:footnoteReference w:id="453"/>
      </w:r>
      <w:r>
        <w:rPr>
          <w:rFonts w:ascii="Amiri" w:hAnsi="Amiri" w:eastAsia="Amiri" w:cs="Amiri"/>
          <w:color w:val="111111"/>
          <w:sz w:val="28"/>
          <w:sz w:val="28"/>
          <w:szCs w:val="28"/>
          <w:rtl w:val="true"/>
          <w:lang w:bidi="ar-SA"/>
        </w:rPr>
        <w:t>، وخبر علي بن جعفر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مُعَلّى بن خُنَيس المتقدّم، عن أبي الحسن الماضي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ذكرها بعد ركوعه، أعاد الصَّلاة، ونسيان السّجدة في الأوليين والأخيرتين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المُعلّى ضعيف في نفسه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قُتل في حياة الإمام الصادق عليه السلام، فكيف له أن يروي عن الإمام الكاظم عليه السلام‌؟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في مدحه كثيرة</w:t>
      </w:r>
      <w:r>
        <w:rPr>
          <w:rStyle w:val="FootnoteAnchor"/>
          <w:rtl w:val="true"/>
        </w:rPr>
        <w:footnoteReference w:id="456"/>
      </w:r>
      <w:r>
        <w:rPr>
          <w:rFonts w:ascii="Amiri" w:hAnsi="Amiri" w:eastAsia="Amiri" w:cs="Amiri"/>
          <w:color w:val="111111"/>
          <w:sz w:val="28"/>
          <w:sz w:val="28"/>
          <w:szCs w:val="28"/>
          <w:rtl w:val="true"/>
          <w:lang w:bidi="ar-SA"/>
        </w:rPr>
        <w:t>، وهي تدلّ على عدالته، وما تضمّن ذمّه من النصوص، يدلّ على عدالته قبل إذاعته السِرّ الموجبة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متّفقة على سبق عدالته ووثاقته وجلالة قدره، فضلاً عن تعديل الشيخ إيّاه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يعتنى بتضعيف ابن الغضائري</w:t>
      </w:r>
      <w:r>
        <w:rPr>
          <w:rStyle w:val="FootnoteAnchor"/>
          <w:rtl w:val="true"/>
        </w:rPr>
        <w:footnoteReference w:id="458"/>
      </w:r>
      <w:r>
        <w:rPr>
          <w:rFonts w:ascii="Amiri" w:hAnsi="Amiri" w:eastAsia="Amiri" w:cs="Amiri"/>
          <w:color w:val="111111"/>
          <w:sz w:val="28"/>
          <w:sz w:val="28"/>
          <w:szCs w:val="28"/>
          <w:rtl w:val="true"/>
          <w:lang w:bidi="ar-SA"/>
        </w:rPr>
        <w:t>والنجاشي</w:t>
      </w:r>
      <w:r>
        <w:rPr>
          <w:rStyle w:val="FootnoteAnchor"/>
          <w:rtl w:val="true"/>
        </w:rPr>
        <w:footnoteReference w:id="459"/>
      </w:r>
      <w:r>
        <w:rPr>
          <w:rFonts w:ascii="IRNazanin" w:hAnsi="IRNazanin" w:eastAsia="IRNazanin"/>
          <w:color w:val="111111"/>
          <w:sz w:val="28"/>
          <w:sz w:val="28"/>
          <w:szCs w:val="28"/>
          <w:rtl w:val="true"/>
          <w:lang w:bidi="fa-IR"/>
        </w:rPr>
        <w:t>والمصنّف رحمه الله</w:t>
      </w:r>
      <w:r>
        <w:rPr>
          <w:rStyle w:val="FootnoteAnchor"/>
          <w:rtl w:val="true"/>
        </w:rPr>
        <w:footnoteReference w:id="460"/>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روايته عنه في زمان حياة أبيه، وإنْ كان طفلاً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معمولٌ به عند الأصحاب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إمّا أنْ يكون ظاهراً في نسيان السّجدة المأمور بها، وهي اثنتان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مطلقاً شاملاً لنسيانهما، ونسيان واحدة منهما، فيقيّد إطلاقه بالنصوص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البزنطي،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يُصلّي ركعتين، ثمّ ذكر في الثانية وهو راكع أنّه ترك السّجدة في الأُولى؟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السّجدة في الرّكعة الأُولى‌، فلم يَدر واحدة أو ثنتين، استقبلتَ الصَّلاة حتّى يصحّ لك ثنتان، وإذا كان في الثالثة أو الرابعة، فتركتَ سجدةً بعد أن تكون قد حفظت الرّكوع، أعدتَ السّجود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اختصّ بالركعة الأُولى، إلّاأنّه يثبت في الثانية لعدم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الدالّة على أنّه لا سهو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في الرّكعتين الأولتين فأعدهما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الحسن بن علي، عن الإمام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في الرّكعتين الأوليين، والسَّهو في الرّكعتين الأخيرتين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من الأصحاب عملوا بعمومها، وأوجبوا الإعادة بوقوع السَّهو في شيء من الأوليين، سجوداً كان أو غيره، وقد تقدّم بعض مواردها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مجملٌ ومضطرب، فإنّ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مع زيادة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استقبلت، وإبدال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والاقتصار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بيان المراد من الجملة الأُولى وجوهاً، لعلّ أمتنها أن يكون 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يدر واحدة أو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الرّكعة الواحدة والاثنتين لا في السّجدة، وعليه فالحكم بالإعادة إنّما هو لأجل الشكّ في الأوليين، ولا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يكن ملائماً مع سؤال السائل، إلّاأنّ هذا لازم على جميع الوجوه، إذ فرض الشكّ في الواحدة والأثنتين اُريد به الشكّ في الرّكعة أو السّجدة غير ما هو فرض السائل،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تمّت دلالته، لابدَّ من صرفه عن ظاهره، بما هو صريحٌ في الصحّة حتّى إذا كان المنسيّ من الرّكعتين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محمّد بن منصور،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 يَنسى السّجدة الثانية من الرّكعة الثانية، أو شكّ فيها؟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ألّا تكون وضعت وجهك إلّامرَّة واحدة، فإذا سلّمت سجدت واحدة، وتضع وجهك مرّةً‌، وليس عليك سهو</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بشير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ذكر أنّه لم يسجد في الرّكعتين الأولتين إلّا سجدة، وهو في التشهّد الأوّل‌؟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ينهض، وإذا ذكره وهو في التشهّد الثاني قبل أن يُسلِّم،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43" w:name="pg11801_108126"/>
    </w:p>
    <w:p>
      <w:pPr>
        <w:pStyle w:val="BookText"/>
        <w:rPr/>
      </w:pPr>
      <w:bookmarkEnd w:id="243"/>
      <w:r>
        <w:rPr>
          <w:rFonts w:ascii="Amiri" w:hAnsi="Amiri" w:eastAsia="Amiri" w:cs="Amiri"/>
          <w:color w:val="111111"/>
          <w:sz w:val="28"/>
          <w:sz w:val="28"/>
          <w:szCs w:val="28"/>
          <w:rtl w:val="true"/>
          <w:lang w:bidi="ar-SA"/>
        </w:rPr>
        <w:t>فليسجدها ثمّ يُسلِّم ثمّ يَسجد سَجدتي السَّهو</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مُعَلّى المتضمّن لإستواء نسيان السّجدة في الأوليين الأخيرتين</w:t>
      </w:r>
      <w:r>
        <w:rPr>
          <w:rStyle w:val="FootnoteAnchor"/>
          <w:rtl w:val="true"/>
        </w:rPr>
        <w:footnoteReference w:id="467"/>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الأولين لا يخلوان عن الإشكال، إلّاأنّ في الأخيرة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الجواب عن الوجه الثاني، فإنّ تلك النصوص لو تمّت دلالتها، وجب تقييدها بخبر مُعَلّى، مع أنّها مسوقة لبيان حكم الشكّ في الرَّكعات، وليست في مقام بيان حكم السَّهو في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المشهور أظهر</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0506892_73709187"/>
      <w:bookmarkStart w:id="245" w:name="_Toc94"/>
      <w:bookmarkEnd w:id="244"/>
      <w:r>
        <w:rPr>
          <w:rtl w:val="true"/>
        </w:rPr>
        <w:t>محلّ قضاء السّجدة</w:t>
      </w:r>
      <w:bookmarkEnd w:id="245"/>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قضاء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Style w:val="FootnoteAnchor"/>
          <w:rtl w:val="true"/>
        </w:rPr>
        <w:footnoteReference w:id="468"/>
      </w:r>
      <w:r>
        <w:rPr>
          <w:rFonts w:ascii="Amiri" w:hAnsi="Amiri" w:eastAsia="Amiri" w:cs="Amiri"/>
          <w:color w:val="111111"/>
          <w:sz w:val="28"/>
          <w:sz w:val="28"/>
          <w:szCs w:val="28"/>
          <w:rtl w:val="true"/>
          <w:lang w:bidi="ar-SA"/>
        </w:rPr>
        <w:t>أنّه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العِزيّة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بعد الرّكوع، فليسجد في الثانية ثلاث سجدات، واحدة منها قضاء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الحسن علي بن بابويه</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السّجدة المنسيّة من الرّكعة الأُولى‌، </w:t>
      </w:r>
    </w:p>
    <w:p>
      <w:pPr>
        <w:pStyle w:val="BookText"/>
        <w:rPr/>
      </w:pPr>
      <w:r>
        <w:rPr>
          <w:rFonts w:ascii="Amiri" w:hAnsi="Amiri" w:eastAsia="Amiri" w:cs="Amiri"/>
          <w:color w:val="111111"/>
          <w:sz w:val="28"/>
          <w:sz w:val="28"/>
          <w:szCs w:val="28"/>
          <w:rtl w:val="true"/>
          <w:lang w:bidi="ar-SA"/>
        </w:rPr>
        <w:t>تُقضى في الرّكعة الثالثة، وسجود الثانية إذا ذُكِرت بعد الرّكوع الثالثة، يُقضى في الرّكعة الرابعة، وسجود الثالثة يُقضى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أيقن بترك السّجدة بعد ركوعه في الثالثة، سجدها قبل 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المشهور أظهر، وتشهد له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حكي عن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اعترف غير واحدٍ</w:t>
      </w:r>
      <w:r>
        <w:rPr>
          <w:rStyle w:val="FootnoteAnchor"/>
          <w:rtl w:val="true"/>
        </w:rPr>
        <w:footnoteReference w:id="472"/>
      </w:r>
      <w:r>
        <w:rPr>
          <w:rFonts w:ascii="Amiri" w:hAnsi="Amiri" w:eastAsia="Amiri" w:cs="Amiri"/>
          <w:color w:val="111111"/>
          <w:sz w:val="28"/>
          <w:sz w:val="28"/>
          <w:szCs w:val="28"/>
          <w:rtl w:val="true"/>
          <w:lang w:bidi="ar-SA"/>
        </w:rPr>
        <w:t>بعدم الوقوف على مستنده، وقد استدلّ بعضهم له بإطلاق صحيح ابن أبي يعفور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نسى الرّجل سجدةً‌، وأيقن أنّه قد تركها، فليسجدها بعدما يقعد قبل أن يُسلِّم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إطلاقه يشمل القعود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كالصريح في إرادة القعود في الرّكعة الأخيرة، بل وفي كون السّجدة بعد التشهّد قبل السَّلام، ولذلك حَمَله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على ما ذهب إليه من استحباب التسليم، وعلى ذلك فهو أجنبيٌ عن ذلك، وحيثٌ إنّه غير معمول به فيُطرح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ما هو مذكور في</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نسيتَ السّجدة من الرّكعة الأُولى‌، ثمّ ذكرت في الثانية، من قبل أن تركع، فارسل نفسك واسجدها ثمّ قُم إلى الثالثة، وأعِد القراءة، فإنْ ذكرتها بعدما ركعت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فاقضها في الرّكعة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تكرّر منَّا من عدم حجيّة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بخبر ابن أبي يعفور المتقدّم، وخبر جعفر بن بشير الآتي، وحيث أنّهما غير معمول بهما فلا يُعتمد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ما التزم به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سجدة السَّهو لنسيان السّجدة، كما هو المشهور</w:t>
      </w:r>
      <w:r>
        <w:rPr>
          <w:rStyle w:val="FootnoteAnchor"/>
          <w:rtl w:val="true"/>
        </w:rPr>
        <w:footnoteReference w:id="476"/>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شهرةً كادت تكون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لاتجب، كماعن الصدوقين</w:t>
      </w:r>
      <w:r>
        <w:rPr>
          <w:rStyle w:val="FootnoteAnchor"/>
          <w:rtl w:val="true"/>
        </w:rPr>
        <w:footnoteReference w:id="479"/>
      </w:r>
      <w:r>
        <w:rPr>
          <w:rFonts w:ascii="Amiri" w:hAnsi="Amiri" w:eastAsia="Amiri" w:cs="Amiri"/>
          <w:color w:val="111111"/>
          <w:sz w:val="28"/>
          <w:sz w:val="28"/>
          <w:szCs w:val="28"/>
          <w:rtl w:val="true"/>
          <w:lang w:bidi="ar-SA"/>
        </w:rPr>
        <w:t>والعُمّاني</w:t>
      </w:r>
      <w:r>
        <w:rPr>
          <w:rStyle w:val="FootnoteAnchor"/>
          <w:rtl w:val="true"/>
        </w:rPr>
        <w:footnoteReference w:id="480"/>
      </w:r>
      <w:r>
        <w:rPr>
          <w:rFonts w:ascii="Amiri" w:hAnsi="Amiri" w:eastAsia="Amiri" w:cs="Amiri"/>
          <w:color w:val="111111"/>
          <w:sz w:val="28"/>
          <w:sz w:val="28"/>
          <w:szCs w:val="28"/>
          <w:rtl w:val="true"/>
          <w:lang w:bidi="ar-SA"/>
        </w:rPr>
        <w:t>والمفيد</w:t>
      </w:r>
      <w:r>
        <w:rPr>
          <w:rStyle w:val="FootnoteAnchor"/>
          <w:rtl w:val="true"/>
        </w:rPr>
        <w:footnoteReference w:id="481"/>
      </w:r>
      <w:r>
        <w:rPr>
          <w:rFonts w:ascii="Amiri" w:hAnsi="Amiri" w:eastAsia="Amiri" w:cs="Amiri"/>
          <w:color w:val="111111"/>
          <w:sz w:val="28"/>
          <w:sz w:val="28"/>
          <w:szCs w:val="28"/>
          <w:rtl w:val="true"/>
          <w:lang w:bidi="ar-SA"/>
        </w:rPr>
        <w:t>وأكثرالمتأخّرين</w:t>
      </w:r>
      <w:r>
        <w:rPr>
          <w:rStyle w:val="FootnoteAnchor"/>
          <w:rtl w:val="true"/>
        </w:rPr>
        <w:footnoteReference w:id="48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وجوبها لكلّ زيادةٍ ونقيصه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وجوبها لمطلق السَّهو</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جعفر بن بشير، عن أحدهم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ذكر أنّه لم يسجد في الرّكعتين الأولتين إلّاسجدة، وهو في التشهّد الأوّل‌؟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فليسجدها ثمّ لينهض، وإذا ذَكَره وهو في التشهّد الثاني، قبل أن يُسلِّم، فليسجدها ثمّ يُسلِّم، ثمّ يسجد سجدتي السَّهو</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لو تمّ دلالتهما، لزم تقييد إطلاقهما بالنصوص الدالّة على عدم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نَسي أن يسجد سجدةً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رَكَع فليمضِ على صلاته، فإذا انصرف قضاها، وليس عليه سهو</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محمّد بن منصور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الرّكوع أو يَنسى سجدة، هل عليه سجدتا السَّهو؟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أتمَّ الصَّلاة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العمل بجزءٍ منه لمعارضٍ أقوى‌، لا يُسقطه عن الحجيّة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جعفر، فلأنّه مع قطع النظر عن سنده، لو تمّت دلالته، لابدَّ من صرفه عن ظاهره، وحمله على الاستحباب بقرينة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6" w:name="pg11801_108130"/>
    </w:p>
    <w:p>
      <w:pPr>
        <w:pStyle w:val="Heading6"/>
        <w:numPr>
          <w:ilvl w:val="5"/>
          <w:numId w:val="1"/>
        </w:numPr>
        <w:rPr/>
      </w:pPr>
      <w:bookmarkStart w:id="247" w:name="__RefHeading___Toc10506894_73709187"/>
      <w:bookmarkStart w:id="248" w:name="_Toc95"/>
      <w:bookmarkEnd w:id="246"/>
      <w:bookmarkEnd w:id="247"/>
      <w:r>
        <w:rPr>
          <w:rtl w:val="true"/>
        </w:rPr>
        <w:t>قضاء التشهّد</w:t>
      </w:r>
      <w:bookmarkEnd w:id="248"/>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قضاء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489"/>
      </w:r>
      <w:r>
        <w:rPr>
          <w:rFonts w:ascii="Amiri" w:hAnsi="Amiri" w:eastAsia="Amiri" w:cs="Amiri"/>
          <w:color w:val="111111"/>
          <w:sz w:val="28"/>
          <w:sz w:val="28"/>
          <w:szCs w:val="28"/>
          <w:rtl w:val="true"/>
          <w:lang w:bidi="ar-SA"/>
        </w:rPr>
        <w:t>صحّة الصَّلاة ولزوم قضائه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490"/>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92"/>
      </w:r>
      <w:r>
        <w:rPr>
          <w:rFonts w:ascii="Amiri" w:hAnsi="Amiri" w:eastAsia="Amiri" w:cs="Amiri"/>
          <w:color w:val="111111"/>
          <w:sz w:val="28"/>
          <w:sz w:val="28"/>
          <w:szCs w:val="28"/>
          <w:rtl w:val="true"/>
          <w:lang w:bidi="ar-SA"/>
        </w:rPr>
        <w:t>القول بأنّه يُجزي التشهّد الذي في سجدتي السَّهو عن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يفرغ من صلاته، وقد نَسي التشهّد حتّى ينصرف‌؟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قريباً رجع إلى مكانه فتشهّد، وإلّا طلب مكاناً نظيفاً فتشهّد فيه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يشمل نسيان التشهّد الأوّل، وأمّا إطلاقه بالنسبة إلى ما بعد صدور المنافي، فسيأتي الكلام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في الرّكعتين </w:t>
      </w:r>
    </w:p>
    <w:p>
      <w:pPr>
        <w:pStyle w:val="BookText"/>
        <w:rPr/>
      </w:pPr>
      <w:r>
        <w:rPr>
          <w:rFonts w:ascii="Amiri" w:hAnsi="Amiri" w:eastAsia="Amiri" w:cs="Amiri"/>
          <w:color w:val="111111"/>
          <w:sz w:val="28"/>
          <w:sz w:val="28"/>
          <w:szCs w:val="28"/>
          <w:rtl w:val="true"/>
          <w:lang w:bidi="ar-SA"/>
        </w:rPr>
        <w:t>الأولتين، ولم تتشهّد، فذكرت قبل أن تركع، فاقعد فتشهّد، وإنْ لم تَذكُر حتّى تركع، فامض في صلاتك كما أنتَ‌، فإذا انصرفتَ سجدتَ سجدتين لا ركوع فيهما، ثمّ تتشهّد التشهّد الذي فاتك</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ما هو المشهور واضحة، وأمّا تقديم سَجدتي السَّهو عليه فسيأتي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وبعموم ما دلَّ على وجوب قضاء ما يفوت من الصَّلاة، كصحيح ابن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شيئاً من الصَّلاة، ركوعاً أو سجوداً أو تكبيراً، ثمّ ذكرتَ فاصنع الذي فاتك سواء</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حكم</w:t>
      </w:r>
      <w:r>
        <w:rPr>
          <w:rStyle w:val="FootnoteAnchor"/>
          <w:rtl w:val="true"/>
        </w:rPr>
        <w:footnoteReference w:id="496"/>
      </w:r>
      <w:r>
        <w:rPr>
          <w:rFonts w:ascii="Amiri" w:hAnsi="Amiri" w:eastAsia="Amiri" w:cs="Amiri"/>
          <w:color w:val="111111"/>
          <w:sz w:val="28"/>
          <w:sz w:val="28"/>
          <w:szCs w:val="28"/>
          <w:rtl w:val="true"/>
          <w:lang w:bidi="ar-SA"/>
        </w:rPr>
        <w:t>، وخبر الحلبي</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النصوص لم يعمل بعمومها الأصحاب، بل وبما فيها من التكبيرة والرّكوع وحملها على السّجدة والتشهّد كما ترى‌، فلابدّ من طرحها أو ردّ علمها إلى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الاستدلال بالإجماع</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لاستنادالأصحاب إلى ما مرّ من الأدلّة، فلايعدّ إجماعاًتعبّديّاً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فالعمدة الأخبار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وأورد على الاستدلال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صحيح محمّد فظاهرٌ في وجوب قضاء التشهّد الأخير، ولا أقلّ من قابلية حمله عليه، فيُحمل بقرينة ما هو ظاهر في عدم وجوب قضاء الأوّل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وإنْ كان ظاهراً فيه، إلّاأنّه بقرينة تقديم السّجدتين، وما دلَّ على عدم وجوب القضاء، يُحمل التشهّد فيه على تشهّد سجدة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النصوص المستفاد منها عدم الوجوب،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ما بإطلاقه يدلّ عليه كصحيح سليمان بن خالد،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نَسي أن يجلس في الرّكعتين الأولتين‌؟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يركع فليجلس، وإنْ لم يذكر حتّى يركع فليتمّ صلاته، حتّى إذا فرغ فليُسلّم ويَسجد سَجدتي السَّهو</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صحاح ابن أبي يعفور</w:t>
      </w:r>
      <w:r>
        <w:rPr>
          <w:rStyle w:val="FootnoteAnchor"/>
          <w:rtl w:val="true"/>
        </w:rPr>
        <w:footnoteReference w:id="500"/>
      </w:r>
      <w:r>
        <w:rPr>
          <w:rFonts w:ascii="Amiri" w:hAnsi="Amiri" w:eastAsia="Amiri" w:cs="Amiri"/>
          <w:color w:val="111111"/>
          <w:sz w:val="28"/>
          <w:sz w:val="28"/>
          <w:szCs w:val="28"/>
          <w:rtl w:val="true"/>
          <w:lang w:bidi="ar-SA"/>
        </w:rPr>
        <w:t>، والفُضيل بن يسار</w:t>
      </w:r>
      <w:r>
        <w:rPr>
          <w:rStyle w:val="FootnoteAnchor"/>
          <w:rtl w:val="true"/>
        </w:rPr>
        <w:footnoteReference w:id="501"/>
      </w:r>
      <w:r>
        <w:rPr>
          <w:rFonts w:ascii="IRNazanin" w:hAnsi="IRNazanin" w:eastAsia="IRNazanin"/>
          <w:color w:val="111111"/>
          <w:sz w:val="28"/>
          <w:sz w:val="28"/>
          <w:szCs w:val="28"/>
          <w:rtl w:val="true"/>
          <w:lang w:bidi="fa-IR"/>
        </w:rPr>
        <w:t>، وابن سنان</w:t>
      </w:r>
      <w:r>
        <w:rPr>
          <w:rStyle w:val="FootnoteAnchor"/>
          <w:rtl w:val="true"/>
        </w:rPr>
        <w:footnoteReference w:id="502"/>
      </w:r>
      <w:r>
        <w:rPr>
          <w:rFonts w:ascii="Amiri" w:hAnsi="Amiri" w:eastAsia="Amiri" w:cs="Amiri"/>
          <w:color w:val="111111"/>
          <w:sz w:val="28"/>
          <w:sz w:val="28"/>
          <w:szCs w:val="28"/>
          <w:rtl w:val="true"/>
          <w:lang w:bidi="ar-SA"/>
        </w:rPr>
        <w:t>، والحلبي</w:t>
      </w:r>
      <w:r>
        <w:rPr>
          <w:rStyle w:val="FootnoteAnchor"/>
          <w:rtl w:val="true"/>
        </w:rPr>
        <w:footnoteReference w:id="503"/>
      </w:r>
      <w:r>
        <w:rPr>
          <w:rFonts w:ascii="Amiri" w:hAnsi="Amiri" w:eastAsia="Amiri" w:cs="Amiri"/>
          <w:color w:val="111111"/>
          <w:sz w:val="28"/>
          <w:sz w:val="28"/>
          <w:szCs w:val="28"/>
          <w:rtl w:val="true"/>
          <w:lang w:bidi="ar-SA"/>
        </w:rPr>
        <w:t>، وحسن الحسين بن أبي العلاء</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ما فيه إشعارٌ بذلك كموثّق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يَنسى أن يتشهّد؟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إيماءً بأنّ تشهّد سجدة السَّهو بدلٌ عن تشهّد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ما هو ظاهرٌ في ذلك كالفقه الرضوي</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المطلقة فهي تقيّد بما دلّ على وجوب القضاء، كما هو الشأن في جميع موارد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فيه إشعارٌ بالبدليّة، فهو غير كونه دالّاً عليها،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غير مرّة أنّه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لرفع اليد عن إطلاق صحيح محمّد، وعن خبر عليّ بن حمزة، مضافاً إلى عدم إمكان حمل خبر عليّ بن حمزة على تشهّد السّجدة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تتشهّد الذي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القول الثاني ضعيفٌ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 رجلٌ التشهّد في الصَّلاة، فذكر أنّه قال بسم اللّه وباللّه فقط، جازت صلاته، وإنْ لم يذكر شيئاً من التشهّد أعاد الصَّلاة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عليّ بن جعفر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لصراحة النصوص المتقدّمة في الصحّة، تُرفع اليد عن ظهورهما، ويُحملان على الاستحباب، وإنْ لم يكن هذا الجمع عرفيّاً يتعيّن طرحهما وردّ علمهما إلى أهلهما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509"/>
      </w:r>
      <w:r>
        <w:rPr>
          <w:rFonts w:ascii="Amiri" w:hAnsi="Amiri" w:eastAsia="Amiri" w:cs="Amiri"/>
          <w:color w:val="111111"/>
          <w:sz w:val="28"/>
          <w:sz w:val="28"/>
          <w:szCs w:val="28"/>
          <w:rtl w:val="true"/>
          <w:lang w:bidi="ar-SA"/>
        </w:rPr>
        <w:t>لزوم سجدة السَّهو لنسيان التشهّد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ابن أبي عقيل</w:t>
      </w:r>
      <w:r>
        <w:rPr>
          <w:rStyle w:val="FootnoteAnchor"/>
          <w:rtl w:val="true"/>
        </w:rPr>
        <w:footnoteReference w:id="512"/>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 وأبي الصّلاح</w:t>
      </w:r>
      <w:r>
        <w:rPr>
          <w:rStyle w:val="FootnoteAnchor"/>
          <w:rtl w:val="true"/>
        </w:rPr>
        <w:footnoteReference w:id="515"/>
      </w:r>
      <w:r>
        <w:rPr>
          <w:rFonts w:ascii="Amiri" w:hAnsi="Amiri" w:eastAsia="Amiri" w:cs="Amiri"/>
          <w:color w:val="111111"/>
          <w:sz w:val="28"/>
          <w:sz w:val="28"/>
          <w:szCs w:val="28"/>
          <w:rtl w:val="true"/>
          <w:lang w:bidi="ar-SA"/>
        </w:rPr>
        <w:t>العدم، حيث لم يذكروه يتعرّضوا له في عِداد ما يوجب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للنصوص، وظاهر خبر عليّ بن حمزة، وإنْ كان لزوم تقديم السّجدة على قضاء التشهّد، إلّاأنّ المشهور خلافه،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الأمر الوارد في الأخبار في الوجوب، ولأجله 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نَسي بعض التشهّد، وجب قضائه،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مادلَّ‌على قضاءأجزاء الصَّلاة، كصحيحي ابن سنان و حَكَم المتقدّمين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إذا وجب قضاء الجميع، وجب قضاء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أنّه لم يَعمل الأصحاب بعموم تلك الأخبار، لأنّ البناء على عمومها يستلزم القول بتخصيص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الملازمة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وجوب قضائه</w:t>
      </w:r>
      <w:r>
        <w:rPr>
          <w:rFonts w:eastAsia="Amiri" w:cs="Amiri" w:ascii="Amiri" w:hAnsi="Amiri"/>
          <w:color w:val="111111"/>
          <w:sz w:val="28"/>
          <w:szCs w:val="28"/>
          <w:rtl w:val="true"/>
          <w:lang w:bidi="ar-SA"/>
        </w:rPr>
        <w:t>.</w:t>
      </w:r>
      <w:bookmarkStart w:id="249" w:name="pg11801_108136"/>
    </w:p>
    <w:p>
      <w:pPr>
        <w:pStyle w:val="BookText"/>
        <w:rPr/>
      </w:pPr>
      <w:bookmarkEnd w:id="249"/>
      <w:r>
        <w:rPr>
          <w:rFonts w:ascii="Amiri" w:hAnsi="Amiri" w:eastAsia="Amiri" w:cs="Amiri"/>
          <w:color w:val="111111"/>
          <w:sz w:val="28"/>
          <w:sz w:val="28"/>
          <w:szCs w:val="28"/>
          <w:rtl w:val="true"/>
          <w:lang w:bidi="ar-SA"/>
        </w:rPr>
        <w:t>الشكّ في الصَّلاة</w:t>
      </w:r>
    </w:p>
    <w:p>
      <w:pPr>
        <w:pStyle w:val="Heading4"/>
        <w:numPr>
          <w:ilvl w:val="3"/>
          <w:numId w:val="1"/>
        </w:numPr>
        <w:rPr/>
      </w:pPr>
      <w:bookmarkStart w:id="250" w:name="__RefHeading___Toc10506896_73709187"/>
      <w:bookmarkStart w:id="251" w:name="_Toc96"/>
      <w:bookmarkEnd w:id="250"/>
      <w:r>
        <w:rPr>
          <w:rtl w:val="true"/>
        </w:rPr>
        <w:t>المقام الثاني</w:t>
      </w:r>
      <w:r>
        <w:rPr>
          <w:rtl w:val="true"/>
        </w:rPr>
        <w:t xml:space="preserve">: </w:t>
      </w:r>
      <w:r>
        <w:rPr>
          <w:rtl w:val="true"/>
        </w:rPr>
        <w:t>فيما إذا شكّ في وجود الخَلل،</w:t>
      </w:r>
      <w:bookmarkEnd w:id="251"/>
    </w:p>
    <w:p>
      <w:pPr>
        <w:pStyle w:val="Heading5"/>
        <w:numPr>
          <w:ilvl w:val="4"/>
          <w:numId w:val="1"/>
        </w:numPr>
        <w:rPr/>
      </w:pPr>
      <w:bookmarkStart w:id="252" w:name="__RefHeading___Toc10506898_73709187"/>
      <w:bookmarkStart w:id="253" w:name="_Toc97"/>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في أصل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في الرَّكعات الموجب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في أجزاء الصَّلاة وشروطها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الظنّ بعدد الرَّكعات وأجزاء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في الرَّكعات الموجب لصلاة الاحتياط أو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الشكّ الذي لااعتبار به</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0506900_73709187"/>
      <w:bookmarkStart w:id="255" w:name="_Toc98"/>
      <w:bookmarkEnd w:id="254"/>
      <w:r>
        <w:rPr>
          <w:rtl w:val="true"/>
        </w:rPr>
        <w:t>الفصل الأوّل</w:t>
      </w:r>
      <w:r>
        <w:rPr>
          <w:rtl w:val="true"/>
        </w:rPr>
        <w:t xml:space="preserve">: </w:t>
      </w:r>
      <w:r>
        <w:rPr>
          <w:rtl w:val="true"/>
        </w:rPr>
        <w:t>في الشكّ في أصل الصَّلاة</w:t>
      </w:r>
      <w:bookmarkEnd w:id="255"/>
    </w:p>
    <w:p>
      <w:pPr>
        <w:pStyle w:val="BookText"/>
        <w:rPr/>
      </w:pPr>
      <w:r>
        <w:rPr>
          <w:rFonts w:ascii="Amiri" w:hAnsi="Amiri" w:eastAsia="Amiri" w:cs="Amiri"/>
          <w:color w:val="111111"/>
          <w:sz w:val="28"/>
          <w:sz w:val="28"/>
          <w:szCs w:val="28"/>
          <w:rtl w:val="true"/>
          <w:lang w:bidi="ar-SA"/>
        </w:rPr>
        <w:t>أمّا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صلّى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الوقت باقياً أتى بها، وإنْ انقضى الوقت، لم يلتفت، وبنى على أنّه صَلّى بلا خلافٍ في ذلك، بل ظاهر جماعة</w:t>
      </w:r>
      <w:r>
        <w:rPr>
          <w:rStyle w:val="FootnoteAnchor"/>
          <w:rtl w:val="true"/>
        </w:rPr>
        <w:footnoteReference w:id="517"/>
      </w:r>
      <w:r>
        <w:rPr>
          <w:rFonts w:ascii="Amiri" w:hAnsi="Amiri" w:eastAsia="Amiri" w:cs="Amiri"/>
          <w:color w:val="111111"/>
          <w:sz w:val="28"/>
          <w:sz w:val="28"/>
          <w:szCs w:val="28"/>
          <w:rtl w:val="true"/>
          <w:lang w:bidi="ar-SA"/>
        </w:rPr>
        <w:t>كونهما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لكلا الحكمين، مصحّح زرارة والفُضيل،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وإنْ شككتَ بعدما خرج وقت الفوت، وقد دخل حائلٌ‌، فلا إعادة عليك من شيءٍ حتّى تستيقن، فإنْ استيقنتها فعليكَ أن تُصلّيها في أيّحالٍكنت</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صلّى العصر، ولم يدر أنّه صَلّى الظهر؟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الإتيان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يخلو عن قوّة، وتبعه أكثر المحشّين، وقد استدلّ المحقّق اليزدي رحمه الله</w:t>
      </w:r>
      <w:r>
        <w:rPr>
          <w:rStyle w:val="FootnoteAnchor"/>
          <w:rtl w:val="true"/>
        </w:rPr>
        <w:footnoteReference w:id="520"/>
      </w:r>
      <w:r>
        <w:rPr>
          <w:rFonts w:ascii="Amiri" w:hAnsi="Amiri" w:eastAsia="Amiri" w:cs="Amiri"/>
          <w:color w:val="111111"/>
          <w:sz w:val="28"/>
          <w:sz w:val="28"/>
          <w:szCs w:val="28"/>
          <w:rtl w:val="true"/>
          <w:lang w:bidi="ar-SA"/>
        </w:rPr>
        <w:t>على عدم لزوم الإتيان 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عدم الاعتناء، بناءً على كون المحلّ الملحوظ في الدليل، أعمٌّ من المحلّ العادي، وحيثُ أنّ مختاره هذا المبنى فيعلم من ذلك بناءه على عدم لزوم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المعاصرين</w:t>
      </w:r>
      <w:r>
        <w:rPr>
          <w:rStyle w:val="FootnoteAnchor"/>
          <w:rtl w:val="true"/>
        </w:rPr>
        <w:footnoteReference w:id="521"/>
      </w:r>
      <w:r>
        <w:rPr>
          <w:rFonts w:ascii="Amiri" w:hAnsi="Amiri" w:eastAsia="Amiri" w:cs="Amiri"/>
          <w:color w:val="111111"/>
          <w:sz w:val="28"/>
          <w:sz w:val="28"/>
          <w:szCs w:val="28"/>
          <w:rtl w:val="true"/>
          <w:lang w:bidi="ar-SA"/>
        </w:rPr>
        <w:t>جعل جريان قاعدة التجاوز مفروغاً عنه، وإنّما جعل مورد النقض والإبرام، في أنّ القاعدة هل تُثبت وجود المشكوك فيه بلحاظ صحّة الفعل المتجاوز، أو أنّها تُثبت آثار وجوده من غير هذه الجهة‌؟ ثمّيختارأخيراً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في الفصل الثالث أنّ قاعدة التجاوز لا تجري إلّافي صورة التجاوز عن المحلّ الشرعي، في موارد الشكّ في الوجود، ولا يكفي التجاوز عن المحلّ العادي، وعليه، فلا تجري في المقام، إذ محلّ الظهر الشرعي إنّما هو قبل العصر في صورة التذكّر لا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فرضنا جريانها، فلا أظنّ الترديد من أحدٍ في أنّها تُثبت آثار وجود المشكوك فيه من جميع الجهات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لزوم الإتيان بها، إلّاأنّه يدلّ على عدم لزوم الإتيان بها،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عن كتاب حريز، عن زرارة، عن أبي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جاء يقينٌ بعد حائل، قضاه ومضى على اليقين، ويقضي الحائل والشكّ جميعاً، فإنْ شكّ في الظهر فيما بينه وبين أن يُصلّي العصر قضاها، وإنْ دَخَله الشكّ بعد أن يُصلّي العصر، فقد مضت، إلّاأن يستيقن، لأنّ العصر حائلٌ فيما بينه وبين الظهر، فلا يدع الحائل لما كان من الشكّ إلّابيقين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صحيح زرارة والفضيل المتقدّم، الدالّ على لزوم الإتيان مع الشكّ في الوقت، والنسبة عموم من وجه فيتساقطان، والمرجع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النسبة وإنْ كانت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الشكّ في الوقت وخارجه، وصحيح زرارة والفضيل أعمٌّ من الشكّ في الأُولى من المترتبتين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لأظهريّة الأوّل يقدّم، وذلك فإنّه لو قدّم الصحيح، لزم عدم المورد، لقوله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العصر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مدخليّته في الحكم، وهذا بخلاف ما لو قُدّم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العرفي يقتضي تقديم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لزوم الإتيان بها بمقتضى هذا الخبر، وهو وإنْ كان مختصّاً بالظهرين، إلّاأنّه يثبت الحكم في العشائين،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الوقت مقدار أربع ركعات، وشكّ في إتيان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بإتيان العصر، لم يلتفت لهذا الشكّ‌، لما تقدّم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بعدم الإتيان بها، أو شكّ في الإتيان المحكوم بالعدم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القول باختصاص آخر الوقت بالعصر، كما هو المشهور</w:t>
      </w:r>
      <w:r>
        <w:rPr>
          <w:rStyle w:val="FootnoteAnchor"/>
          <w:rtl w:val="true"/>
        </w:rPr>
        <w:footnoteReference w:id="523"/>
      </w:r>
      <w:r>
        <w:rPr>
          <w:rFonts w:ascii="Amiri" w:hAnsi="Amiri" w:eastAsia="Amiri" w:cs="Amiri"/>
          <w:color w:val="111111"/>
          <w:sz w:val="28"/>
          <w:sz w:val="28"/>
          <w:szCs w:val="28"/>
          <w:rtl w:val="true"/>
          <w:lang w:bidi="ar-SA"/>
        </w:rPr>
        <w:t>، بني علىر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الإتيان بها، لكونه من الشكّ بعد مُضيّ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القول بعدم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الشكّ بعد الوقت، فلابدَّ من الإتيان بها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زرارة والفضيل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شككتَ بعدما خَرَج وقت الفوت، وقد دَخَل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مختصّاً بخروج الوقت رأساً، بل يشمل ما لو خَرَج الوقت الذي يكون مأموراً بالإتيان بالصّلاة المشكوك فيها، وعليه ففي المقام خَرَج وقت الظهر بهذا المعنى، فتجري فيها قاعدة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أنّه يمكن أن يقال بجريان قاعدة التجاوز، والحكم بصدور الصلاة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بقي من الوقت مقدار ركعةٍ‌، وشكّ في إتيان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يجبُ عليه الاعتناء بهذا الشكّ بواسطة دليل تنزيل الوقت‌؟</w:t>
      </w:r>
    </w:p>
    <w:p>
      <w:pPr>
        <w:pStyle w:val="BookText"/>
        <w:rPr/>
      </w:pPr>
      <w:r>
        <w:rPr>
          <w:rFonts w:ascii="Amiri" w:hAnsi="Amiri" w:eastAsia="Amiri" w:cs="Amiri"/>
          <w:color w:val="111111"/>
          <w:sz w:val="28"/>
          <w:sz w:val="28"/>
          <w:szCs w:val="28"/>
          <w:rtl w:val="true"/>
          <w:lang w:bidi="ar-SA"/>
        </w:rPr>
        <w:t xml:space="preserve">أم لا ينبغي له الاعتناء به، من جهة أنّ التنزيل ليس ناظراً إلى تنزيل الشكّ منزلة الشكّ في الوقت، مع أنّ التنزيل إنّما وقع لمن لم يُدرك الصَّلاة في الوقت الاختياري، وهو مشكوكٌ فيه، بل مقتضى الأخذ بالقاعدة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موضوعها، مع قطع النظر عن هذا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المكلّف المذكور مجموع الصَّلاة في الوقت المجعول للمختار، فيخرج به عن موضوع دليل تنزيل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في وجه عدم الاعتناء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دليل التنزيل، ترتيب جميع آثار بقاء الوقت منها هذا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وجهه ثانياً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إدراك الصَّلاة في الوقت الاختياري، وإنْ كان مشكوكاً فيه، </w:t>
      </w:r>
    </w:p>
    <w:p>
      <w:pPr>
        <w:pStyle w:val="BookText"/>
        <w:rPr/>
      </w:pPr>
      <w:r>
        <w:rPr>
          <w:rFonts w:ascii="Amiri" w:hAnsi="Amiri" w:eastAsia="Amiri" w:cs="Amiri"/>
          <w:color w:val="111111"/>
          <w:sz w:val="28"/>
          <w:sz w:val="28"/>
          <w:szCs w:val="28"/>
          <w:rtl w:val="true"/>
          <w:lang w:bidi="ar-SA"/>
        </w:rPr>
        <w:t>إلّا أنّه يجري استصحاب عدم الإتيان ويثبت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وجهه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تنزيل الوقت الجاري، مع قطع النظر عن القاعدة، يوجبُ رفع موضوع القاعدة، فكلٍّ من الدليلين يصلحُ لرفع موضوع الآخر، فلا محالة يتساقطان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التنزيل إنّما يصلحُ لذلك، بضميمة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عدم الإتيان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القاعدة حاكمة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جرى بما أنّه ينقّح الموضوع، ويوجبُ بضميمة دليل التنزيل ارتفاع موضوع القاعدة، فلا وجه للقول بتقدّمه عليه، فعلى هذا لا مناص عن التساقط، والرجوع إلى الاُصول العمليّة، وهي تقتضي لزوم الإتيان بها إنْ كان موضوع القضاء عدم الإتيان، وإنْ كان الموضوع هو الفوت، غير الثابت بأصالة عدم الإتيان،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لزوم 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فيما ذكرناه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صلاة العصر، أنّه هل صَلّى الظهر أم لا؟</w:t>
      </w:r>
    </w:p>
    <w:p>
      <w:pPr>
        <w:pStyle w:val="BookText"/>
        <w:rPr/>
      </w:pPr>
      <w:r>
        <w:rPr>
          <w:rFonts w:ascii="Amiri" w:hAnsi="Amiri" w:eastAsia="Amiri" w:cs="Amiri"/>
          <w:color w:val="111111"/>
          <w:sz w:val="28"/>
          <w:sz w:val="28"/>
          <w:szCs w:val="28"/>
          <w:rtl w:val="true"/>
          <w:lang w:bidi="ar-SA"/>
        </w:rPr>
        <w:t>فإنْ كان ذلك في الوقت المختصّ بالعصر، بنى على الإتيان بها لكونه شكّاً في الشيء بعد تجاوز محلّه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الوقت المشترك، فقاعدة التجاوز لا تجري، لما تقدّم في المسألة الثانية، بل مقتضى أصالة عدم الإتيان بالظهر، ومفهوم قاعدة التجاوز، بضميمة أخبار العدول عليه أن يعدل بنيّته إلى الظهر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القول بعدم الاعتناء بشكّه أيضاً، لأنّه مقتضى إطلاق مفهوم </w:t>
      </w:r>
    </w:p>
    <w:p>
      <w:pPr>
        <w:pStyle w:val="BookText"/>
        <w:rPr/>
      </w:pPr>
      <w:r>
        <w:rPr>
          <w:rFonts w:ascii="Amiri" w:hAnsi="Amiri" w:eastAsia="Amiri" w:cs="Amiri"/>
          <w:color w:val="111111"/>
          <w:sz w:val="28"/>
          <w:sz w:val="28"/>
          <w:szCs w:val="28"/>
          <w:rtl w:val="true"/>
          <w:lang w:bidi="ar-SA"/>
        </w:rPr>
        <w:t xml:space="preserve">قوله عليه السلام في 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المتقدّم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في الظهر فيما بينه وبين أن يُصلّي العصر قضاها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مقتضى إطلاق منطوق قوله عليه السلام 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دخله الشكّ بعد أن يُصلّي العصر فقد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يشمل ما لو شَرَع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محمولٌ على ذلك من جهة كونه تصريحاً بمفهوم الجملة الأُولى‌، فتأمّل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56" w:name="pg11801_108142"/>
    </w:p>
    <w:p>
      <w:pPr>
        <w:pStyle w:val="BookText"/>
        <w:rPr/>
      </w:pPr>
      <w:bookmarkEnd w:id="256"/>
      <w:r>
        <w:rPr>
          <w:rFonts w:ascii="Amiri" w:hAnsi="Amiri" w:eastAsia="Amiri" w:cs="Amiri"/>
          <w:color w:val="111111"/>
          <w:sz w:val="28"/>
          <w:sz w:val="28"/>
          <w:szCs w:val="28"/>
          <w:rtl w:val="true"/>
          <w:lang w:bidi="ar-SA"/>
        </w:rPr>
        <w:t>الشكّ إنْ كانَ في عَدَد الثنائيّة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0506902_73709187"/>
      <w:bookmarkStart w:id="258" w:name="_Toc99"/>
      <w:bookmarkEnd w:id="257"/>
      <w:r>
        <w:rPr>
          <w:rtl w:val="true"/>
        </w:rPr>
        <w:t>الفصل الثاني</w:t>
      </w:r>
      <w:r>
        <w:rPr>
          <w:rtl w:val="true"/>
        </w:rPr>
        <w:t xml:space="preserve">: </w:t>
      </w:r>
      <w:r>
        <w:rPr>
          <w:rtl w:val="true"/>
        </w:rPr>
        <w:t>عن الشّكوك في الرّكعات الباطلة</w:t>
      </w:r>
      <w:bookmarkEnd w:id="258"/>
    </w:p>
    <w:p>
      <w:pPr>
        <w:pStyle w:val="Heading6"/>
        <w:numPr>
          <w:ilvl w:val="5"/>
          <w:numId w:val="1"/>
        </w:numPr>
        <w:rPr/>
      </w:pPr>
      <w:bookmarkStart w:id="259" w:name="__RefHeading___Toc10506904_73709187"/>
      <w:bookmarkStart w:id="260" w:name="_Toc100"/>
      <w:bookmarkEnd w:id="259"/>
      <w:r>
        <w:rPr>
          <w:rtl w:val="true"/>
        </w:rPr>
        <w:t>حكم الشكّ في عدد الثنائيّة</w:t>
      </w:r>
      <w:bookmarkEnd w:id="260"/>
    </w:p>
    <w:p>
      <w:pPr>
        <w:pStyle w:val="Heading6"/>
        <w:numPr>
          <w:ilvl w:val="5"/>
          <w:numId w:val="1"/>
        </w:numPr>
        <w:rPr/>
      </w:pPr>
      <w:bookmarkStart w:id="261" w:name="__RefHeading___Toc10506906_73709187"/>
      <w:bookmarkStart w:id="262" w:name="_Toc101"/>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الشّكوك في الرّكعات الباطلة، وفيه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إنْ كان في عَدَد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للمشهور بوجوب إعادة الصَّلاة إذا كانت فريضةً كالصبح وصلاة المسافر،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526"/>
      </w:r>
      <w:r>
        <w:rPr>
          <w:rFonts w:ascii="Amiri" w:hAnsi="Amiri" w:eastAsia="Amiri" w:cs="Amiri"/>
          <w:color w:val="111111"/>
          <w:sz w:val="28"/>
          <w:sz w:val="28"/>
          <w:szCs w:val="28"/>
          <w:rtl w:val="true"/>
          <w:lang w:bidi="ar-SA"/>
        </w:rPr>
        <w:t>العلاء،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يشكّ في الفجر؟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والوتر والجمعة، من غير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السَّهو في صلاة الغداة‌؟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واحدةً صلّيت أم ثنتين، فأعِد الصَّلاة من أوّلها، والجمعة أيضاً إذا سهى فيها الإمام، فعليه أن يُعيد الصَّلاة، لأنّها ركعتان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الفضل الهاشمي، عن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يَدرِ أواحدةً صلّى أو ثنتين‌؟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الجُعفي وابن أبي يعفور، عن الإمام الباقر والإمام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أواحدةً صلّيت أو ثنتين فاستقبل</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إطلاق جملةٍ من هذه النصوص كالثلاثة الأخيرة، سيّما الموثّق منها، لما فيه من التعليل، عموم الحكم لكلّ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جملة منها وإنْ اختصّت بالنقيصة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خبري الهاشمي والجعفي 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جملةً اُخرى منها كصحيح العلاء وغيره بإطلاقها تعمّ الزيادة، وهي وإنْ كانت في الغداة والجمعة، ولكن لعدم الفصل بينهما وبين غيرهما يثبت ذلك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النصوص، بعد ضمّ بعضها إلى بعض، بضميمة عدم الفصل، ثبوت هذا الحكم لكلٍّ من الزيادة والنقيصة في كلّ ثنائيّة، نعم خرجت عنها النافلة، وسيأتي تنقيح القول فيها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Style w:val="FootnoteAnchor"/>
          <w:rtl w:val="true"/>
        </w:rPr>
        <w:footnoteReference w:id="530"/>
      </w:r>
      <w:r>
        <w:rPr>
          <w:rFonts w:ascii="Amiri" w:hAnsi="Amiri" w:eastAsia="Amiri" w:cs="Amiri"/>
          <w:color w:val="111111"/>
          <w:sz w:val="28"/>
          <w:sz w:val="28"/>
          <w:szCs w:val="28"/>
          <w:rtl w:val="true"/>
          <w:lang w:bidi="ar-SA"/>
        </w:rPr>
        <w:t>من القول بالتخيير بين الإعادة والبناء على الأقلّ‌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أنكر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هذا القول، وادّعى رحمه الله أنّه موافقٌ للمشهور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الوحيد</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بفساد نقل ذلك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مقتضى الجمع بين النصوص المتقدّمة، والنصوص الآمرة بالبناء على الأقلّ‌، كموثّق عبد اللّه ابن أبي يعفور،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يدري أركعتين صَلّى أم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ركعة</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خبرا الحسين بن أبي العلاء</w:t>
      </w:r>
      <w:r>
        <w:rPr>
          <w:rStyle w:val="FootnoteAnchor"/>
          <w:rtl w:val="true"/>
        </w:rPr>
        <w:footnoteReference w:id="534"/>
      </w:r>
      <w:r>
        <w:rPr>
          <w:rFonts w:ascii="IRNazanin" w:hAnsi="IRNazanin" w:eastAsia="IRNazanin"/>
          <w:color w:val="111111"/>
          <w:sz w:val="28"/>
          <w:sz w:val="28"/>
          <w:szCs w:val="28"/>
          <w:rtl w:val="true"/>
          <w:lang w:bidi="fa-IR"/>
        </w:rPr>
        <w:t>، وعبد الرحمن بن الحجّاج</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بإعادة الصَّلاة واستقبالها، ليس أمراً نفسيّاً، بل إنّما هو إرشادٌ إلى بطلان الصَّلاة، وعليه فلا معنى للتخيير بينه وبين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الجمع بوجهٍ آخر، وهو الالتزام بتعيّن البناء على الأقلّ‌، واستحباب إعادة الصَّلاة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العرف إذا عَرَض عليهم قوله عليه السلام في 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يعيد لأنّه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63" w:name="pg11801_108145"/>
    </w:p>
    <w:p>
      <w:pPr>
        <w:pStyle w:val="BookText"/>
        <w:rPr/>
      </w:pPr>
      <w:bookmarkEnd w:id="263"/>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ركعات التي مِنْ فرض اللّه لا يَدخُل فيهنّ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يحكمون بالتهافت بينهما بنحوٍ يستحيل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فالطائفتان متعارضتان، والترجيح مع الطائفة الأُولى للشهرة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عن ذلك، فهذه النصوص لا يُعتمد عليها، لإعراض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تضمّن من البناء على الأكثر، والإتيان بصلاة الاحتياط، كموثّقة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يدر صَلّى الفجر ركعتين أو ركعة‌؟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وينصرف ثم يقوم فيُصلّي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يعمل أحدٌ به فيطرح، مضافاً إلى معارضته مع ما هو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مجال لإنكار مبطليّة الشكّ في عدد الثنائيّة</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0506908_73709187"/>
      <w:bookmarkStart w:id="265" w:name="_Toc102"/>
      <w:bookmarkEnd w:id="264"/>
      <w:r>
        <w:rPr>
          <w:rtl w:val="true"/>
        </w:rPr>
        <w:t>تنبيهات</w:t>
      </w:r>
      <w:r>
        <w:rPr>
          <w:rtl w:val="true"/>
        </w:rPr>
        <w:t>:</w:t>
      </w:r>
      <w:bookmarkEnd w:id="265"/>
    </w:p>
    <w:p>
      <w:pPr>
        <w:pStyle w:val="Heading6"/>
        <w:numPr>
          <w:ilvl w:val="5"/>
          <w:numId w:val="1"/>
        </w:numPr>
        <w:rPr/>
      </w:pPr>
      <w:bookmarkStart w:id="266" w:name="__RefHeading___Toc10506910_73709187"/>
      <w:bookmarkStart w:id="267" w:name="_Toc103"/>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ثمّ إنّه ينبغي التنبيه على اُمور</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10506912_73709187"/>
      <w:bookmarkStart w:id="269" w:name="_Toc104"/>
      <w:bookmarkEnd w:id="268"/>
      <w:r>
        <w:rPr>
          <w:rtl w:val="true"/>
        </w:rPr>
        <w:t>المراد باليقين والحفظ والتثبّت الواردة في نصوص الباب</w:t>
      </w:r>
      <w:bookmarkEnd w:id="26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باليقين والحفظ والتثبّت الواردة في 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حتّى يستيقن أنّه قد أتمّ‌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 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حتّى يحفظ ويكون على يقين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270" w:name="pg11801_108146"/>
    </w:p>
    <w:p>
      <w:pPr>
        <w:pStyle w:val="BookText"/>
        <w:rPr/>
      </w:pPr>
      <w:bookmarkEnd w:id="270"/>
      <w:r>
        <w:rPr>
          <w:rFonts w:ascii="Amiri" w:hAnsi="Amiri" w:eastAsia="Amiri" w:cs="Amiri"/>
          <w:color w:val="111111"/>
          <w:sz w:val="28"/>
          <w:sz w:val="28"/>
          <w:szCs w:val="28"/>
          <w:rtl w:val="true"/>
          <w:lang w:bidi="ar-SA"/>
        </w:rPr>
        <w:t>وقوله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فأعِدْهما حتّى تثبتهما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أحد اُمورٍ، وتوضيحها يتوقّف على بيان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صورة الشيء حاضرة لدى الذهن، والذهن ملتفتٌ إلى ذلك، وهذا يُسمّى بالإدراك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الصورة حاضرة، ولكن الذهن غير ملتفت إليها، إلّاأنّه لو التفت لوجودها كانت حاضرة، وهذا يُسمّى بالإدراك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حاضرة والذهن غير ملتفتٌ إليها، ولو التفت وتفحّص عنها في خزانة نفسه لوجدها، وإلّا بقيت مختفية فيها، وهذا يُسمّى بالسّهو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زائلة عن الذهن، ولا يلتفت إليها بالتفحّص في الخزانة، بل يحتاج إلى إدراكٍ جديد، وهذا يُسمّى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الذهن مردّداً بين الطرفين، وهو المسمّى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هذه المقدّمة،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بالحفظ واليقين والتثبّت، ليس هو خصوص الإدراك المركّب، لتعسّره بل تعذّره غالباً، بل ولا الإدراك البسيط، بل المراد منها ما يعمّ حضور صورة الشيء لدى النفس، وإنْ كان التفات الذهن إليها محتاجاً إلى التفحّص في خزانة النفس</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10506914_73709187"/>
      <w:bookmarkStart w:id="272" w:name="_Toc105"/>
      <w:bookmarkEnd w:id="271"/>
      <w:r>
        <w:rPr>
          <w:rtl w:val="true"/>
        </w:rPr>
        <w:t>هل الشكّ بنفسه من المبطلات كالحدث</w:t>
      </w:r>
      <w:bookmarkEnd w:id="2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الشكّ بنفسه من المبطلات كالحدث أم ليس منها بل لو تروّى وزال قبل فعل المنافي، صحّت الصَّلاة‌؟ وجهان بل قولان</w:t>
      </w:r>
      <w:r>
        <w:rPr>
          <w:rFonts w:eastAsia="Amiri" w:cs="Amiri" w:ascii="Amiri" w:hAnsi="Amiri"/>
          <w:color w:val="111111"/>
          <w:sz w:val="28"/>
          <w:szCs w:val="28"/>
          <w:rtl w:val="true"/>
          <w:lang w:bidi="ar-SA"/>
        </w:rPr>
        <w:t xml:space="preserve">: </w:t>
      </w:r>
      <w:bookmarkStart w:id="273" w:name="pg11801_108147"/>
    </w:p>
    <w:p>
      <w:pPr>
        <w:pStyle w:val="BookText"/>
        <w:rPr/>
      </w:pPr>
      <w:bookmarkEnd w:id="273"/>
      <w:r>
        <w:rPr>
          <w:rFonts w:ascii="Amiri" w:hAnsi="Amiri" w:eastAsia="Amiri" w:cs="Amiri"/>
          <w:color w:val="111111"/>
          <w:sz w:val="28"/>
          <w:sz w:val="28"/>
          <w:szCs w:val="28"/>
          <w:rtl w:val="true"/>
          <w:lang w:bidi="ar-SA"/>
        </w:rPr>
        <w:t>المشهور بين الأصحاب</w:t>
      </w:r>
      <w:r>
        <w:rPr>
          <w:rStyle w:val="FootnoteAnchor"/>
          <w:rtl w:val="true"/>
        </w:rPr>
        <w:footnoteReference w:id="540"/>
      </w:r>
      <w:r>
        <w:rPr>
          <w:rFonts w:ascii="Amiri" w:hAnsi="Amiri" w:eastAsia="Amiri" w:cs="Amiri"/>
          <w:color w:val="111111"/>
          <w:sz w:val="28"/>
          <w:sz w:val="28"/>
          <w:szCs w:val="28"/>
          <w:rtl w:val="true"/>
          <w:lang w:bidi="ar-SA"/>
        </w:rPr>
        <w:t>هو الثاني، وعن بعضٍ اختيار الأوّل، واستدلّ له بإطلاق الأمر بالإعادة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إذا كانت الصورة حاضرة في خزانة النفس، لوجودها الذي هو حقيقة التروّي، كان ذلك هو اليقين والحفظ والتثبّت، ولا يصدق عليه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ولو سُلّم صدق الشكّ على هذه الحالة، لكن الظاهر من الروايات شرطيّة الحفظ واليقين لا قاطعيّة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لو كان أعمّ من ما ذكرناه لغةً‌، فإنّه لا ريب في انصرافه إلى الشكّ المستقرّ، وعليه فلو دلّت النصوص على قاطعيّته لما بطلت الصَّلاة في الفرض، كما هو واضح</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10506916_73709187"/>
      <w:bookmarkStart w:id="275" w:name="_Toc106"/>
      <w:bookmarkEnd w:id="274"/>
      <w:r>
        <w:rPr>
          <w:rtl w:val="true"/>
        </w:rPr>
        <w:t>إذا عرض الشكّ هل يجب التروّي</w:t>
      </w:r>
      <w:bookmarkEnd w:id="275"/>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الشكّ هل يجب التروّي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عرفت عبارةٌ عن التأمّل في خزانة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541"/>
      </w:r>
      <w:r>
        <w:rPr>
          <w:rFonts w:ascii="Amiri" w:hAnsi="Amiri" w:eastAsia="Amiri" w:cs="Amiri"/>
          <w:color w:val="111111"/>
          <w:sz w:val="28"/>
          <w:sz w:val="28"/>
          <w:szCs w:val="28"/>
          <w:rtl w:val="true"/>
          <w:lang w:bidi="ar-SA"/>
        </w:rPr>
        <w:t>إنّ في وجوبه وعدمه قولان، يقضي بثانيهما الأصل وإطلاق الأدلّة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ماعرفت من ظهور الأدلّة في إرادة الشكّ المستقرّ بعد التروّي لا مطلقه، لا إشكال في وجوبه حينئذٍ، وأمّا بناءً على ظهوره في إرادة مطلقه، فحيثُ إنّه إنْ تروّى وزال الشكّ‌، تكون الصَّلاة صحيحة لحصول الشرط وهو اليقين، لو تروّى لكن بقي الشكّ على حاله بطلت الصَّلاة، وهذا مشكوكٌ فيه، فمقتضى أصالة البراءة عدم حرمة رفع اليد عمّا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التروّي على هذا المسلك لا وجه له سوى مقدميّته لتحصيل اليقين، الذي هو شرطٌ لصحّة الصَّلاة، وحيث أنّ تمكّنه من ذلك مشكوكٌ فيه، فلا محالة يشكّ‌، وفي وجوبه بتبعه يشكّ في وجوب التروّي،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تجري أصالة البراءة في موارد الشكّ في القدرة، وعليه فيجب التروّي على كلّ تقديرٍ،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تروى ولم يحصل له اليقين، فهل يجب عليه البقاء في حال الصَّلاة إلى أن يحصل الفصل الطويل مطلقاً؟</w:t>
      </w:r>
    </w:p>
    <w:p>
      <w:pPr>
        <w:pStyle w:val="BookText"/>
        <w:rPr/>
      </w:pPr>
      <w:r>
        <w:rPr>
          <w:rFonts w:ascii="Amiri" w:hAnsi="Amiri" w:eastAsia="Amiri" w:cs="Amiri"/>
          <w:color w:val="111111"/>
          <w:sz w:val="28"/>
          <w:sz w:val="28"/>
          <w:szCs w:val="28"/>
          <w:rtl w:val="true"/>
          <w:lang w:bidi="ar-SA"/>
        </w:rPr>
        <w:t>أم يجوز الإستئناف كذلك‌؟</w:t>
      </w:r>
    </w:p>
    <w:p>
      <w:pPr>
        <w:pStyle w:val="BookText"/>
        <w:rPr/>
      </w:pPr>
      <w:r>
        <w:rPr>
          <w:rFonts w:ascii="Amiri" w:hAnsi="Amiri" w:eastAsia="Amiri" w:cs="Amiri"/>
          <w:color w:val="111111"/>
          <w:sz w:val="28"/>
          <w:sz w:val="28"/>
          <w:szCs w:val="28"/>
          <w:rtl w:val="true"/>
          <w:lang w:bidi="ar-SA"/>
        </w:rPr>
        <w:t>أم يفصّل بين ما لو علم بزوال الشكّ لو صبر، أو شَكّ فيه فيجب الصبر، وبين ما لو علم بعدم زواله فيجوز الإستئناف‌؟</w:t>
      </w:r>
    </w:p>
    <w:p>
      <w:pPr>
        <w:pStyle w:val="BookText"/>
        <w:rPr/>
      </w:pPr>
      <w:r>
        <w:rPr>
          <w:rFonts w:ascii="Amiri" w:hAnsi="Amiri" w:eastAsia="Amiri" w:cs="Amiri"/>
          <w:color w:val="111111"/>
          <w:sz w:val="28"/>
          <w:sz w:val="28"/>
          <w:szCs w:val="28"/>
          <w:rtl w:val="true"/>
          <w:lang w:bidi="ar-SA"/>
        </w:rPr>
        <w:t>وجوهٌ‌، أقواها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علم بعدم زوال الشكّ لو صبر، فلأنّه على فرض كونه عالماً بفساد الصَّلاة، لعدم التمكّن من تحصيل شرطه، فيجوز له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بزواله، فلأنّه على الفرض متمكّنٌ من إتمام الصَّلاة صحيحة، فلا وجه لجواز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شكّ في ذلك، فحيثُ أنّه من موارد الشكّ في القدرة على إتمام الصَّلاة، والمختار عدم جريان البراءة في موارد الشكّ في القدرة، فلايجوزالاستئناف، بل مقتضى الدليل لزوم الصبر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التروىِّ إلى أن تنمحي صورة الصَّلاة، أو يحصل اليأس من </w:t>
      </w:r>
      <w:bookmarkStart w:id="276" w:name="pg11801_108149"/>
    </w:p>
    <w:p>
      <w:pPr>
        <w:pStyle w:val="BookText"/>
        <w:rPr/>
      </w:pPr>
      <w:bookmarkEnd w:id="276"/>
      <w:r>
        <w:rPr>
          <w:rFonts w:ascii="Amiri" w:hAnsi="Amiri" w:eastAsia="Amiri" w:cs="Amiri"/>
          <w:color w:val="111111"/>
          <w:sz w:val="28"/>
          <w:sz w:val="28"/>
          <w:szCs w:val="28"/>
          <w:rtl w:val="true"/>
          <w:lang w:bidi="ar-SA"/>
        </w:rPr>
        <w:t>العلم بعدد الرَّكعات</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10506918_73709187"/>
      <w:bookmarkStart w:id="278" w:name="_Toc107"/>
      <w:bookmarkEnd w:id="277"/>
      <w:r>
        <w:rPr>
          <w:rtl w:val="true"/>
        </w:rPr>
        <w:t>إذا قامت أمارةً دالّة على عدد الرَّكعات، أو الظنّ بها، فهل يقوم ذلك مقام القطع</w:t>
      </w:r>
      <w:bookmarkEnd w:id="278"/>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أمارةً دالّة على عدد الرَّكعات، أو الظنّ بها، فهل يقوم ذلك مقام القطع فتصحّ صلاته، أم يلحقه حكم الشكّ؟</w:t>
      </w:r>
    </w:p>
    <w:p>
      <w:pPr>
        <w:pStyle w:val="BookText"/>
        <w:rPr/>
      </w:pPr>
      <w:r>
        <w:rPr>
          <w:rFonts w:ascii="Amiri" w:hAnsi="Amiri" w:eastAsia="Amiri" w:cs="Amiri"/>
          <w:color w:val="111111"/>
          <w:sz w:val="28"/>
          <w:sz w:val="28"/>
          <w:szCs w:val="28"/>
          <w:rtl w:val="true"/>
          <w:lang w:bidi="ar-SA"/>
        </w:rPr>
        <w:t>وجهان، مبنيّان على أنّ اليقين بالعدد، المأخوذ شرطاً لصحّة الصَّلاة، هل هو مأخوذٌ في الموضوع على وجه الطريقيّة، أو أنّه مأخوذٌ على وجه الصفتيّة‌؟</w:t>
      </w:r>
    </w:p>
    <w:p>
      <w:pPr>
        <w:pStyle w:val="BookText"/>
        <w:rPr/>
      </w:pPr>
      <w:r>
        <w:rPr>
          <w:rFonts w:ascii="Amiri" w:hAnsi="Amiri" w:eastAsia="Amiri" w:cs="Amiri"/>
          <w:color w:val="111111"/>
          <w:sz w:val="28"/>
          <w:sz w:val="28"/>
          <w:szCs w:val="28"/>
          <w:rtl w:val="true"/>
          <w:lang w:bidi="ar-SA"/>
        </w:rPr>
        <w:t xml:space="preserve">وعلى الأوّل تكون الأمارات قائمة مقامه، وليس كذلك على الثاني، كما حقّقنا ذلك في الاُصول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إذا اليقين والإحراز حقيقة نوريّة محضة، بل حقيقته حقيقة الطريقة المرآتيّة، لا أنّه شيءٌ لازمه الطريقيّة والانكشاف، ولهذا إذا رتّب حكمٌ على يقين، كان ظاهره ثبوته له بما أنّه طريقٌ وكاشفٌ‌، لا بما هو صفة خاصّة، إذ لو اُريد إثبات حكمٍ له بما هو صفة خاصّة، لزم قطع النظر عن طريقيّته، وصرفه عمّا هو عليه، وهذا يحتاج إلى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فلو لم يكن بنفسه ظاهراً في ذلك، لا ريب في عدم كونه ظاهراً في الخلاف، كي يكون معارضاً لهذا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قيام الأمارات في هذا الباب مقام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قيام الاستصحاب مقام اليقين في المقام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أخذ اليقين في الموضع، إنْ كان من حيث اقتضائه الجَري العملي على وفق ما تعلّق به القطع، لا من حيث أنّه انكشاف للواقع، كان الاستصحاب وغيره من الاُصول المحرزة قائمة مقامه، وليس المُدَّعى ذلك، بل دعوانا ظهوره في </w:t>
      </w:r>
      <w:bookmarkStart w:id="279" w:name="pg11801_108150"/>
    </w:p>
    <w:p>
      <w:pPr>
        <w:pStyle w:val="BookText"/>
        <w:rPr/>
      </w:pPr>
      <w:bookmarkEnd w:id="279"/>
      <w:r>
        <w:rPr>
          <w:rFonts w:ascii="Amiri" w:hAnsi="Amiri" w:eastAsia="Amiri" w:cs="Amiri"/>
          <w:color w:val="111111"/>
          <w:sz w:val="28"/>
          <w:sz w:val="28"/>
          <w:szCs w:val="28"/>
          <w:rtl w:val="true"/>
          <w:lang w:bidi="ar-SA"/>
        </w:rPr>
        <w:t>أنّه مأخوذٌ في الموضوع بما أنّه انكشافٌ للواقع، وقد حُقّق في محلّه عدم قيام الاُصول المحرزة مقام القطع المأخوذ في الموضوع على هذا النحو، مضافاً إلى ما ستعرف من عدم حجيّة الاستصحاب في الشكّ في الرّكعات</w:t>
      </w:r>
      <w:r>
        <w:rPr>
          <w:rFonts w:eastAsia="Amiri" w:cs="Amiri" w:ascii="Amiri" w:hAnsi="Amiri"/>
          <w:color w:val="111111"/>
          <w:sz w:val="28"/>
          <w:szCs w:val="28"/>
          <w:rtl w:val="true"/>
          <w:lang w:bidi="ar-SA"/>
        </w:rPr>
        <w:t>.</w:t>
      </w:r>
    </w:p>
    <w:p>
      <w:pPr>
        <w:pStyle w:val="Heading6"/>
        <w:numPr>
          <w:ilvl w:val="5"/>
          <w:numId w:val="1"/>
        </w:numPr>
        <w:rPr/>
      </w:pPr>
      <w:bookmarkStart w:id="280" w:name="__RefHeading___Toc10506920_73709187"/>
      <w:bookmarkStart w:id="281" w:name="_Toc108"/>
      <w:bookmarkEnd w:id="280"/>
      <w:r>
        <w:rPr>
          <w:rtl w:val="true"/>
        </w:rPr>
        <w:t>لازم اعتبار إحراز العدد في الثنائيّة في صحّة الصَّلاة</w:t>
      </w:r>
      <w:bookmarkEnd w:id="281"/>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اعتبار إحراز العدد في الثنائيّة في صحّة الصَّلاة، عدم جواز المُضيّ في الصَّلاة في حال الشكّ والترديد، مضافاً إلى التصريح به في خبر ابن أبي يعفور، ويترتّب على هذا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مضى في صلاته والحال هذه، بطلت صلاته، لكونه زيادةً عمديّة في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من أنّه لو شكّ بين الواحدة والاثنتين ونحوه من الشكوك الباطلة، وكان في السَّجدة مثلاً، وعَلم أنّه لو رفع رأسه لا تفوت عنه الأمارات الدالّة على الطرفين، جازَ له التأخير إلى رفع الرأس</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10506922_73709187"/>
      <w:bookmarkStart w:id="283" w:name="_Toc109"/>
      <w:bookmarkEnd w:id="282"/>
      <w:r>
        <w:rPr>
          <w:rtl w:val="true"/>
        </w:rPr>
        <w:t>حكم الشكّ في الصَّلاة المقصورة في مواطن التخيّير</w:t>
      </w:r>
      <w:bookmarkEnd w:id="283"/>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الصَّلاة المقصورة في مواضع التخيّير، وفيه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ناوياً التمام، فإنّه لا كلام في صحّة الصَّلاة إذا كان الشكّ من الشكوك الصحيحة في الرباعيّة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ناوياً القصر ثمّ شكّ في الرَّكعات بشكٍّ من الشكوك الصحيحة في الرباعيّة، كما إذا شكّ بين الاثنتين والثَّلاث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وليس له العدول إلى التمام، والبناء على الأكثر، وقد تبع 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45"/>
      </w:r>
      <w:r>
        <w:rPr>
          <w:rFonts w:ascii="IRNazanin" w:hAnsi="IRNazanin" w:eastAsia="IRNazanin"/>
          <w:color w:val="111111"/>
          <w:sz w:val="28"/>
          <w:sz w:val="28"/>
          <w:szCs w:val="28"/>
          <w:rtl w:val="true"/>
          <w:lang w:bidi="fa-IR"/>
        </w:rPr>
        <w:t>وجمعاً من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هذا الحكم بناءً على كون الشكّ في عدد الثنائيّة بنفسه مبطلاً كالحدث، كما أنّه يتمّ على القول بعدم جواز العدول من القصر إلى التمام، وأمّا بناءً على عدم كونه مبطلاً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العدول، كما سيأتي تحقيق القول فيه، فالأظهر أنّ له العدول والبناء على الأكثر، إذ بذلك يخرج الشكّ عن الشكوك الباطلة، ويدخل في الشكوك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العدول إنّما يكون فيما إذا كانت الصَّلاة المعدول عنها صحيحة، وفي المقام ليست كذلك، فإنّ المعدول عنها لم تُحرز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المعدول عنها وَقَعتْ صحيحةً إلى حين حدوث الشكّ‌، والمفروض أنّ الشكّ لم يُبطلها، وإنّما لا يجوز المُضيّ مع الشكّ فيها، وهذا بخلاف ما لو عَدَل عنها إلى التمام، فله الإتمام بالعدول إلى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العدول من القصر إلى التمام جائزاً في الفرض، لزم صحّة الصَّلاة الثنائيّة الأدائيّة الواقع فيها الشكّ‌، إذا تمكّن من العدول إلى القضائيّة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محذوراً في الالتزام بذلك، وإنْ ادّعى المحقّق النائيني رحمه الله</w:t>
      </w:r>
      <w:r>
        <w:rPr>
          <w:rStyle w:val="FootnoteAnchor"/>
          <w:rtl w:val="true"/>
        </w:rPr>
        <w:footnoteReference w:id="546"/>
      </w:r>
      <w:r>
        <w:rPr>
          <w:rFonts w:ascii="Amiri" w:hAnsi="Amiri" w:eastAsia="Amiri" w:cs="Amiri"/>
          <w:color w:val="111111"/>
          <w:sz w:val="28"/>
          <w:sz w:val="28"/>
          <w:szCs w:val="28"/>
          <w:rtl w:val="true"/>
          <w:lang w:bidi="ar-SA"/>
        </w:rPr>
        <w:t>أنّه باطلٌ قطعاً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هل يجب العدول على هذا، كما عن العلّامة الطباطبائي</w:t>
      </w:r>
      <w:r>
        <w:rPr>
          <w:rStyle w:val="FootnoteAnchor"/>
          <w:rtl w:val="true"/>
        </w:rPr>
        <w:footnoteReference w:id="547"/>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إنْ لم يعدل، بطلت الصَّلاة، فيكون البطلان بفعله واختياره، فيشمله ما دلَّ على حرمة إبطال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وبامتناع التخيّير بين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هو الثاني، لقصور أدلّة حرمه قطع الصَّلاة عن الشمول للمقام، لعدم الإطلاق لدليلها، وليس لازم القول بجواز الإبطال، وعدم وجوب العدول، هو التخيّير بين الصحيح والفاسد، بل لازمه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رفع اليد عمّا بيده واستئناف صلاةٍ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العدول عنه إلى التمام وإتمامه، ولا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ناوياً لشيء من القصر والتمام، بل دَخَل في الصَّلاة بانياًعلى أن ينوي ويقصد بعد التشهّد، بناءً على صحّة الصَّلاة من دون قصد أحدهما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والأظهر في هذه الصورة جواز الإتمام، كما يظهر ممّا ذكرناه في الصورة الثانية، بل الظاهر وجوبه، لأنّه مشغول بصلاةٍ لا يتمكّن من إتمامها على تقديرٍ، ويتمكّن على تقديرٍ آخر، بلا احتياج في ذلك إلى العدول، فتشملها أدلّة حرمة قطع الصَّلاة، كما لا يخفى‌</w:t>
      </w:r>
      <w:r>
        <w:rPr>
          <w:rFonts w:eastAsia="Amiri" w:cs="Amiri" w:ascii="Amiri" w:hAnsi="Amiri"/>
          <w:color w:val="111111"/>
          <w:sz w:val="28"/>
          <w:szCs w:val="28"/>
          <w:rtl w:val="true"/>
          <w:lang w:bidi="ar-SA"/>
        </w:rPr>
        <w:t>.</w:t>
      </w:r>
      <w:bookmarkStart w:id="284" w:name="pg11801_108153"/>
    </w:p>
    <w:p>
      <w:pPr>
        <w:pStyle w:val="BookText"/>
        <w:rPr/>
      </w:pPr>
      <w:bookmarkEnd w:id="284"/>
      <w:r>
        <w:rPr>
          <w:rFonts w:ascii="Amiri" w:hAnsi="Amiri" w:eastAsia="Amiri" w:cs="Amiri"/>
          <w:color w:val="111111"/>
          <w:sz w:val="28"/>
          <w:sz w:val="28"/>
          <w:szCs w:val="28"/>
          <w:rtl w:val="true"/>
          <w:lang w:bidi="ar-SA"/>
        </w:rPr>
        <w:t>أو الثلاثيّة</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10506924_73709187"/>
      <w:bookmarkStart w:id="286" w:name="_Toc110"/>
      <w:bookmarkEnd w:id="285"/>
      <w:r>
        <w:rPr>
          <w:rtl w:val="true"/>
        </w:rPr>
        <w:t>حكم الشكّ في عدد الثلاثيّة</w:t>
      </w:r>
      <w:bookmarkEnd w:id="286"/>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القول في المقام إنّ الشكّ في الثلاثيّة من الشكوك الباطلة على المشهور شهرةً عظيمة</w:t>
      </w:r>
      <w:r>
        <w:rPr>
          <w:rStyle w:val="FootnoteAnchor"/>
          <w:rtl w:val="true"/>
        </w:rPr>
        <w:footnoteReference w:id="548"/>
      </w:r>
      <w:r>
        <w:rPr>
          <w:rFonts w:ascii="Amiri" w:hAnsi="Amiri" w:eastAsia="Amiri" w:cs="Amiri"/>
          <w:color w:val="111111"/>
          <w:sz w:val="28"/>
          <w:sz w:val="28"/>
          <w:szCs w:val="28"/>
          <w:rtl w:val="true"/>
          <w:lang w:bidi="ar-SA"/>
        </w:rPr>
        <w:t>، بل عن جماعةٍ‌</w:t>
      </w:r>
      <w:r>
        <w:rPr>
          <w:rStyle w:val="FootnoteAnchor"/>
          <w:rtl w:val="true"/>
        </w:rPr>
        <w:footnoteReference w:id="549"/>
      </w:r>
      <w:r>
        <w:rPr>
          <w:rFonts w:ascii="Amiri" w:hAnsi="Amiri" w:eastAsia="Amiri" w:cs="Amiri"/>
          <w:color w:val="111111"/>
          <w:sz w:val="28"/>
          <w:sz w:val="28"/>
          <w:szCs w:val="28"/>
          <w:rtl w:val="true"/>
          <w:lang w:bidi="ar-SA"/>
        </w:rPr>
        <w:t>دعوى الإجماع عليه، ونُسب إلى والد الصدوق رحمه الله</w:t>
      </w:r>
      <w:r>
        <w:rPr>
          <w:rStyle w:val="FootnoteAnchor"/>
          <w:rtl w:val="true"/>
        </w:rPr>
        <w:footnoteReference w:id="550"/>
      </w:r>
      <w:r>
        <w:rPr>
          <w:rFonts w:ascii="Amiri" w:hAnsi="Amiri" w:eastAsia="Amiri" w:cs="Amiri"/>
          <w:color w:val="111111"/>
          <w:sz w:val="28"/>
          <w:sz w:val="28"/>
          <w:szCs w:val="28"/>
          <w:rtl w:val="true"/>
          <w:lang w:bidi="ar-SA"/>
        </w:rPr>
        <w:t xml:space="preserve">القول بجواز البناء على الأقلّ‌، وأنكر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ذلك، وادّعى أنّه موافق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جعل الصدوق ما هو المشهور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من دين الإماميّة الذي يجب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للمشهور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وموثّق سماعة المتقدّمين في المسألة الأُولى‌، ونحوهما في الدلالة على المشهور مضمر سماعة</w:t>
      </w:r>
      <w:r>
        <w:rPr>
          <w:rStyle w:val="FootnoteAnchor"/>
          <w:rtl w:val="true"/>
        </w:rPr>
        <w:footnoteReference w:id="553"/>
      </w:r>
      <w:r>
        <w:rPr>
          <w:rFonts w:ascii="IRNazanin" w:hAnsi="IRNazanin" w:eastAsia="IRNazanin"/>
          <w:color w:val="111111"/>
          <w:sz w:val="28"/>
          <w:sz w:val="28"/>
          <w:szCs w:val="28"/>
          <w:rtl w:val="true"/>
          <w:lang w:bidi="fa-IR"/>
        </w:rPr>
        <w:t>، وخبر ابن مسلم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شكّ في المغرب فلم يدر </w:t>
      </w:r>
    </w:p>
    <w:p>
      <w:pPr>
        <w:pStyle w:val="BookText"/>
        <w:rPr/>
      </w:pPr>
      <w:r>
        <w:rPr>
          <w:rFonts w:ascii="Amiri" w:hAnsi="Amiri" w:eastAsia="Amiri" w:cs="Amiri"/>
          <w:color w:val="111111"/>
          <w:sz w:val="28"/>
          <w:sz w:val="28"/>
          <w:szCs w:val="28"/>
          <w:rtl w:val="true"/>
          <w:lang w:bidi="ar-SA"/>
        </w:rPr>
        <w:t>ركعتين صَلّى أم ثلاثة‌؟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فيُضيف إليها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ممّا لا يُقضى أبداً</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خبره الآخر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فلعدم عمل الأصحاب بهما يُطرحان، مضافاً إلى أنّهما معارضان لما هو ظاهرٌ في البطلان، وأنّ المغرب لا يدخلها الشكّ‌، بنحوٍ لا يمكن الجمع العرفي بين الطائفتين، كما يظهر لمن تدبّر فيهما وجمعهما في كلامٍ واحد، وحيثُ أنّ الطائفة الدالّة على البطلان أرجح، فلا محالة تُقدَّم وتُطرح هذه النصوص</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87" w:name="pg11801_108155"/>
    </w:p>
    <w:p>
      <w:pPr>
        <w:pStyle w:val="BookText"/>
        <w:rPr/>
      </w:pPr>
      <w:bookmarkEnd w:id="287"/>
      <w:r>
        <w:rPr>
          <w:rFonts w:ascii="Amiri" w:hAnsi="Amiri" w:eastAsia="Amiri" w:cs="Amiri"/>
          <w:color w:val="111111"/>
          <w:sz w:val="28"/>
          <w:sz w:val="28"/>
          <w:szCs w:val="28"/>
          <w:rtl w:val="true"/>
          <w:lang w:bidi="ar-SA"/>
        </w:rPr>
        <w:t>أو في الأوليّين من الرباعيّة، أعاد</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10506926_73709187"/>
      <w:bookmarkStart w:id="289" w:name="_Toc111"/>
      <w:bookmarkEnd w:id="288"/>
      <w:r>
        <w:rPr>
          <w:rtl w:val="true"/>
        </w:rPr>
        <w:t>حكم الشكّ في الأوليين من الرباعيّة</w:t>
      </w:r>
      <w:bookmarkEnd w:id="289"/>
    </w:p>
    <w:p>
      <w:pPr>
        <w:pStyle w:val="Heading6"/>
        <w:numPr>
          <w:ilvl w:val="5"/>
          <w:numId w:val="1"/>
        </w:numPr>
        <w:rPr/>
      </w:pPr>
      <w:bookmarkStart w:id="290" w:name="__RefHeading___Toc10506928_73709187"/>
      <w:bookmarkStart w:id="291" w:name="_Toc112"/>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الأوليّين من الرباعيّة،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غير واحدٍ نقله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لا يدري صَلّى ركعة أم ثنتين‌؟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تحفظ الرّكعتين الأولتين فأعِد صلاتك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في الرّكعتين الأوليين فأعِدهما حتّى تُثبتهما</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561"/>
      </w:r>
      <w:r>
        <w:rPr>
          <w:rFonts w:ascii="Amiri" w:hAnsi="Amiri" w:eastAsia="Amiri" w:cs="Amiri"/>
          <w:color w:val="111111"/>
          <w:sz w:val="28"/>
          <w:sz w:val="28"/>
          <w:szCs w:val="28"/>
          <w:rtl w:val="true"/>
          <w:lang w:bidi="ar-SA"/>
        </w:rPr>
        <w:t>المتضمّنة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عَشر ركعات الّتي مِنْ فرض اللّه لا يدخل فيهنّ سهوٌ</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Style w:val="FootnoteAnchor"/>
          <w:rtl w:val="true"/>
        </w:rPr>
        <w:footnoteReference w:id="562"/>
      </w:r>
      <w:r>
        <w:rPr>
          <w:rFonts w:ascii="Amiri" w:hAnsi="Amiri" w:eastAsia="Amiri" w:cs="Amiri"/>
          <w:color w:val="111111"/>
          <w:sz w:val="28"/>
          <w:sz w:val="28"/>
          <w:szCs w:val="28"/>
          <w:rtl w:val="true"/>
          <w:lang w:bidi="ar-SA"/>
        </w:rPr>
        <w:t>ورد في الشكّ بين الواحدة والاثنتين المتقدّم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بالتخيّير بين البناء على الأقلّ و الاستئناف،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مقتضى الجمع بين هذه النصوص، وبين النصوص الدالّة على البناء على الأقلّ‌، كخبر الحسين بن أبي العلاء</w:t>
      </w:r>
      <w:r>
        <w:rPr>
          <w:rStyle w:val="FootnoteAnchor"/>
          <w:rtl w:val="true"/>
        </w:rPr>
        <w:footnoteReference w:id="563"/>
      </w:r>
      <w:r>
        <w:rPr>
          <w:rFonts w:ascii="Amiri" w:hAnsi="Amiri" w:eastAsia="Amiri" w:cs="Amiri"/>
          <w:color w:val="111111"/>
          <w:sz w:val="28"/>
          <w:sz w:val="28"/>
          <w:szCs w:val="28"/>
          <w:rtl w:val="true"/>
          <w:lang w:bidi="ar-SA"/>
        </w:rPr>
        <w:t>، وموثّق ابن أبي يعفور</w:t>
      </w:r>
      <w:r>
        <w:rPr>
          <w:rStyle w:val="FootnoteAnchor"/>
          <w:rtl w:val="true"/>
        </w:rPr>
        <w:footnoteReference w:id="564"/>
      </w:r>
      <w:r>
        <w:rPr>
          <w:rFonts w:ascii="IRNazanin" w:hAnsi="IRNazanin" w:eastAsia="IRNazanin"/>
          <w:color w:val="111111"/>
          <w:sz w:val="28"/>
          <w:sz w:val="28"/>
          <w:szCs w:val="28"/>
          <w:rtl w:val="true"/>
          <w:lang w:bidi="fa-IR"/>
        </w:rPr>
        <w:t>، وخبر عبد الرحمن ابن الحجّاج</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في المسألة الأُولى ما يرد على هذا الجمع، وأنّه لابدَّ من طرح هذه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والده</w:t>
      </w:r>
      <w:r>
        <w:rPr>
          <w:rStyle w:val="FootnoteAnchor"/>
          <w:rtl w:val="true"/>
        </w:rPr>
        <w:footnoteReference w:id="566"/>
      </w:r>
      <w:r>
        <w:rPr>
          <w:rFonts w:ascii="Amiri" w:hAnsi="Amiri" w:eastAsia="Amiri" w:cs="Amiri"/>
          <w:color w:val="111111"/>
          <w:sz w:val="28"/>
          <w:sz w:val="28"/>
          <w:szCs w:val="28"/>
          <w:rtl w:val="true"/>
          <w:lang w:bidi="ar-SA"/>
        </w:rPr>
        <w:t xml:space="preserve">موافقة المشهور في المرّة الأُولى من الشكّ والحكم بالإعادة، وفي المرّة الثانية الحكم بالبناء على الأقلّ‌، ولا مدرك له سوى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غيره مرّةٍ عدم حُجيّته، لا سيّما مع معارضته بما هو أصحّ منه، وعدم عمل الأصحاب به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92" w:name="pg11801_108157"/>
    </w:p>
    <w:p>
      <w:pPr>
        <w:pStyle w:val="Heading6"/>
        <w:numPr>
          <w:ilvl w:val="5"/>
          <w:numId w:val="1"/>
        </w:numPr>
        <w:rPr/>
      </w:pPr>
      <w:bookmarkStart w:id="293" w:name="__RefHeading___Toc10506930_73709187"/>
      <w:bookmarkStart w:id="294" w:name="_Toc113"/>
      <w:bookmarkEnd w:id="292"/>
      <w:bookmarkEnd w:id="293"/>
      <w:r>
        <w:rPr>
          <w:rtl w:val="true"/>
        </w:rPr>
        <w:t>ما يحرز به الرَّكعتان</w:t>
      </w:r>
      <w:bookmarkEnd w:id="294"/>
    </w:p>
    <w:p>
      <w:pPr>
        <w:pStyle w:val="BookText"/>
        <w:rPr/>
      </w:pPr>
      <w:r>
        <w:rPr>
          <w:rFonts w:ascii="Amiri" w:hAnsi="Amiri" w:eastAsia="Amiri" w:cs="Amiri"/>
          <w:color w:val="111111"/>
          <w:sz w:val="28"/>
          <w:sz w:val="28"/>
          <w:szCs w:val="28"/>
          <w:rtl w:val="true"/>
          <w:lang w:bidi="ar-SA"/>
        </w:rPr>
        <w:t>ثمّ إنّه وقع الخلاف فيما به يُحرز الرَّكعتان، كي تبطل الصَّلاة مع الشكّ‌، إذا كان قبل إحرازهما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البغداديّة</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إكمال الرّكعة يتحقّق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الرّكعة واحدة الرّكوع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صلاة الآيات من أنّها عَشَر ركعات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الرّكعة واحدة الرّكوع، لا ينافي ثبوت حقيقة شرعيّة أو متشرّعيّة لها فيما يشمل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إطلاقها على الرّكوع، لا يوجب صرف هذا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ظهورها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يشمل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يكون بالدخول في السّجدة الأُولى‌، واستدلّ 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نسيان باقي الأجزاء إلى رفع الرأس من الثانية، لا يوجبُ البطلان، </w:t>
      </w:r>
    </w:p>
    <w:p>
      <w:pPr>
        <w:pStyle w:val="BookText"/>
        <w:rPr/>
      </w:pPr>
      <w:r>
        <w:rPr>
          <w:rFonts w:ascii="Amiri" w:hAnsi="Amiri" w:eastAsia="Amiri" w:cs="Amiri"/>
          <w:color w:val="111111"/>
          <w:sz w:val="28"/>
          <w:sz w:val="28"/>
          <w:szCs w:val="28"/>
          <w:rtl w:val="true"/>
          <w:lang w:bidi="ar-SA"/>
        </w:rPr>
        <w:t>ولا تكون هي من فرض اللّه الذي لا يقع فيه الشكّ‌، بل من فرض النبيّ صلى الله عليه و آله، فإذا دخلَ في السَّجدة الأُولى فقد تمّ فرض اللّه، والدليل إنّما دلَّ على لزوم إحراز مافرضه اللّه، وأنّ بدونه تبطل الصَّلاة، ولم يدلّ دليلٌ على لزوم إحراز ما فَرَضه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الأجزاء الباقية عن فرض اللّه أعمٌّ من خروجها من الرّكعة، والدليل إنّما دلَّ على لزوم إحراز الرّكعتين، وأنّ الشكّ قبله مبطلٌ‌، لا على لزوم إحراز ما فرضه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إكمال الرّكعة إنّما يتحقّق بوضع الجبهة في السّجدة الثانية،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ترك الذِّكر نسياناً يغتفر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الذِّكر ليس من مقوّمات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 لأنّ اغتفار الذِّكر يختصّ بحال النسيان، وعدم كونه من مقوّمات السّجدة أعمٌّ من عدم كونه في حال الذِّكر الذي هو واجبٌ قطعاً، ومن مقوّمات الرّكعة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الشهيد الأوّل في بعض كتبه</w:t>
      </w:r>
      <w:r>
        <w:rPr>
          <w:rStyle w:val="FootnoteAnchor"/>
          <w:rtl w:val="true"/>
        </w:rPr>
        <w:footnoteReference w:id="572"/>
      </w:r>
      <w:r>
        <w:rPr>
          <w:rFonts w:ascii="Amiri" w:hAnsi="Amiri" w:eastAsia="Amiri" w:cs="Amiri"/>
          <w:color w:val="111111"/>
          <w:sz w:val="28"/>
          <w:sz w:val="28"/>
          <w:szCs w:val="28"/>
          <w:rtl w:val="true"/>
          <w:lang w:bidi="ar-SA"/>
        </w:rPr>
        <w:t>، والشهيد الثاني في جملةٍ من كتبه</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بإتمام الذِّكر الواجب من السّجدة الثانية، ولو لم يحصل رفع الرأس منها،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ومالَ إليه المحقّق الثاني</w:t>
      </w:r>
      <w:r>
        <w:rPr>
          <w:rStyle w:val="FootnoteAnchor"/>
          <w:rtl w:val="true"/>
        </w:rPr>
        <w:footnoteReference w:id="574"/>
      </w:r>
      <w:r>
        <w:rPr>
          <w:rFonts w:ascii="Amiri" w:hAnsi="Amiri" w:eastAsia="Amiri" w:cs="Amiri"/>
          <w:color w:val="111111"/>
          <w:sz w:val="28"/>
          <w:sz w:val="28"/>
          <w:szCs w:val="28"/>
          <w:rtl w:val="true"/>
          <w:lang w:bidi="ar-SA"/>
        </w:rPr>
        <w:t xml:space="preserve">،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والمحقّق النائيني</w:t>
      </w:r>
      <w:r>
        <w:rPr>
          <w:rStyle w:val="FootnoteAnchor"/>
          <w:rtl w:val="true"/>
        </w:rPr>
        <w:footnoteReference w:id="576"/>
      </w:r>
      <w:r>
        <w:rPr>
          <w:rFonts w:ascii="Amiri" w:hAnsi="Amiri" w:eastAsia="Amiri" w:cs="Amiri"/>
          <w:color w:val="111111"/>
          <w:sz w:val="28"/>
          <w:sz w:val="28"/>
          <w:szCs w:val="28"/>
          <w:rtl w:val="true"/>
          <w:lang w:bidi="ar-SA"/>
        </w:rPr>
        <w:t xml:space="preserve">وجمعٌ من أصحاب التعليق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ماهو الواجب من الرّكعة إنّما هو مقدار السّجود الذي يؤتى فيه بالذِّكر الواجب في السّجدة الثانية، مع الإتيان بالذِّكر، وأمّا الرفع فهو ليس منها، ولا من محقِّقاتها، بل لو بقي في السّجود إلى الأبد لصدق عليه أنّه أتى بما كان عليه من الرّكعة، فيكون الرفع لأجل إحراز ما بقي من الصَّلاة، لا لأجل إحراز ما قد أتى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وإطالة الذِّكر وإنْ كانت موجبة لصدق السّجود الطويل على سجوده، الموجب لصدق بقائه على الرّكعة، إلّاأنّها لا تنافي صدق إحراز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كون رفع الرأس غير واجب شرعاً، وإنّما يجبُ عقلاً مقدّمةً للإتيان بسائر الأجزاء، أو كونه غير داخلٍ في الرّكعة التي سَجَد لها تمَّ ما ذَكر، وأمّا بناءً على كونه واجباً كما تقدّم في محلّه من هذا الشرح، وكونه من أجزاء الرّكعة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مدرك ما اختاره المشهور</w:t>
      </w:r>
      <w:r>
        <w:rPr>
          <w:rStyle w:val="FootnoteAnchor"/>
          <w:rtl w:val="true"/>
        </w:rPr>
        <w:footnoteReference w:id="578"/>
      </w:r>
      <w:r>
        <w:rPr>
          <w:rFonts w:ascii="Amiri" w:hAnsi="Amiri" w:eastAsia="Amiri" w:cs="Amiri"/>
          <w:color w:val="111111"/>
          <w:sz w:val="28"/>
          <w:sz w:val="28"/>
          <w:szCs w:val="28"/>
          <w:rtl w:val="true"/>
          <w:lang w:bidi="ar-SA"/>
        </w:rPr>
        <w:t>، وهو أنّ إكمال الرّكعة إنّما يكون برفع الرأس من الثانية، حيث استدلّ له مضافاً إلى ما عرفت بوجهين</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أنّه لو بقي في السّجدة الثانية بأزيد من مقدار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الواجب، لكان المقدار الزائد من الرّكعة، فما دام لم يخرج من السّجدة برفع الرأس منها، لا يكون مُحرزاً للأوليين، ولما تَمّت الرَّكعتان، وقد دلَّ الدليل على لزوم الإحراز في جميع حالات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الخروج عن الرّكعتين غير إحرازهما، والذي يعتبر فيه الرفع هو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ولهم فيه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مُبطليّة الشكّ‌، لأنّه قبل السّجدة الثانية كان مبطلاً، ويشكّ فيه بعد الدخول فيها والإتيان بالذِّكر الواجب، فيستصحب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لأجل الشكّ في الموضوع 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عدم وجوب جريان الاستصحاب في الأحكام الكليّة الشرعيّة، كما أشرنا إلى وجهه في هذا الشرح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الرّكعة، ولا بأس به لو شكّ في أنّ الرفع الواجب هل هو من أجزاء الرّكعة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المشهور هو الأظهر، ويؤيّده بل يدلّ عليه الخبر المرويّ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لا يدري إثنتين صَلّى أم ثلاثاً؟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الشكّ بعد دخوله في الثالثة، مضى في الثالثة ثمّ صَلّى الاُخرى ولا شيء عليه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النائيني رحمه الله</w:t>
      </w:r>
      <w:r>
        <w:rPr>
          <w:rStyle w:val="FootnoteAnchor"/>
          <w:rtl w:val="true"/>
        </w:rPr>
        <w:footnoteReference w:id="581"/>
      </w:r>
      <w:r>
        <w:rPr>
          <w:rFonts w:ascii="Amiri" w:hAnsi="Amiri" w:eastAsia="Amiri" w:cs="Amiri"/>
          <w:color w:val="111111"/>
          <w:sz w:val="28"/>
          <w:sz w:val="28"/>
          <w:szCs w:val="28"/>
          <w:rtl w:val="true"/>
          <w:lang w:bidi="ar-SA"/>
        </w:rPr>
        <w:t>بأنّ ظاهره غير معمولٍ به، من حيث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اعتباره الدخول في الثالثة، لصحّة الصَّلاة بعد رفع الرأس من السّجدة الثانية قطعاً، وإنْ لم يدخل في الثالثة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مفهومه، وإنْ كان مبطليّة الشكّ قبل الدخول في الثالثة، إلّاأنّه يقيّد بما ثبت قطعاً صحّة الصَّلاة بعد رفع الرأس من الثانية، قبل الدخول في الثالثة</w:t>
      </w:r>
      <w:r>
        <w:rPr>
          <w:rFonts w:eastAsia="Amiri" w:cs="Amiri" w:ascii="Amiri" w:hAnsi="Amiri"/>
          <w:color w:val="111111"/>
          <w:sz w:val="28"/>
          <w:szCs w:val="28"/>
          <w:rtl w:val="true"/>
          <w:lang w:bidi="ar-SA"/>
        </w:rPr>
        <w:t>.</w:t>
      </w:r>
      <w:bookmarkStart w:id="295" w:name="pg11801_108162"/>
    </w:p>
    <w:p>
      <w:pPr>
        <w:pStyle w:val="BookText"/>
        <w:rPr/>
      </w:pPr>
      <w:bookmarkEnd w:id="295"/>
      <w:r>
        <w:rPr>
          <w:rFonts w:ascii="Amiri" w:hAnsi="Amiri" w:eastAsia="Amiri" w:cs="Amiri"/>
          <w:color w:val="111111"/>
          <w:sz w:val="28"/>
          <w:sz w:val="28"/>
          <w:szCs w:val="28"/>
          <w:rtl w:val="true"/>
          <w:lang w:bidi="ar-SA"/>
        </w:rPr>
        <w:t>وكذا لو لم يعلم كم صلّى‌</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0506932_73709187"/>
      <w:bookmarkStart w:id="297" w:name="_Toc114"/>
      <w:bookmarkEnd w:id="296"/>
      <w:r>
        <w:rPr>
          <w:rtl w:val="true"/>
        </w:rPr>
        <w:t>جهل المصلّي بالعدد</w:t>
      </w:r>
      <w:bookmarkEnd w:id="297"/>
    </w:p>
    <w:p>
      <w:pPr>
        <w:pStyle w:val="Heading6"/>
        <w:numPr>
          <w:ilvl w:val="5"/>
          <w:numId w:val="1"/>
        </w:numPr>
        <w:rPr/>
      </w:pPr>
      <w:bookmarkStart w:id="298" w:name="__RefHeading___Toc10506934_73709187"/>
      <w:bookmarkStart w:id="299" w:name="_Toc115"/>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582"/>
      </w:r>
      <w:r>
        <w:rPr>
          <w:rFonts w:ascii="Amiri" w:hAnsi="Amiri" w:eastAsia="Amiri" w:cs="Amiri"/>
          <w:color w:val="111111"/>
          <w:sz w:val="28"/>
          <w:sz w:val="28"/>
          <w:szCs w:val="28"/>
          <w:rtl w:val="true"/>
          <w:lang w:bidi="ar-SA"/>
        </w:rPr>
        <w:t>، بل عن غير واحد</w:t>
      </w:r>
      <w:r>
        <w:rPr>
          <w:rStyle w:val="FootnoteAnchor"/>
          <w:rtl w:val="true"/>
        </w:rPr>
        <w:footnoteReference w:id="58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مبطليّة الشكّ في الأوليّين،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كم صلّيت، ولم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بابويه</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فَلَمْ تَدر واحدةً صلّيت أم اثنين أو ثلاثاً أم أربعاً، صلّيت ركعةً من قيام، وركعتين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ما دلّ على البناء على الأكثر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ابن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لا يدري كَم صَلّى؟ </w:t>
      </w:r>
      <w:bookmarkStart w:id="300" w:name="pg11801_108163"/>
    </w:p>
    <w:p>
      <w:pPr>
        <w:pStyle w:val="BookText"/>
        <w:rPr/>
      </w:pPr>
      <w:bookmarkEnd w:id="300"/>
      <w:r>
        <w:rPr>
          <w:rFonts w:ascii="Amiri" w:hAnsi="Amiri" w:eastAsia="Amiri" w:cs="Amiri"/>
          <w:color w:val="111111"/>
          <w:sz w:val="28"/>
          <w:sz w:val="28"/>
          <w:szCs w:val="28"/>
          <w:rtl w:val="true"/>
          <w:lang w:bidi="ar-SA"/>
        </w:rPr>
        <w:t>واحدة أم اثنين أو ثلاثاً؟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الجزم، ويسجد سجدتي السَّهو</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سهل، وابن مصعب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جواز التمسّك بعمومه كما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عمومه بنحوٍ يشمل المقام، لابدَّ من تخصيصه بالنصوص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منطبقٍ على ما اختاره ابن بابويه، لأنّ ركعتين من جلوس بمنزلة ركعة، فلا يكون ما ذُكر تداركاً للنقص، مضافاً إلى معارضته بما هو أرجح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يهمّنا ما طرح من الإشكال على القوم، بأنّه لا فرق بين هذه المسألة والمسألة المتقدّمة، فكيف عنونوا الفقهاء هذه المسألة في قبالها، والجواب عنه، بعد وضوح الحكم، فلا وجه لإطالة الكلام في ذلك</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0506936_73709187"/>
      <w:bookmarkStart w:id="302" w:name="_Toc116"/>
      <w:bookmarkEnd w:id="301"/>
      <w:r>
        <w:rPr>
          <w:rtl w:val="true"/>
        </w:rPr>
        <w:t>عدم جريان الاستصحاب عند الشكّ في الرَّكعات</w:t>
      </w:r>
      <w:bookmarkEnd w:id="302"/>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من بيان الأصل في الشكوك غير المنصوصة، كي يتّضح حكم جملةٍ من صور الشكّ‌، كما لو شكّ بين الثَّلاث والسِّت أو الأزيد، وغير ذلك من الصور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الأصل هو البطلان، لقاعدة الاشتغال، بعد عدم جريان استصحاب عدم الزيادة على العدد المتيقّن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عدم جريان الأصل المزبور فلأجل ما دلَّ على لزوم إعادة الصَّلاة إذا </w:t>
      </w:r>
    </w:p>
    <w:p>
      <w:pPr>
        <w:pStyle w:val="BookText"/>
        <w:rPr/>
      </w:pPr>
      <w:r>
        <w:rPr>
          <w:rFonts w:ascii="Amiri" w:hAnsi="Amiri" w:eastAsia="Amiri" w:cs="Amiri"/>
          <w:color w:val="111111"/>
          <w:sz w:val="28"/>
          <w:sz w:val="28"/>
          <w:szCs w:val="28"/>
          <w:rtl w:val="true"/>
          <w:lang w:bidi="ar-SA"/>
        </w:rPr>
        <w:t>لم يَدْرِ كَم صلّى‌، فإنّه بإطلاقه يدلّ على لزوم الإعادة في كلّ شكٍّ في عدد الرَّكعات، وعدم جريان الاستصحاب المزبور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589"/>
      </w:r>
      <w:r>
        <w:rPr>
          <w:rFonts w:ascii="Amiri" w:hAnsi="Amiri" w:eastAsia="Amiri" w:cs="Amiri"/>
          <w:color w:val="111111"/>
          <w:sz w:val="28"/>
          <w:sz w:val="28"/>
          <w:szCs w:val="28"/>
          <w:rtl w:val="true"/>
          <w:lang w:bidi="ar-SA"/>
        </w:rPr>
        <w:t>اختصاصه بصورة تكثّر الاحتمالات، أو بما إذا لم يَحرز الأوليان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تقييّد بلا وجه، وعليه فهده النصوص تدلّ على سقوط الاستصحاب في عدد الرَّكعات، وأنّ الأصل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أنّ بإزاء هذه الأخبار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البناء على الأقلّ كمصحّح إسحاق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المصحّح ما يوجب تقييّد متعلّق الشكّ بخصوص الصَّلاة، فغاية ما هناك كون هذه الموثّقة، كبقيّة الروايات الدالّة على حجيّة الاستصحاب، فتقيّد بما تضمّن الأمر بالإعادة لمن لا يدري كَمْ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w:t>
      </w:r>
      <w:r>
        <w:rPr>
          <w:rStyle w:val="FootnoteAnchor"/>
          <w:rtl w:val="true"/>
        </w:rPr>
        <w:footnoteReference w:id="59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ينافي ما دلَّ على أنّ الأصل هو البناء على الأكثر، وإتمام ما ظَنَّ نقصه بعد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التنافي بينهما، فإنّ المصحّح يدلّ على لزوم البناء على عدم إتيان الأكثر، الذي هو مقتضى الاستصحاب، وأمّا أنّ تكليفه الفعلي هل هو الإتيان بالزائد متّصلاً أو منفصلاً، فهو أجنبيٌ عنه، ومرجع تحديده إلى النصوص الآمرة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بالبناء على الأكثر، فليس مفاد المصحّح منافياً لأدلّة وجوب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فقدنا الأدلّة المذكورة، كان مقتضى الجعل الأوّلي الإتيان بالزائد متّصلاً، إلّاأنّ تلك الأدلّة تخصّصها، 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البناء على الأكثر، كموثّق عمّار،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أجمعُ لك السَّهو كلّه في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شككتَ فخُذ بالأكثر، فإذا سَلّمت فأتمّ ما ظننتَ أنّك قد نقصت</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بما إذا كان الأكثر صحيحاً، وكان الشكّ في الصحّة ناشئاً عن الشكّ في النقيصة، ولذا أمر عليه السلام بإتمام ما ظَنّ نقصه بعد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الروايات مبطليّة الشكّ في عدد الرَّكعات، إذا لم يكن منصوصاً، وعدم جريان الاستصحاب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لعدم جريانه 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المحقّقين</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أصالة عدم الزيادة لا تُثبت كون ما بيده هي الرّكعة التي شَكّ في الزيادة عليها، مثلاً إذا شكّ بين الإثنتين والخمس، لا يُثبت الأصل المزبور كون الرّكعة التي جلس فيها هي الثانية إلّاعلى القول بالأصل المثبت، وإذا لم يحرز ذلك لم يحرز كون التشهّد الأوّل في الثانية، والتشهّد الثاني والسَّلام في الرابعة، مع أنّه لابدَّ من إحراز ذلك، إذ الواجب من التشهّد ما كان في الثانية والرابعة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التشهّد وإنْ كان بعد إكمال السّجدتين من الثانية والرابعة، إلّاأنّه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لأجل أخذ الرابعة مثلاً بعنوانها دخليّة في الموضوع، بل غاية ما يستفاد من النصوص، أنّ للتشهّد محلّاً معيّناً، وهو بعد الرابعة مثلاً، بمعنى أنّه يجب الإتيان به كسائر أجزاء الصَّلاة مرتّباً على ما اعتبر الإتيان به قبله، ومتّصلاً به، وعليه فلو شكّ في إتيان الخامسة مثلاً يستصحب عدمها، ويَحرز بضمّ التعبّد إلى الوجدان أنّ هذا هو محلّ التشهّد، ولولا ذلك لزم عدم جريان استصحاب عدم تحقّق المبطل لو شكّ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الزيادة المتيقّن سابقاً، هو عدم وجود الرّكعة المشكوك وجودها على نحو مفاد ليس التامّة، وما يُراد إثباته عدم الزيادة على حسب مفاد ليس الناقصة، مثلاً لو شكّ بين الأربع والسَّبع، فإنّ استصحاب عدم الزيادة بنحو مفاد ليس التامّة، غير مفيد في هذه الصورة، بل لابدَّ وأن يثبت إتيان أربع ركعات دون زيادة ركعة، وهذا لا يثبت بالأصل المزبور إلّاعلى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العدم الوصفي، أي العدم بحسب مفاد ليس الناقصة متيقّنٌ‌، ضرورة أنّه بعد تمام الرّكعة الرابعة، أي بعد رفعه رأسه من السّجدة الثانية يقطع بالأربع، وأنّها ليست مزيدة فيها بركعة، فيستصحب ذلك، هذا فضلاً عن أنّه لم يدلّ دليلٌ على إحراز العدم النعتي في الصَّلاة، بل غاية ما يدلّ عليه الدليل الإتيان بالأربع، وعدم الزيادة عليها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الزيادة لا تُثبت انطباق الصَّلاة المأمور بها على المأتي بها، لأنّه ليس أثراً شرعيّاً، وهذا ممّا يلزم إحرازه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على المُصلّي إحراز الإتيان باجزاء الصَّلاة وشرائطها بأجمعها، ولا يعتبر زائداً على ذلك شيء، فإذا شكّ بين الثَّلاث والسِّت، له أن يُجري الأصل </w:t>
      </w:r>
    </w:p>
    <w:p>
      <w:pPr>
        <w:pStyle w:val="BookText"/>
        <w:rPr/>
      </w:pPr>
      <w:r>
        <w:rPr>
          <w:rFonts w:ascii="Amiri" w:hAnsi="Amiri" w:eastAsia="Amiri" w:cs="Amiri"/>
          <w:color w:val="111111"/>
          <w:sz w:val="28"/>
          <w:sz w:val="28"/>
          <w:szCs w:val="28"/>
          <w:rtl w:val="true"/>
          <w:lang w:bidi="ar-SA"/>
        </w:rPr>
        <w:t>ويترتّب عليه لزوم الإتيان بركعة اُخرى تتميماً للأربع، وبضمّ الوجدان إلى الأصل، يحرز إتيان الصَّلاة بأجزائها وشرائطها، والإجزاء حينئذٍ مترتّب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البناء على الأكثر، وقد تقدّم أنّه مختصٌّ بما إذا كان الأكثر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وجه سقوط هذا الأصل، هو ما ذكرناه، فراجع</w:t>
      </w:r>
      <w:r>
        <w:rPr>
          <w:rFonts w:eastAsia="Amiri" w:cs="Amiri" w:ascii="Amiri" w:hAnsi="Amiri"/>
          <w:color w:val="111111"/>
          <w:sz w:val="28"/>
          <w:szCs w:val="28"/>
          <w:rtl w:val="true"/>
          <w:lang w:bidi="ar-SA"/>
        </w:rPr>
        <w:t>.</w:t>
      </w:r>
      <w:r>
        <w:rPr>
          <w:rStyle w:val="FootnoteAnchor"/>
          <w:rtl w:val="true"/>
        </w:rPr>
        <w:footnoteReference w:id="59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03" w:name="pg11801_108168"/>
    </w:p>
    <w:p>
      <w:pPr>
        <w:pStyle w:val="BookText"/>
        <w:rPr/>
      </w:pPr>
      <w:bookmarkEnd w:id="303"/>
      <w:r>
        <w:rPr>
          <w:rFonts w:ascii="Amiri" w:hAnsi="Amiri" w:eastAsia="Amiri" w:cs="Amiri"/>
          <w:color w:val="111111"/>
          <w:sz w:val="28"/>
          <w:sz w:val="28"/>
          <w:szCs w:val="28"/>
          <w:rtl w:val="true"/>
          <w:lang w:bidi="ar-SA"/>
        </w:rPr>
        <w:t>وإنْ كان في فعلٍ قد انتقل عنه، لم يلتفت</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10506938_73709187"/>
      <w:bookmarkStart w:id="305" w:name="_Toc117"/>
      <w:bookmarkEnd w:id="304"/>
      <w:r>
        <w:rPr>
          <w:rtl w:val="true"/>
        </w:rPr>
        <w:t>الفصل الثالث</w:t>
      </w:r>
      <w:r>
        <w:rPr>
          <w:rtl w:val="true"/>
        </w:rPr>
        <w:t xml:space="preserve">: </w:t>
      </w:r>
      <w:r>
        <w:rPr>
          <w:rtl w:val="true"/>
        </w:rPr>
        <w:t>حكم الشكّ في الأفعال</w:t>
      </w:r>
      <w:bookmarkEnd w:id="305"/>
    </w:p>
    <w:p>
      <w:pPr>
        <w:pStyle w:val="Heading6"/>
        <w:numPr>
          <w:ilvl w:val="5"/>
          <w:numId w:val="1"/>
        </w:numPr>
        <w:rPr/>
      </w:pPr>
      <w:bookmarkStart w:id="306" w:name="__RefHeading___Toc10506940_73709187"/>
      <w:bookmarkStart w:id="307" w:name="_Toc118"/>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أجزاء الصَّلاة وشرائطها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فعلٍ قد انتقل عنه،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بلا خلافٍ في ذلك في الجملة</w:t>
      </w:r>
      <w:r>
        <w:rPr>
          <w:rStyle w:val="FootnoteAnchor"/>
          <w:rtl w:val="true"/>
        </w:rPr>
        <w:footnoteReference w:id="595"/>
      </w:r>
      <w:r>
        <w:rPr>
          <w:rFonts w:ascii="Amiri" w:hAnsi="Amiri" w:eastAsia="Amiri" w:cs="Amiri"/>
          <w:color w:val="111111"/>
          <w:sz w:val="28"/>
          <w:sz w:val="28"/>
          <w:szCs w:val="28"/>
          <w:rtl w:val="true"/>
          <w:lang w:bidi="ar-SA"/>
        </w:rPr>
        <w:t>، بل عليه الإجماع كما عن جماعةٍ‌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القراءة وقد 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308" w:name="pg11801_108169"/>
    </w:p>
    <w:p>
      <w:pPr>
        <w:pStyle w:val="BookText"/>
        <w:rPr/>
      </w:pPr>
      <w:bookmarkEnd w:id="308"/>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إسماعيل بن جابر،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شكّ في الرّكوع بعدما سجد فليمضِ‌، وإنْ شكّ في السّجود بعدما قام فليمضِ‌، 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أهوى إلى السّجود، فلم يدر أركع أم لم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أبي يعفور، 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فأصل الحكم ممّا لا ينبغي التوقّف فيه</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0506942_73709187"/>
      <w:bookmarkStart w:id="310" w:name="_Toc119"/>
      <w:bookmarkEnd w:id="309"/>
      <w:r>
        <w:rPr>
          <w:rtl w:val="true"/>
        </w:rPr>
        <w:t>البحث عن قاعدة التجاوز</w:t>
      </w:r>
      <w:bookmarkEnd w:id="310"/>
    </w:p>
    <w:p>
      <w:pPr>
        <w:pStyle w:val="Heading6"/>
        <w:numPr>
          <w:ilvl w:val="5"/>
          <w:numId w:val="1"/>
        </w:numPr>
        <w:rPr/>
      </w:pPr>
      <w:bookmarkStart w:id="311" w:name="__RefHeading___Toc10506944_73709187"/>
      <w:bookmarkStart w:id="312" w:name="_Toc120"/>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يقتضي تنقيح القول في قاعدة التجاوز، المستفادة من هذه النصوص، التكلّم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قبل الشروع في البحث عن هذه المواضع، أنّ جملة من المباحث الراجعة إليها، مثل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هذه القاعدة هل هي من المسائل الاُصوليّة أو الفقهيّة‌؟ </w:t>
      </w:r>
      <w:bookmarkStart w:id="313" w:name="pg11801_108170"/>
    </w:p>
    <w:p>
      <w:pPr>
        <w:pStyle w:val="BookText"/>
        <w:rPr/>
      </w:pPr>
      <w:bookmarkEnd w:id="313"/>
      <w:r>
        <w:rPr>
          <w:rFonts w:ascii="Amiri" w:hAnsi="Amiri" w:eastAsia="Amiri" w:cs="Amiri"/>
          <w:color w:val="111111"/>
          <w:sz w:val="28"/>
          <w:sz w:val="28"/>
          <w:szCs w:val="28"/>
          <w:rtl w:val="true"/>
          <w:lang w:bidi="ar-SA"/>
        </w:rPr>
        <w:t>وأنّها هل تكون من الأمارات المثبتة لوقوع المشكوك فيه، أم من الاُصول التعبّديّة‌؟</w:t>
      </w:r>
    </w:p>
    <w:p>
      <w:pPr>
        <w:pStyle w:val="BookText"/>
        <w:rPr/>
      </w:pPr>
      <w:r>
        <w:rPr>
          <w:rFonts w:ascii="Amiri" w:hAnsi="Amiri" w:eastAsia="Amiri" w:cs="Amiri"/>
          <w:color w:val="111111"/>
          <w:sz w:val="28"/>
          <w:sz w:val="28"/>
          <w:szCs w:val="28"/>
          <w:rtl w:val="true"/>
          <w:lang w:bidi="ar-SA"/>
        </w:rPr>
        <w:t>وأنّها هل تكون حجّة في مثبتاتها أم لا؟ ووجه تقدّمها على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أنّها متّحدة مع قاعدة الفراغ أم مختلفة، وأنّ المجعول في كلّ منهما شيءٌ غير ما هو المجعول في الاُخرى أم لا؟</w:t>
      </w:r>
    </w:p>
    <w:p>
      <w:pPr>
        <w:pStyle w:val="BookText"/>
        <w:rPr/>
      </w:pPr>
      <w:r>
        <w:rPr>
          <w:rFonts w:ascii="Amiri" w:hAnsi="Amiri" w:eastAsia="Amiri" w:cs="Amiri"/>
          <w:color w:val="111111"/>
          <w:sz w:val="28"/>
          <w:sz w:val="28"/>
          <w:szCs w:val="28"/>
          <w:rtl w:val="true"/>
          <w:lang w:bidi="ar-SA"/>
        </w:rPr>
        <w:t>وأنّها هل تكون عامّة لجميع الأبواب، أم مختصّة بباب الصَّلاة‌؟</w:t>
      </w:r>
    </w:p>
    <w:p>
      <w:pPr>
        <w:pStyle w:val="BookText"/>
        <w:rPr/>
      </w:pPr>
      <w:r>
        <w:rPr>
          <w:rFonts w:ascii="Amiri" w:hAnsi="Amiri" w:eastAsia="Amiri" w:cs="Amiri"/>
          <w:color w:val="111111"/>
          <w:sz w:val="28"/>
          <w:sz w:val="28"/>
          <w:szCs w:val="28"/>
          <w:rtl w:val="true"/>
          <w:lang w:bidi="ar-SA"/>
        </w:rPr>
        <w:t xml:space="preserve">لعدم دخلها في المقام أغمضنا عن ذكر جميع هذه المباحث في كتابنا هذا، لكن أشبعنا الكلام فيها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ولذلك اقتصرنا في البحث عنها عن المواضع المرتبطة بكتاب الصّلاة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0506946_73709187"/>
      <w:bookmarkStart w:id="315" w:name="_Toc121"/>
      <w:bookmarkEnd w:id="314"/>
      <w:r>
        <w:rPr>
          <w:rtl w:val="true"/>
        </w:rPr>
        <w:t>جريان القاعدة في الرّكعتين الأوليين</w:t>
      </w:r>
      <w:bookmarkEnd w:id="315"/>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02"/>
      </w:r>
      <w:r>
        <w:rPr>
          <w:rFonts w:ascii="Amiri" w:hAnsi="Amiri" w:eastAsia="Amiri" w:cs="Amiri"/>
          <w:color w:val="111111"/>
          <w:sz w:val="28"/>
          <w:sz w:val="28"/>
          <w:szCs w:val="28"/>
          <w:rtl w:val="true"/>
          <w:lang w:bidi="ar-SA"/>
        </w:rPr>
        <w:t>عدم اختصاص القاعدة بالركعتين الأخيرتين، وجريانها في الأوليّين، من غير فرقٍ بين كون المشكوك فيه من الأركان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الشيخين</w:t>
      </w:r>
      <w:r>
        <w:rPr>
          <w:rStyle w:val="FootnoteAnchor"/>
          <w:rtl w:val="true"/>
        </w:rPr>
        <w:footnoteReference w:id="603"/>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تجري في الأركان من الأولييّن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الأوّل لإطلاق جملةٍ من ما تقدّم من النصوص، وصراحة </w:t>
      </w:r>
    </w:p>
    <w:p>
      <w:pPr>
        <w:pStyle w:val="BookText"/>
        <w:rPr/>
      </w:pPr>
      <w:r>
        <w:rPr>
          <w:rFonts w:ascii="Amiri" w:hAnsi="Amiri" w:eastAsia="Amiri" w:cs="Amiri"/>
          <w:color w:val="111111"/>
          <w:sz w:val="28"/>
          <w:sz w:val="28"/>
          <w:szCs w:val="28"/>
          <w:rtl w:val="true"/>
          <w:lang w:bidi="ar-SA"/>
        </w:rPr>
        <w:t xml:space="preserve">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القاعدة في الأوليّين، وفي الأركان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ذهب إليه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النصوص على أنّ الشكّ في الأوليّين موجبٌ للبطلان، وأنّه لابدَّ من سلامتهما عن السَّهو، كالخبر الذي رواه أبوبصير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في الأولتين فَأعِدهُما حتّيتُثبتهما</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اعتبار سلامة الأوليّين حتّى من الشكّ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المحقّقان النائيني</w:t>
      </w:r>
      <w:r>
        <w:rPr>
          <w:rStyle w:val="FootnoteAnchor"/>
          <w:rtl w:val="true"/>
        </w:rPr>
        <w:footnoteReference w:id="606"/>
      </w:r>
      <w:r>
        <w:rPr>
          <w:rFonts w:ascii="Amiri" w:hAnsi="Amiri" w:eastAsia="Amiri" w:cs="Amiri"/>
          <w:color w:val="111111"/>
          <w:sz w:val="28"/>
          <w:sz w:val="28"/>
          <w:szCs w:val="28"/>
          <w:rtl w:val="true"/>
          <w:lang w:bidi="ar-SA"/>
        </w:rPr>
        <w:t>والهمداني</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النصوص منصرفة إلى الشكّ في الرَّكعات، ولا تشمل الشكّ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اعتبار حفظ الرّكعتين، والرّكعة اسمٌ لمجموع أجزاء معيّنة، فالشكّ في تحقّق واحدٍ منها شكٌّ في تحقّق الرّكعة، وموجب لعدم إحرازهما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زرارة أخصّ من هذه النصوص، فيقدّم عليها، مع أنّ النسبة بين هذه النصوص وبين دليل قاعدة التجاوز وإنْ كانت عموماً من وجه، إلّاأنّه من جهة أنّ دلالة ذلك إنّما تكون بالعموم، ودلالة هذه بالإطلاق، فلابدّ من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ما نُسب إلى المصنّف رحمه الله، لصراحة صحيح زرارة في الرّكن من الرّكعة الأُولى‌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الرّكن شكٌّ في الرّكعة، بخلاف ما إذا كان المشكوك فيه غير ركن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6" w:name="pg11801_108172"/>
    </w:p>
    <w:p>
      <w:pPr>
        <w:pStyle w:val="BookText"/>
        <w:rPr/>
      </w:pPr>
      <w:bookmarkEnd w:id="31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للتفصيل بين الرّكن وغيره، فإنّ الشكّ في غيره أيضاً شكٌّ في الرّكعة</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0506948_73709187"/>
      <w:bookmarkStart w:id="318" w:name="_Toc122"/>
      <w:bookmarkEnd w:id="317"/>
      <w:r>
        <w:rPr>
          <w:rtl w:val="true"/>
        </w:rPr>
        <w:t>اشتراط جريانها بالدخول في الجزء اللّاحق</w:t>
      </w:r>
      <w:bookmarkEnd w:id="318"/>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الدخول في الغير في جريان القاعدة أم لا؟</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الدخول في الغير الخاص، أم يكفي الدخول في مطلق الغير؟</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موارد الشكّ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وجود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الغير المترتّب الشرعي، لا لورود التصريح به ذلك في دليلها، بل لانّ التجاوز المعتبر في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بناءً على المختار من وحدة قاعدة التجاوز والفراغ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في تلك الموارد إلّابالدخول في الغير، وإلّا فلا يصدق التجاوز عنه، بعد كون الشكّ في أصل الوجود، ففي موارد الشكّ في الوجود، يعتبر الدخول في الغير المترتّب الشرعي، ولازم ذلك اعتبار التجاوز عن المحلّ الذي جُعل محلّاً للشيء شرعاً، وعدم كفاية التجاوز عن ما صار محلّاً للشيء بمقتضى العادة النوعيّة أو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الأعظم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في الموضع الثاني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بمحلّ الفعل المشكوك في وجوده، هي المرتبة المقرّرة له بحكم العقل، أو بوضع الشارع، أو غيره ولو كان نفس المكلّف من جهة اعتياده بإتيان ذلك المشكوك في ذلك المحلّ‌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ممّا لا إشكال فيه، إلّاالأخير، فإنّه ربما يتخيّل انصراف إطلاق الأخبار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فتح هذا الباب بالنسبة إلى العادة، يوجب مخالفة إطلاقات كثيرة، فمن اعتاد الصَّلاة في أوّل وقتها أو مع الجماعة، فشكّ في فعلها بعد ذلك، فلا يجب عليه الفعل، وكذا من اعتاد فعل شيء بعد الفراغ من الصَّلاة، فرأى نفسه فيه، وشكّ في فعل الصَّلاة، وكذا من اعتاد الوضوء بعد الحَدَث بلا فصل يعتدّ به، أو قبل دخول الوقت للتهيّؤ فشكّ بعد ذلك في الوضوء، إلى غير ذلك من الفروع التي يبعد التزام الفقيه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المحقّق اليزدي</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بأنّ الأمثلة المذكورة جُلّها من قبيل العادة الشخصيّة، والمراد من محلّ الشيء ما صار محلّاً له شرعاً أو بمقتضى العادة النوعيّة، وأمّا ما صار محلّاً له بمقتضى العادة الشخصيّة فلا يشمله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إضافة المحلّ إلى الشيء بقولٍ مطلق، لا تصحّ بمجرّد تحقّق العادة لشخصٍ خاص، بخلاف ما لو كانت العادة بحسب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من المخالفة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إلّاعلى وجوب الإتيان بالفعل، وأمّا لو شكّ في أنّه وجد أم لا؟ فلا تدلّ على عدم الإيجاد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قاعدة الاشتغال تقتضي وجوب الإتيان ما لم يقطع بالإمتثال، وكذلك استصحاب عدم الإتيان، وعلى فرض تماميّة نصوص الباب تكون قاعدة التجاوز مقدّمة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الشيخ الأعظم رحمه الله أنّ الأخبار لا تشمل في أنفسها موارد التجاوز عن المحلّ العادي، حتّى نلتجأ لإخراجها إلى ما أفاده من مخالفة الإطلاقات، إذ ليس الموضوع في شيءٍ من الأخبار التجاوز عن محلّ الشيء حتّى يقال بشموله لذلك، بل الموضوع فيها هو التجاوز عن الشيء ومضيّه والخروج عنه، ولكن حيث أنّه في موارد الشكّ في أصل الوجود لا معنى لذلك، فنلتزم بأنّ المراد التجاوز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بحيث لو اُريد الإتيان به لوقع على غير الوجه المأمور به، ولا ريب أنّ ذلك يتوقّف على التجاوز عن المحلّ الشرعي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ما استدلّ به المحقّق اليزدي لمختاره من كفاية التجاوز عن المحلّ العادي بحسب النوع، من أنّه ليس في الأدلّة ما يدلّ على التقييد بخصوص المحلّ الشرعي، وأنّ إضافة المحلّ إلى الشيء بقول مطلق تصحّ مع تحقّق العادة النوعيّة، ينبغي أن يُعدّ من غرائب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أورده على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أنّ إجراء القاعدة في الموارد المذكورة، يستلزم مخالفة إطلاقات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إجرائها يستلزم مخالفة قاعدة الاشتغال والاستصحاب دون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الشيخ قدس سره من هذه الجملة أنّ الالتزام بكفاية التجاوز عن المحلّ العادي في جريانها يستلزم تأسيس فقه جديد، ويوجب الالتزام بمسائل خلاف الإجماع والضرورة، فلا وجه لدعوى أنّه لا محذور في جريانها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التجاوز عن المحلّ الشرعي في موارد الشكّ في أصل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موارد الشكّ في الصحّة، فحيثُ أنّ التجاوز عن المشكوك فيه ملازمٌ للدخول في أمرٍ مغاير له، فلا محالة يعتبر الدخول في الغير من دون اعتبار قيد فيه عقلي أو شرعي، فلو قيل باعتبار قيدٍ فيه لابدَّ وأن يُذكر له دليل، وإلّا فمقتضى إطلاق موثّق ابن مسلم وغيره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قولان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الدخول في الغير الوجودي، وعدم كفاية السكوت المجرّد، وهو مختار المحقّق النائيني رحمه الله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الدخول في الغير الشرعي المعنون بعنوان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المطلقات لا إطلاق لها، والقدر المتيقّن منها ذلك، وذكروا في توجيه ذلك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الطبيعة المأخوذة في الدليل على أفرادها، إذا كان بنحو التشكيك الذي يكون بالقياس إلى بعضها بالظهور وبالقياس إلى الآخر بالخفاء، فإنّ الحكم لا يثبت إلّاللأفراد الظاهرة، والشاهد على ذلك خفاء صدق الحيوان على الإنسان بحسب المتفاهم العرفي، ولذلك التزمنا بانصراف ما دلَّ على عدم جواز الصَّلاة في شيءٍ من أجزاء الحيوان الذي لا يؤكل لحمه، عن أجزاء الإنسان، وحيثُ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الغير الوجودي ظاهرٌ بالقياس إلى مالم يدخل فيه، فلا محالة ينصرف الدليل إليه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الضابط إنّما يتمّ بالنسبة إلى الأفراد التي يكون صدق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الماهيّة عليها بالخفاء، بحيث لا يراها العرف من مصاديقها، ومن المعلوم أنّ الأمر في المقام ليس كذلك بالضرورة، غاية الأمر صدق التجاوز مع الدخول في الغير الوجودي أظهر، ولكن الأظهريّة ليست ملاك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في مقام التخاطب في الأدلّة، هو خصوص ما إذا تحقّق هناك دخولٌ في الغير الوجودي، فلا يصحّ التمسّك بالإطلاق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المتيقّن لو سُلّم مانعيّته عن التمسّك بالإطلاق، فإنّما هو فيما إذا كان القدر المتيقّن في مقام التخاطب لا مطلقه، وفي المقام ليس كذلك، غاية الأمر وجود القدر المتيقّن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أنّ القدر المتيقّن في مقام التخاطب أيضاً لا يكون مانعا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الأدلّة لا تنحصر بالمطلقات، بل فيها العمومات، وقد حُقّق في محلّه أنّ أداة العموم ما كان منها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بأنفسها متكلّفة لتسرية الحكم إلى جميع أفراد ما يصلح أن ينطبق عليه مدخولها، من دون حاجةٍ إلى إجراء مقدّمات الحكمة في مدخولها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غلبة وجود الشكّ في الصحّة في خصوص ما إذا كان داخلاً في الغير الوجودي، تمنع عن التمسّك بالإطلاق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الغلبة لا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الدليل بالمطلقات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المطلقات والعمومات، عدم اعتبار هذا القيد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 عليه المحقّق النائيني رحمه الله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وهو أنّ مقتضى الإطلاقات وإنْ كان عدم اعتبار الدخول في الغير، إلّاأنّ ظاهر جملة من النصوص، كموثّق ابن يعفور</w:t>
      </w:r>
      <w:r>
        <w:rPr>
          <w:rStyle w:val="FootnoteAnchor"/>
          <w:rtl w:val="true"/>
        </w:rPr>
        <w:footnoteReference w:id="612"/>
      </w:r>
      <w:r>
        <w:rPr>
          <w:rFonts w:ascii="Amiri" w:hAnsi="Amiri" w:eastAsia="Amiri" w:cs="Amiri"/>
          <w:color w:val="111111"/>
          <w:sz w:val="28"/>
          <w:sz w:val="28"/>
          <w:szCs w:val="28"/>
          <w:rtl w:val="true"/>
          <w:lang w:bidi="ar-SA"/>
        </w:rPr>
        <w:t>وغيره هو اعتبار الدخول في الغير، إذ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صِرْتَ في حالةٍ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ورد في الأخبار، هو الاشتغال بأمرٍ وجودي مغايرٍ لحال الاشتغال بالمركّب، فلابدَّ من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المقيّدات، اعتبار الدخول في مطلق الغير الذي عرفت أنّه ملازمٌ لصدق عنوان التجاوز والمُضيّ والفراغ، وظهورها في اعتبار الدخول في أمرٍ وجودي ممنوعٌ‌، فإذا لا تنافي بين المطلقات والمقيّدات، ومفاد الجميع واحد، وهو كفاية الدخول في مطلق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لا تنافي بين صدر موثّق ابن أبي يعفور، الدالّ على اعتبار الدخول في الغير، وذيله المقتصر على مجرّد التجاوز، لتلازم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اعتبار الدخول في الغير الذي له عنوانٌ مستقلٌّبوجوه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منه، وقد صِرتَ في حالٍ اُخرى في الصَّلاة أو في غيرها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اعتبار الدخول في عبادةٍ مترتّبة على الوضوء، مثل الصَّلاة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مختصٌّ بالوضوء، والتعدّي يحتاج إلى دليل، وعدم الفصل غير ثابتٍ‌، لا سيّما بعد ملاحظة عدم جريان القاعدة في أثنائه وجريانها في أثناء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الشرطيّة معارضة مع الشرطيّة الأُولى المذكورة في صدره،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أغسلتَ ذراعيك أم لا، فأعد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ولا أقلّ من المحتمل كون الثانية تصريحاً بمفهوم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الإعتناء في صدر الصحيح بالشكّ على الاشتغال بالوضوء،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يجب أن يؤخَذ بمفهوم الصدر إذ التصرّف في الذّيل أولى من التصرّف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يتعارضان فيحكم بالإجمال والرجوع إلى العمومات والمطلقات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بحسب الظاهر مطلق غير حال الوضوء، ويؤيّده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الصَّلاة أو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 كان المراد هي الحال المخصوصة، كان الأولى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التعليق على الدخول في الغير، في صحيحي إسماعيل وزرارة، والمنساق إلى الذهن من الغير في أمثال المقام إرادة فعلٍ آخر من أفعال الصَّلاة، ممّا له استقلالٌ بالملاحظة لا مطلق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وقوع التمثيل في صدر الصحيح بالشكّ في الرّكوع بعدما سجد، وفي السّجود بعدما قام، فلو كان الهويّ إلى السّجود والنهوض إلى القيام كافيين، لكانا أولى بالتمثيل، فيستكشف من ذلك أنّ </w:t>
      </w:r>
    </w:p>
    <w:p>
      <w:pPr>
        <w:pStyle w:val="BookText"/>
        <w:rPr/>
      </w:pPr>
      <w:r>
        <w:rPr>
          <w:rFonts w:ascii="Amiri" w:hAnsi="Amiri" w:eastAsia="Amiri" w:cs="Amiri"/>
          <w:color w:val="111111"/>
          <w:sz w:val="28"/>
          <w:sz w:val="28"/>
          <w:szCs w:val="28"/>
          <w:rtl w:val="true"/>
          <w:lang w:bidi="ar-SA"/>
        </w:rPr>
        <w:t>المراد بالغير المذكور في الذيل، ليس مطلقة، بل ما كان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لدعوى الانسباق المزبور إلّاأحد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الشيء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 النظر إلى ما يكون له عنوانٌ مستقلّ‌، فينسبق ذلك إلى الذهن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يماثله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بالسّجود والقيام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انصرافٌ بدوي يزول بعد الالتفات إلى عدم قصور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الشمول لأبعاض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لمطلق ما يُغاير المشكوك فيه، ودعوى الانصراف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التمثيل بهما لا بالهُويّ والنهوض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يكون لأجل عدم كونهما من أجزاء الصَّلاة، وقد مرّ أنّه يعتبر الدخول في الغير المترتّب الشرعي في موارد الشكّ في أصل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الغالب حصول الشكّ في هذه الحال، وهذا لا يوجب تقييد إطلاق ما في ذيلهما من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التراخي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الدخول في مطلق الغير كافياً، لكان ذلك من لوازم الخروج، دون الحاجة إلى الاستعانة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أُريد بذلك أنّ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قسمٍ خاص من الغير، وهو ما يكون منفصلاً عن المشكوك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فاصل بين التكبيرة والقراءة اللّتين وقع التصريح بهما في صدر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اعتبار المباينة الذاتيّة، وهذه كما تشمل الغير الذي له عنوانٌ مستقلّ‌، كذلك تشمل غيره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كونه عطفُ تفسيرٍ، ولعلّه المتبادر إلى الذهن بعد الالتفات إلى أنّ الدخول في الغير من مقوّمات صدق مُضيّ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شيءٌ يدلّ على اعتبار أمرٍ زائد على صدق عنوان التجاوز، وهو في موارد الشكّ في الوجود لايصدق إلّابعد الدخول في الغير المترتّب الشرعي، وفي موارد الشكّ في الصحّة يصدق بالدخول في مطلق الغير، وهذا الاختلاف إنّما نشأ من اختلاف المصاديق، وإلّا فالمفهوم المعلّق عليه الحكم واحدٌ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يظهر جريان قاعدة الفراغ في موارد الشكّ في صحّة الجزء أيضاً، ولا يختصّ بمورد الشكّ في صحّة المركّب على ماهو صريح المحقّق النائيني رحمه الله، فلو شكّ في صحّة التكبيرة بعد الفراغ منها وقبل الدخول في القراءة، جرت القاعدة فيها، ولا يتوقّف جريانها على الدخول في القراءة</w:t>
      </w:r>
      <w:r>
        <w:rPr>
          <w:rFonts w:eastAsia="Amiri" w:cs="Amiri" w:ascii="Amiri" w:hAnsi="Amiri"/>
          <w:color w:val="111111"/>
          <w:sz w:val="28"/>
          <w:szCs w:val="28"/>
          <w:rtl w:val="true"/>
          <w:lang w:bidi="ar-SA"/>
        </w:rPr>
        <w:t>.</w:t>
      </w:r>
      <w:bookmarkStart w:id="319" w:name="pg11801_108181"/>
    </w:p>
    <w:p>
      <w:pPr>
        <w:pStyle w:val="Heading6"/>
        <w:numPr>
          <w:ilvl w:val="5"/>
          <w:numId w:val="1"/>
        </w:numPr>
        <w:rPr/>
      </w:pPr>
      <w:bookmarkStart w:id="320" w:name="__RefHeading___Toc10506950_73709187"/>
      <w:bookmarkStart w:id="321" w:name="_Toc123"/>
      <w:bookmarkEnd w:id="319"/>
      <w:bookmarkEnd w:id="320"/>
      <w:r>
        <w:rPr>
          <w:rtl w:val="true"/>
        </w:rPr>
        <w:t>جريان القاعدة في الأجزاء غير المستقلّة</w:t>
      </w:r>
      <w:bookmarkEnd w:id="321"/>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أنّه هل يختصّ جريان قاعدة التجاوز بالأجزاء المستقلّة بالتبويب، أم تجري في أجزاء الأجزاء أيضاً؟</w:t>
      </w:r>
    </w:p>
    <w:p>
      <w:pPr>
        <w:pStyle w:val="BookText"/>
        <w:rPr/>
      </w:pPr>
      <w:r>
        <w:rPr>
          <w:rFonts w:ascii="Amiri" w:hAnsi="Amiri" w:eastAsia="Amiri" w:cs="Amiri"/>
          <w:color w:val="111111"/>
          <w:sz w:val="28"/>
          <w:sz w:val="28"/>
          <w:szCs w:val="28"/>
          <w:rtl w:val="true"/>
          <w:lang w:bidi="ar-SA"/>
        </w:rPr>
        <w:t>قولان، اختار أوّلهما المحقّق النائيني رحمه الله</w:t>
      </w:r>
      <w:r>
        <w:rPr>
          <w:rStyle w:val="FootnoteAnchor"/>
          <w:rtl w:val="true"/>
        </w:rPr>
        <w:footnoteReference w:id="614"/>
      </w:r>
      <w:r>
        <w:rPr>
          <w:rFonts w:ascii="Amiri" w:hAnsi="Amiri" w:eastAsia="Amiri" w:cs="Amiri"/>
          <w:color w:val="111111"/>
          <w:sz w:val="28"/>
          <w:sz w:val="28"/>
          <w:szCs w:val="28"/>
          <w:rtl w:val="true"/>
          <w:lang w:bidi="ar-SA"/>
        </w:rPr>
        <w:t>تبعاً للشهيد الثاني رحمه الله</w:t>
      </w:r>
      <w:r>
        <w:rPr>
          <w:rStyle w:val="FootnoteAnchor"/>
          <w:rtl w:val="true"/>
        </w:rPr>
        <w:footnoteReference w:id="615"/>
      </w:r>
      <w:r>
        <w:rPr>
          <w:rFonts w:ascii="Amiri" w:hAnsi="Amiri" w:eastAsia="Amiri" w:cs="Amiri"/>
          <w:color w:val="111111"/>
          <w:sz w:val="28"/>
          <w:sz w:val="28"/>
          <w:szCs w:val="28"/>
          <w:rtl w:val="true"/>
          <w:lang w:bidi="ar-SA"/>
        </w:rPr>
        <w:t>، لكن الأظهر هو الثاني؛ لأنّ مقتضى إطلاق أدلّتها وعمومها، جريان القاعدة في كلّ مشكوكٍ فيه، سواءٌ اعتبرنا قاعدة الفراغ والتجاوز قاعدة واحدة أم متعدّدة، فلو شكّ في آيةٍ بعد الدخول في آيةٍ اُخرى‌، لا يعتني به ويمضي في صلاته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المحقّق النائيني رحمه الله</w:t>
      </w:r>
      <w:r>
        <w:rPr>
          <w:rStyle w:val="FootnoteAnchor"/>
          <w:rtl w:val="true"/>
        </w:rPr>
        <w:footnoteReference w:id="616"/>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التجاوز مختصّة بباب الصَّلاة، إذ إطلاق الأدلّة وعمومها بعدما لم يمكن شمولهما للأجزاء وللمركّبات في عرض واحد، وإلّا لزم الجمع بين لحاظ المتأخّر والمتقدّم في لحاظٍ واحد، وهو ممتنعٌ‌، واختصاصهما بالمركّبات، فدخول الأجزاء في عموم الشيء في عرض دخول الكلُّ لا يمكن إلّابعناية التعبّد والتنزيل، وحينئذٍ فلابدَّ من الاقتصار على مورد التنزيل، والمقدار الذي قام الدليل عليه، هي الأجزاء المستقلّة بالتبويب، إذ الدليل عليه هو صحيحا زرارة وإسماعيل المختصّ صدرهما بالأجزاء المستقلّة، حيث يوجب ذلك تضييق مصبّ عموم الشيء وإطلاق الغير المذكورين في الذيل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شمول الأدلّة للمركّبات وأجزائها في عرض واحد، إذ المانع المتوهّم ليس إلّالزوم ذلك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لحاظ المركّب شيئاً، المستلزم ذلك للحاظ الأجزاء تبعيّاً، لاندكاك شيئيّة الجزء في شيئيّة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لحاظ الجزء شيئاً مستقلّاً،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لحاظ الجزء في نفسه سابقٌ في الرّتبة على لحاظ المركّب منه ومن غيره من الأجزاء، وحينئذٍ فكيف يمكن الجمع بين الشيئين اللّذين هما في مرتبتين في عرضٍ واحد، والحكم عليهما في دليل واحد، توهّم فاسد، إذ لا مانع من الجمع بين المتقدّم والمتأخّر في دليل واحد، ولحاظهما في عرض واحد، بجامع ينطبق عليهما، وكون أحدهما سابقاً في الرتبة على الآخر، وكون لحاظه مندكّاً في لحاظه، لا ينافي الجمع بيهما في 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اللحاظ الآخر هو لحاظ الطبيعة الجامعة بينهما، المعرّاة عن جميع الخصوصيّات، واندكاك لحاظ الجزء في لحاظ الكُلّ إنّما هو فيما إذا لوحظت الخصوصيّة، كما هو واضحٌ لمن راجع نظائر المقام، ألا ترى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اختياري فهو مسبوقٌ بالإرادة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يشمل المركّبات والأجزاء في عرض واحد، 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يحتاج في وجوده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الملحوظ في موارد الشكّ في المركّبات، إنّما هو الأجزاء والشرائط وعدم الموانع المعتبرة في المأمور به دون المركّبات، إذ الشكّ في صحّة المركّب، لا يتصوّر إلّابالشكّ في وجود جزءٍ أو شرطٍ أو عدم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فالمتعبّد به هو وجود الجزء أو الشرط أو عدم المانع، وتمام الكلام في محلّه من </w:t>
      </w:r>
      <w:bookmarkStart w:id="322" w:name="pg11801_108183"/>
    </w:p>
    <w:p>
      <w:pPr>
        <w:pStyle w:val="BookText"/>
        <w:rPr/>
      </w:pPr>
      <w:bookmarkEnd w:id="322"/>
      <w:r>
        <w:rPr>
          <w:rFonts w:ascii="IRNazanin" w:hAnsi="IRNazanin" w:eastAsia="IRNazanin"/>
          <w:color w:val="111111"/>
          <w:sz w:val="28"/>
          <w:sz w:val="28"/>
          <w:szCs w:val="28"/>
          <w:rtl w:val="true"/>
          <w:lang w:bidi="fa-IR"/>
        </w:rPr>
        <w:t>مباحث الاُصول</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والتزمنا بعدم شمول دليلٍ واحد للمركّبات والأجزاء، فإنّه لا وجه لدعوى اختصاص الصحيحين بالأجزاء المستقلّة، إذ الأمثلة المذكورة في صدرهما، وإنْ كانت من هذا القبيل، إلّاأنّ العبرة بإطلاق الدليل وعمومه، وقد تقدّم أنّه لا قصور في شمول ذيلهما لأجزاء الأجزاء أيضاً، ولذا ترى أنّه لم يتوقّف أحد في إجراء القاعدة لو شكّ في الحمد وهو في السورة، مع أنّ المذكور في الصحيح هي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الدليل وعمومه، جريان القاعدة في الشكّ في صدر الآية، بعد الدخول في ذيلها المخالف له مفهوماً، كما قد يتّفق ذلك في الآيات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شمولها لأجزاء الكلمة الواحدة، أو الكلام الواحد العرفي، كالمبتدأ والخبر مشكلٌ‌، إذ لا يبعد دعوى أنّ أهل العرف يرون ذلك من الشكّ قبل التجاوز لا بعده، فتدبّر</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10506952_73709187"/>
      <w:bookmarkStart w:id="324" w:name="_Toc124"/>
      <w:bookmarkEnd w:id="323"/>
      <w:r>
        <w:rPr>
          <w:rtl w:val="true"/>
        </w:rPr>
        <w:t>عدم كفاية الدخول في الهويّ والنهوض في جريان القاعدة</w:t>
      </w:r>
      <w:bookmarkEnd w:id="324"/>
    </w:p>
    <w:p>
      <w:pPr>
        <w:pStyle w:val="Heading6"/>
        <w:numPr>
          <w:ilvl w:val="5"/>
          <w:numId w:val="1"/>
        </w:numPr>
        <w:rPr/>
      </w:pPr>
      <w:bookmarkStart w:id="325" w:name="__RefHeading___Toc10506954_73709187"/>
      <w:bookmarkStart w:id="326" w:name="_Toc125"/>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الدخول في الهويّ إلى السّجود، في عدم الاعتناء بالشكّ في الرّكوع، والدخول في النهوض إلى القيام، في جريان القاعدة في الشكّ في السّجود أم لا؟</w:t>
      </w:r>
    </w:p>
    <w:p>
      <w:pPr>
        <w:pStyle w:val="BookText"/>
        <w:rPr/>
      </w:pPr>
      <w:r>
        <w:rPr>
          <w:rFonts w:ascii="Amiri" w:hAnsi="Amiri" w:eastAsia="Amiri" w:cs="Amiri"/>
          <w:color w:val="111111"/>
          <w:sz w:val="28"/>
          <w:sz w:val="28"/>
          <w:szCs w:val="28"/>
          <w:rtl w:val="true"/>
          <w:lang w:bidi="ar-SA"/>
        </w:rPr>
        <w:t>أم يجب التفصيل بين الفرعين، فيكفي الأوّل دون الثاني‌؟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القواعد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يقتضيه النصّ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من حيث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فكفاية الدخول فيهما وعدمها، مبتنيان على كون الهويّ والنهوض من أجزاء الصَّلاة أم أنّهما من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تجري القاعدة بعد الدخول فيهما، لما تقدّم من عدم اعتبار شيءٍ في جريان القاعدة، سوى الدخول في الغير المترتّب الشرعي، في موارد الشكّ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فلا مجال لجريان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شكّ في صحّة الرّكوع أو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الهويّ أو في حال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القاعدة، لما تقدّم من عدم اعتبار الدخول في الغير الخاص في جريان القاعدة، في موارد الشكّ في الصحّة، لكن ذلك خارجٌ عن فرض المسألة، لأنّ محلّ الكلام الشكّ في الوجود، وحيث أنّ المختار عدم كونهما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عليه، بل ربما يقال إنّ لابديّة الإتيان بهما، لتوقّف السّجود والقيام عليهما، تمنع من تعلّق الأمر الشرعي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من الطلب اللّغوي غير المحتاج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عدم كفاية الدخول فيهما، في عدم الاعتناء بالشكّ في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النصّ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مصحّح عبد الرحمن بن أبي عبد اللّه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أركع أم لم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ركع</w:t>
      </w:r>
      <w:r>
        <w:rPr>
          <w:rStyle w:val="FootnoteAnchor"/>
          <w:rtl w:val="true"/>
        </w:rPr>
        <w:footnoteReference w:id="619"/>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يدر أسَجد أم لم يسجد؟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التفصيل بين الفرعين، وأنّه يكفي الدخول في الهُويّ في عدم الاعتناء بالشكّ في الرّكوع، ولا يكفي الدخول في النهوض في عدم الاعتناء بالشكّ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21"/>
      </w:r>
      <w:r>
        <w:rPr>
          <w:rFonts w:ascii="Amiri" w:hAnsi="Amiri" w:eastAsia="Amiri" w:cs="Amiri"/>
          <w:color w:val="111111"/>
          <w:sz w:val="28"/>
          <w:sz w:val="28"/>
          <w:szCs w:val="28"/>
          <w:rtl w:val="true"/>
          <w:lang w:bidi="ar-SA"/>
        </w:rPr>
        <w:t>من أنّ القول بالتفصيل جمعٌ بين المتناقضين، لأنّهما إنْ كانا من الأجزاء، فتجري القاعدة في الفرعين، وإلّا فلا تجري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الملازمة بين الفرعين، وما ذكره رحمه الله وإنْ كان بحسب القاعدة ممّا لا ريب فيه، إلّاأنّه مع ورود النّص بالتفصيل، وعدم الدليل على الملازمة بين الفرعين، لا مناص عن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622"/>
      </w:r>
      <w:r>
        <w:rPr>
          <w:rFonts w:ascii="Amiri" w:hAnsi="Amiri" w:eastAsia="Amiri" w:cs="Amiri"/>
          <w:color w:val="111111"/>
          <w:sz w:val="28"/>
          <w:sz w:val="28"/>
          <w:szCs w:val="28"/>
          <w:rtl w:val="true"/>
          <w:lang w:bidi="ar-SA"/>
        </w:rPr>
        <w:t>من أنّ دلالة المصحّح على كفاية الدخول في الهُويّ غير المنتهي إلى السّجود، إنّما تكون بالإطلاق، وهو يُقيَّد بصحيح إسماعيل الوارد فيه قوله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 في الرّكوع بعدما سَجَد فليمض، وإنْ شكّ في السّجود بعدما قام فليمض، كلّ شيء شُكّ فيه وقد جاوزه فليمض عليه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 هو كالصريح في عدم كفاية الدخول في الهويّ‌، غير المنتهي إلى السّجود، إذ تحديد جريان القاعدة بما إذا تحقّق الدخول في السّجود، مع كونه متأخّراً عن الهويّ‌، يدلّ على عدم الاعتبار بالدخول في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العبرة إنّما هي بعموم الجواب وإطلاقه، لا بخصوص الأمثلة الواردة في الخبر قبل إعطاء الضابطة، لا سيّما في مثل هذه الأمثلة الواقعة في سؤال الراوي لا في جواب الإمام عليه السلام، وعليه فجوابه عليه السلام وإنْ كان لا يشمل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غير منافٍ لثبوت عدم الاعتناء فيه أيضاً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لا يدلّ على عدم كفاية الدخول في الهُويّ كي يوجب تقييد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في الجواب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الظاهر من المصحّح فرض السؤال في الشكّ في الرّكوع بعد الدخول في السّجود، وذلك للتعبير بالفعل الماضي، الظاهر في التحقّق والمُضيّ‌، وتعديته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ذلك يوجب ظهور الكلام في تحقّق الهويّ المنتهي إلى السّجود ومضيِّه، الملازم ذلك للدخول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المذكور في المصحّح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المضارع، أو كان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 من قيامه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الخبر ظاهراً فيما ذكره، 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فلا أقلّ من إجمال الخبر، وعدم ظهوره في خلاف ما تقتضيه القاعدة الأوّليّة من وجوب الاعتناء ما لم يدخل في السّجود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كفاية الدخول في الهويّ والنهوض في عدم الاعتناء بالشكّ في الرّكوع والسّجود</w:t>
      </w:r>
      <w:r>
        <w:rPr>
          <w:rFonts w:eastAsia="Amiri" w:cs="Amiri" w:ascii="Amiri" w:hAnsi="Amiri"/>
          <w:color w:val="111111"/>
          <w:sz w:val="28"/>
          <w:szCs w:val="28"/>
          <w:rtl w:val="true"/>
          <w:lang w:bidi="ar-SA"/>
        </w:rPr>
        <w:t xml:space="preserve">. </w:t>
      </w:r>
      <w:bookmarkStart w:id="327" w:name="pg11801_108187"/>
    </w:p>
    <w:p>
      <w:pPr>
        <w:pStyle w:val="Heading6"/>
        <w:numPr>
          <w:ilvl w:val="5"/>
          <w:numId w:val="1"/>
        </w:numPr>
        <w:rPr/>
      </w:pPr>
      <w:bookmarkStart w:id="328" w:name="__RefHeading___Toc10506956_73709187"/>
      <w:bookmarkStart w:id="329" w:name="_Toc126"/>
      <w:bookmarkEnd w:id="327"/>
      <w:bookmarkEnd w:id="328"/>
      <w:r>
        <w:rPr>
          <w:rtl w:val="true"/>
        </w:rPr>
        <w:t>الشكّ في الرّكوع بعد الانتصاب</w:t>
      </w:r>
      <w:bookmarkEnd w:id="32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 مناسبٌ لهذه المسألة، وهو أنّه لو شكّ المُصلّي في الرّكوع بعد انتصابه من الانحناء، بأنْ شَكّ في أنّه بلغ إلى حَدّ الرّكوع فقام، أو لم يصل إليه، فهل تجري القاعدة فيه أم لا؟</w:t>
      </w:r>
    </w:p>
    <w:p>
      <w:pPr>
        <w:pStyle w:val="BookText"/>
        <w:rPr/>
      </w:pPr>
      <w:r>
        <w:rPr>
          <w:rFonts w:ascii="Amiri" w:hAnsi="Amiri" w:eastAsia="Amiri" w:cs="Amiri"/>
          <w:color w:val="111111"/>
          <w:sz w:val="28"/>
          <w:sz w:val="28"/>
          <w:szCs w:val="28"/>
          <w:rtl w:val="true"/>
          <w:lang w:bidi="ar-SA"/>
        </w:rPr>
        <w:t>وجهان، أقواههما الأوّل، وذلك لأنّ الانتصاب من الأجزاء الواجبة للصلاة بعد الرّكوع، فيكون الشكّ المزبور شكّاً في الرّكوع بعد الدخول في الغير المترتّب الشرعي، فتجري القاعدة فيه، مضافاً إلى أنّه يدلّ عليه الخبر الصحيح الذي رواه 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استقم قائماً فلا أدري أركعتُ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ركعت، فامض في صلاتك، فإنّما ذلك من الشيطان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من وجوب الاعتناء بهذا الشكّ‌، ولزوم الإتيان بالركوع في الفرض نصّاً وفتوى، يعدّ خطأً منه قدس سره، وخلطاً بين هذا الفرع وفرعٍ آخر، وهو ما إذا شكّ في الرّكوع وهو قائمٌ‌، مع عدم إحراز الانحناء أصلاً، فإنّ المُفتى به في هذا الفرع وجوب الرّكوع، وهو مطابقٌ للنّص والقاعدة، لكنّه أجنبيٌ عن محلّ الكلام</w:t>
      </w:r>
      <w:r>
        <w:rPr>
          <w:rFonts w:eastAsia="Amiri" w:cs="Amiri" w:ascii="Amiri" w:hAnsi="Amiri"/>
          <w:color w:val="111111"/>
          <w:sz w:val="28"/>
          <w:szCs w:val="28"/>
          <w:rtl w:val="true"/>
          <w:lang w:bidi="ar-SA"/>
        </w:rPr>
        <w:t>.</w:t>
      </w:r>
      <w:bookmarkStart w:id="330" w:name="pg11801_108188"/>
    </w:p>
    <w:p>
      <w:pPr>
        <w:pStyle w:val="Heading6"/>
        <w:numPr>
          <w:ilvl w:val="5"/>
          <w:numId w:val="1"/>
        </w:numPr>
        <w:rPr/>
      </w:pPr>
      <w:bookmarkStart w:id="331" w:name="__RefHeading___Toc10506958_73709187"/>
      <w:bookmarkStart w:id="332" w:name="_Toc127"/>
      <w:bookmarkEnd w:id="330"/>
      <w:bookmarkEnd w:id="331"/>
      <w:r>
        <w:rPr>
          <w:rtl w:val="true"/>
        </w:rPr>
        <w:t>حكم الشكّ في الجزء الأخير</w:t>
      </w:r>
      <w:bookmarkEnd w:id="332"/>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المشكوك فيه هو الجزء الأخير، فقد يقال بعدم جريان القاعدة في العمل المركّب منه ومن غيره، للشكّ في تحقّق الفراغ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أنّ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الإتيان بالمنافي العمدي والسَّهوي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الإتيان بالمنافي العمدي والسَّهوي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الإتيان بالمنافي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ذلك بعد الدخول في أمرٍ مترتّب على المشكوك فيه شرعاً، كما لو شكّ في التسليم، وهو مشغولٌ بالتعقيب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شكّ فيه بعد الدخول في أمرٍ مترتّب شرعي، فلا ينبغي التأمّل في جريان قاعدة التجاوز في خصوص الجزء الأخير، إذ الشكّ إنّما يكون فيما تجاوز ومضى‌، باعتبار مُضيّ محلّه وتجاوزه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المختار من وحدة القاعدتين أو تعدّدهما، مع كون قاعدة التجاوز عامّة شاملة لجميع الأبواب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بالتعدّد، واختصاص قاعدة التجاوز بباب الصَّلاة، فقد يُتوهّم عدم جريان القاعدة فيه إذا كان المشكوك فيه غير الصَّلاة، كما لو شكّ في الجزء الأخير من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عدم جريان قاعدة التجاوز فيه،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 قاعدة الفراغ، وإنْ اعتقد الفراغ آناً مّا، فلأنّ إثبات الفراغ باليقين الزائل، غير ظاهر الوجه، ونفس اليقين الزائل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مشكوكٌ فيه فلا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توهّمٌ فاسد، فإنّ المراد بالفراغ هو الفراغ البنائي، إذ إرادة الفراغ الحقيقي تستلزم عدم حجيّة القاعدة رأساً، لأنّه مع عدم إحرازه لا مورد لجريانها، ومع إحرازه لا شكّ فيه، هذا فيما إذا اعتقد الفراغ ولو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يحرز ذلك، فحيث أنّ المأخوذ في أدلّتها هو الانصراف والمُضيّ‌، وهما يصدقان في الفرض، فتجري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لو شكّ فيه، ولم يدخل في الغير المترتّب، ولم يأتِ بالمنافي حتّى السكوت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اعتقد الفراغ ولو آناً مّا تجري القاعدة فيه،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26"/>
      </w:r>
      <w:r>
        <w:rPr>
          <w:rFonts w:ascii="Amiri" w:hAnsi="Amiri" w:eastAsia="Amiri" w:cs="Amiri"/>
          <w:color w:val="111111"/>
          <w:sz w:val="28"/>
          <w:sz w:val="28"/>
          <w:szCs w:val="28"/>
          <w:rtl w:val="true"/>
          <w:lang w:bidi="ar-SA"/>
        </w:rPr>
        <w:t>، إذ المراد من الفراغ هو الفراغ البنائي دون الحقيقي كما تقدّم آنفاً، وعليه فإنكار الشيخ الأعظم رحمه الله</w:t>
      </w:r>
      <w:r>
        <w:rPr>
          <w:rStyle w:val="FootnoteAnchor"/>
          <w:rtl w:val="true"/>
        </w:rPr>
        <w:footnoteReference w:id="627"/>
      </w:r>
      <w:r>
        <w:rPr>
          <w:rFonts w:ascii="Amiri" w:hAnsi="Amiri" w:eastAsia="Amiri" w:cs="Amiri"/>
          <w:color w:val="111111"/>
          <w:sz w:val="28"/>
          <w:sz w:val="28"/>
          <w:szCs w:val="28"/>
          <w:rtl w:val="true"/>
          <w:lang w:bidi="ar-SA"/>
        </w:rPr>
        <w:t>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يعتقد الفراغ، ولو آناً مّا لا تجري القاعدة، لعدم صدق التجاوز والمُضيّ‌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شكّ فيه بعد الإتيان بما يوجب مطلق وجوده البطلان، كما لو شكّ في التسليم بعد الإستدبار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تجري القاعدة حينئذٍ، لاختصاصها بما إذا دخل في الأمر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المترتّب الشرعي، ولا يكون المنافي مترتّباً على الجزء الأخير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يرد دليلٌ دالّ على اعتبار الدخول في الأمر المترتّب، وإنّما التزمنا به من جهة أنّه لا يصدق التجاوز بدونه، وحيثُ إنّه مع الإتيان بالمنافي المزبور يصدق التجاوز، إذ لو اُريد به الإتيان لوقع على خلاف الوجه المأمور به شرعاً، فتجري القاعدة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شكّ فيه بعد الإتيان بالمنافي العمدي دون السَّهوي، كما لو شكّ في التسليم بعد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عدم جريان القاعدة، لعدم صدق التجاوز والمُضيّ‌، إذ لو أتى به لوقع على الوجه المأمور به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التسليم يكون قبل فعل المنافي العمدي أيضاً، فبعد الإتيان به يصدق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كذلك، إذ لو تكلّم قبله سهواً لم تبطل الصَّلاة، وعليه فما عن المحقّق النائيني رحمه الله</w:t>
      </w:r>
      <w:r>
        <w:rPr>
          <w:rStyle w:val="FootnoteAnchor"/>
          <w:rtl w:val="true"/>
        </w:rPr>
        <w:footnoteReference w:id="628"/>
      </w:r>
      <w:r>
        <w:rPr>
          <w:rFonts w:ascii="Amiri" w:hAnsi="Amiri" w:eastAsia="Amiri" w:cs="Amiri"/>
          <w:color w:val="111111"/>
          <w:sz w:val="28"/>
          <w:sz w:val="28"/>
          <w:szCs w:val="28"/>
          <w:rtl w:val="true"/>
          <w:lang w:bidi="ar-SA"/>
        </w:rPr>
        <w:t>من جريان القاعدة في هذه الصورة في غير محلّه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33" w:name="pg11801_108191"/>
    </w:p>
    <w:p>
      <w:pPr>
        <w:pStyle w:val="Heading6"/>
        <w:numPr>
          <w:ilvl w:val="5"/>
          <w:numId w:val="1"/>
        </w:numPr>
        <w:rPr/>
      </w:pPr>
      <w:bookmarkStart w:id="334" w:name="__RefHeading___Toc10506960_73709187"/>
      <w:bookmarkStart w:id="335" w:name="_Toc128"/>
      <w:bookmarkEnd w:id="333"/>
      <w:bookmarkEnd w:id="334"/>
      <w:r>
        <w:rPr>
          <w:rtl w:val="true"/>
        </w:rPr>
        <w:t>حكم الشكّ في الشيء مع إحراز الغفلة</w:t>
      </w:r>
      <w:bookmarkEnd w:id="335"/>
    </w:p>
    <w:p>
      <w:pPr>
        <w:pStyle w:val="Heading6"/>
        <w:numPr>
          <w:ilvl w:val="5"/>
          <w:numId w:val="1"/>
        </w:numPr>
        <w:rPr/>
      </w:pPr>
      <w:bookmarkStart w:id="336" w:name="__RefHeading___Toc10506962_73709187"/>
      <w:bookmarkStart w:id="337" w:name="_Toc129"/>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الصحّة بعد الفراغ من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مُحرِزاً للغفلة حال العمل عن رعاية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مُحرِزاً للغفلة قبل ترقب الإتيان بالمشكوك فيه، مع احتمال التذكّر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غير محرزٍ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خلافاً لجمع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كالمحقّقين النائيني رحمه الله</w:t>
      </w:r>
      <w:r>
        <w:rPr>
          <w:rStyle w:val="FootnoteAnchor"/>
          <w:rtl w:val="true"/>
        </w:rPr>
        <w:footnoteReference w:id="629"/>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وتبعاً لجمعٍ من المحقّقين</w:t>
      </w:r>
      <w:r>
        <w:rPr>
          <w:rStyle w:val="FootnoteAnchor"/>
          <w:rtl w:val="true"/>
        </w:rPr>
        <w:footnoteReference w:id="631"/>
      </w:r>
      <w:r>
        <w:rPr>
          <w:rFonts w:ascii="Amiri" w:hAnsi="Amiri" w:eastAsia="Amiri" w:cs="Amiri"/>
          <w:color w:val="111111"/>
          <w:sz w:val="28"/>
          <w:sz w:val="28"/>
          <w:szCs w:val="28"/>
          <w:rtl w:val="true"/>
          <w:lang w:bidi="ar-SA"/>
        </w:rPr>
        <w:t>عدم جريان القاعدة فيه، وذلك لأنّ القاعدة كما حُقّق في محلّه</w:t>
      </w:r>
      <w:r>
        <w:rPr>
          <w:rStyle w:val="FootnoteAnchor"/>
          <w:rtl w:val="true"/>
        </w:rPr>
        <w:footnoteReference w:id="632"/>
      </w:r>
      <w:r>
        <w:rPr>
          <w:rFonts w:ascii="Amiri" w:hAnsi="Amiri" w:eastAsia="Amiri" w:cs="Amiri"/>
          <w:color w:val="111111"/>
          <w:sz w:val="28"/>
          <w:sz w:val="28"/>
          <w:szCs w:val="28"/>
          <w:rtl w:val="true"/>
          <w:lang w:bidi="ar-SA"/>
        </w:rPr>
        <w:t>ليست من الاُصول التعبّديّة، بل هي من الأمارات النوعيّة، لوقوع المشكوك فيه، كما هو المستفاد من التعليل بالأذكريّة والأقربيّة إلى الحقّ‌، وعليه، فحيثُ لا أماريّة في الفرض، ولا يُحتمل الأذكريّة، فلا مجال لجريان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وقد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النصوص جريانها في الفرض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يُخصَّص بالعلّة المنصوصة، مع أنّ مقام الإثبات تابعٌ لمقام الثبوت، فإذا لم يكن هناك ملاك الطريقيّة، لا يعقل الحكم بالمُضيّ بعنوان تتميم الكشف وإمضاء الطريق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إنّ من التزم بكونها من الأمارات، كالمحقّق النائيني رحمه الله</w:t>
      </w:r>
      <w:r>
        <w:rPr>
          <w:rStyle w:val="FootnoteAnchor"/>
          <w:rtl w:val="true"/>
        </w:rPr>
        <w:footnoteReference w:id="633"/>
      </w:r>
      <w:r>
        <w:rPr>
          <w:rFonts w:ascii="Amiri" w:hAnsi="Amiri" w:eastAsia="Amiri" w:cs="Amiri"/>
          <w:color w:val="111111"/>
          <w:sz w:val="28"/>
          <w:sz w:val="28"/>
          <w:szCs w:val="28"/>
          <w:rtl w:val="true"/>
          <w:lang w:bidi="ar-SA"/>
        </w:rPr>
        <w:t>كيف بني على جريانها في الفرض، وحَمَل التعليل بالأذكريّة على الحكمة دون العلّة‌؟</w:t>
      </w:r>
    </w:p>
    <w:p>
      <w:pPr>
        <w:pStyle w:val="BookText"/>
        <w:rPr/>
      </w:pPr>
      <w:r>
        <w:rPr>
          <w:rFonts w:ascii="Amiri" w:hAnsi="Amiri" w:eastAsia="Amiri" w:cs="Amiri"/>
          <w:color w:val="111111"/>
          <w:sz w:val="28"/>
          <w:sz w:val="28"/>
          <w:szCs w:val="28"/>
          <w:rtl w:val="true"/>
          <w:lang w:bidi="ar-SA"/>
        </w:rPr>
        <w:t>استدلّ المحقّق اليزدي رحمه الله</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تبعاً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635"/>
      </w:r>
      <w:r>
        <w:rPr>
          <w:rFonts w:ascii="Amiri" w:hAnsi="Amiri" w:eastAsia="Amiri" w:cs="Amiri"/>
          <w:color w:val="111111"/>
          <w:sz w:val="28"/>
          <w:sz w:val="28"/>
          <w:szCs w:val="28"/>
          <w:rtl w:val="true"/>
          <w:lang w:bidi="ar-SA"/>
        </w:rPr>
        <w:t>، على 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حين يتوضّأ إذكر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من قبيل العلّة، بل من قبيل حكمة التشريع، فلا مقيّد لإطلاق الأدلّة،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سائر المطلقات مع كونها في مقام البيان عن ذكر تلك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عن عدّة من أصحابنا، عن أحمد بن محمّد، عن علي ابن الحكم، عن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الخاتم إذا اغتَسلتُ؟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 فإنْ نسيتَ حتّى تقوم في الصَّلاة، فلا آمرك أن تُعيد الصَّلاة</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وتبعهما في الوجه الثاني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آنفاً من كونها من الأمارات، ومعه لا يُعقل شمول الأدلّة للفرض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يرد على الوجه الأوّل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ذُكر ما يوجب تقييد إطلاق الأدلّة في دليلٍ منفصل غَير عزيز في الفقه، بل غالب المقيّدات مذكورة في دليل منفصل، مع كون المطلقات في مقام البيان، وإلّا لما انعقد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الثاني فيرد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السؤال والجواب واردين على الخاتم الوسيع الذي يصل الماء تحته قطعاً، ويكون الجواب دالّاً على استحباب التحويل والإدارة في الفرض، كما هو المشهور بين الأصحاب</w:t>
      </w:r>
      <w:r>
        <w:rPr>
          <w:rStyle w:val="FootnoteAnchor"/>
          <w:rtl w:val="true"/>
        </w:rPr>
        <w:footnoteReference w:id="637"/>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638"/>
      </w:r>
      <w:r>
        <w:rPr>
          <w:rFonts w:ascii="Amiri" w:hAnsi="Amiri" w:eastAsia="Amiri" w:cs="Amiri"/>
          <w:color w:val="111111"/>
          <w:sz w:val="28"/>
          <w:sz w:val="28"/>
          <w:szCs w:val="28"/>
          <w:rtl w:val="true"/>
          <w:lang w:bidi="ar-SA"/>
        </w:rPr>
        <w:t>إنّه مذهب فقهائنا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عن ظهور الرواية في ذلك، فلا أقلّ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ورودهما في مورد الشكّ في وصول الماء تحت الخاتم، إلّاأنّ الخبر لا يدلّ على صحّة الوضوء والغُسل، وإنّما يدلّ على صحّة الصَّلاة، وعدم وجوب إعادتها، فتكون الرواية دالّة على أنّ الإخلال في الصَّلاة بالطهارة نسياناً، كالإخلال بالقراءة ونحوها لا يوجب البطلان، فتكون معارضة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المقدّم عليها لوجوهٍ لا تخفى‌، والعلم بأنّ الصَّلاة تُعاد من ناحية الطهارة، لا يوجبُ ظهور الرواية في إرادة صحّة الوضوء، كما لا يخفى‌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الجريان، لأنّ ملاك الطريقيّة موجود فيه، إذ المريد لمركب يكون غالباً غافلاً عن كثيرٍ من الأجزاء والشرائط تفصيلاً قبل العمل، ولكن الالتفات الإجمالي الارتكازي يوجب الإتيان بكلّ جزءٍ في محلّه، فالغالب عند تعلّق الإرادة بإتيان المركّب، هو الإتيان بالأجزاء في محالّها، وإنْ لم يلتفت إليها تفصيلاً قبل العمل، ولذلك تشمله العمومات والمطلقات، فضلاً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38" w:name="pg11801_108194"/>
    </w:p>
    <w:p>
      <w:pPr>
        <w:pStyle w:val="BookText"/>
        <w:rPr/>
      </w:pPr>
      <w:bookmarkEnd w:id="338"/>
      <w:r>
        <w:rPr>
          <w:rFonts w:ascii="Amiri" w:hAnsi="Amiri" w:eastAsia="Amiri" w:cs="Amiri"/>
          <w:color w:val="111111"/>
          <w:sz w:val="28"/>
          <w:sz w:val="28"/>
          <w:szCs w:val="28"/>
          <w:rtl w:val="true"/>
          <w:lang w:bidi="ar-SA"/>
        </w:rPr>
        <w:t>أنّ التعليل بالأذكريّة يشمله أيضاً، إذ لا وجه لتخصيصه بالذكر التفصيلي في أوّل العمل، بل يشمل الذُّكر الإجمالي الارتكازي الموجب لإتيان الجزء في محلّه، فملاك الطريقيّة موجودٌ، والأدلّة في مقام الإثبات تشمله، فتجري القاعدة فيه دون مانعٍ وراعدع</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10506964_73709187"/>
      <w:bookmarkStart w:id="340" w:name="_Toc130"/>
      <w:bookmarkEnd w:id="339"/>
      <w:r>
        <w:rPr>
          <w:rtl w:val="true"/>
        </w:rPr>
        <w:t>إذا كانت صورة العمل محفوظة</w:t>
      </w:r>
      <w:bookmarkEnd w:id="340"/>
    </w:p>
    <w:p>
      <w:pPr>
        <w:pStyle w:val="BookText"/>
        <w:rPr/>
      </w:pPr>
      <w:r>
        <w:rPr>
          <w:rFonts w:ascii="Amiri" w:hAnsi="Amiri" w:eastAsia="Amiri" w:cs="Amiri"/>
          <w:color w:val="111111"/>
          <w:sz w:val="28"/>
          <w:sz w:val="28"/>
          <w:szCs w:val="28"/>
          <w:rtl w:val="true"/>
          <w:lang w:bidi="ar-SA"/>
        </w:rPr>
        <w:t>وأمّا 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تكن صورة العمل محفوظة، ولأجله شكّ في انطباق المأمور به على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الصورة هي القدر المتيقّن من موارد القاعدة،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كون الشُّبهة موضوعيّة، كما لو شكّ بعد الصَّلاة في أنّه ركع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كونها حُكميّة، كما إذا علم بأنّه صَلّى دون أن يقرأ السورة، واحتمل أن يكون ذلك لأجل تقليده من يفتي بعدم وجوب السّورة، فإنّه تجري القاعدة، ويحكم بصحّة الصَّلاة، لاحتمال استنادها إلى حكمٍ ظاهري يوجب الحكم بصحّتها، لعدم وجوب الإعادة والقضاء، وإن انكشف الخلاف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ما إذا صَلّى بلا تقليد واجتهاد، ثمَّ شكّ في صحّة ما أتى به من الصَّلوات، من جهة احتمال رعاية الاحتياط، والإتيان بكلّ ما يحتمل وجوبه من الأجزاء والشرائط، فإنّه تجري القاعدة فيها، إذ لا يعتبر في جريانها معلوميّة الحكم الواقعي أو الظاهري بعينه، بل الميزان هو احتمال الإتيان بما هو وظيفته، وهو متحقّق في الفرض لاحتمال رعاية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كانت صورة العمل محفوظة، كما لو علم أنّه صَلّى إلى جهةٍ معيّنة احتمل كونها هي القبلة، أو علم أنّه توضّأ بمائعٍ خاص، لكن شكّ في كونه ماءً أو غيره، فالأظهر عدم جريان القاعدة فيها، إذ لا أماريّة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معلوميّة المأتي به، والشكّ في موضوعٍ واقعي، وهو أنّه يكون منطبقاً على المأتي به أم لا؟ فإنّه لا طريقيّة للمطابقة ولكونه على وفق المأتي به، ولذلك لا تشمله الأدلّة، إذ مضافاً إلى أنّ التعليل بالأذكريّة موجبٌ لتقييّد إطلاقها الشامل في نفسه للمقام، أنّه لأجل عدم الكاشفيّة الناقصة، لا يُعقل الحكم بالمُضيّ بعنوان الكاشفيّة، وإمضاء الطريق، لتبعيّة مقام الإثبات لمقام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الشبهات الحكميّة، ما إذا توضّأ بماء الورد، ثمَّ شكّ في صحّة الوضوء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الشبهات الحكميّة، ما إذا توضّأ بماء الورد، ثمَّ شكّ في صحّة الوضوء به، فاللّازم حينئذٍ إمّا إعادة الوضوء، أو الفحص عن حكم المسألة، ثمّ العمل بما يقتضيه تكليفه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جريان القاعدة عن كون الشكّ في الانطباق، ناشئاً عن الجهل بكيفيّة المأتي به، وأمّا مع انحفاظ صورة العمل، وكون الشكّ في سراية الأمر إلى هذا المأتيّ به الخارجي، فلا تجري القاعدة، من غير فرقٍ بين الشبهات الموضوعيّة والحكميّة</w:t>
      </w:r>
      <w:r>
        <w:rPr>
          <w:rFonts w:eastAsia="Amiri" w:cs="Amiri" w:ascii="Amiri" w:hAnsi="Amiri"/>
          <w:color w:val="111111"/>
          <w:sz w:val="28"/>
          <w:szCs w:val="28"/>
          <w:rtl w:val="true"/>
          <w:lang w:bidi="ar-SA"/>
        </w:rPr>
        <w:t>.</w:t>
      </w:r>
      <w:bookmarkStart w:id="341" w:name="pg11801_108196"/>
    </w:p>
    <w:p>
      <w:pPr>
        <w:pStyle w:val="Heading6"/>
        <w:numPr>
          <w:ilvl w:val="5"/>
          <w:numId w:val="1"/>
        </w:numPr>
        <w:rPr/>
      </w:pPr>
      <w:bookmarkStart w:id="342" w:name="__RefHeading___Toc10506966_73709187"/>
      <w:bookmarkStart w:id="343" w:name="_Toc131"/>
      <w:bookmarkEnd w:id="341"/>
      <w:bookmarkEnd w:id="342"/>
      <w:r>
        <w:rPr>
          <w:rtl w:val="true"/>
        </w:rPr>
        <w:t>حكم الشكّ في الإخلال العَمدي</w:t>
      </w:r>
      <w:bookmarkEnd w:id="343"/>
    </w:p>
    <w:p>
      <w:pPr>
        <w:pStyle w:val="BookText"/>
        <w:rPr/>
      </w:pP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العمل السابق وفساده، من جهة احتمال الخَلل العمدي، فهل تجري فيه قاعدة الفراغ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الأدلّة جريانها فيه، إلّاأنّ التعليل بالأذكريّة يوجبُ اختصاص الأدلّة بصورة احتمال الترك عن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أنّ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كبرى كليّة مطويّة، تدلّ على أنّ الأذكر لا يَترك، ويكون القياس بصغراه وكبراه تعبّداً بعدم الترك العمدي السَّهوي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عدم الترك العمدي مفروغاً عنه، فأراد عليه السلام بذلك سَدّ احتمال الترك السَّهوي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المحقّق النائيني رحمه الله</w:t>
      </w:r>
      <w:r>
        <w:rPr>
          <w:rStyle w:val="FootnoteAnchor"/>
          <w:rtl w:val="true"/>
        </w:rPr>
        <w:footnoteReference w:id="642"/>
      </w:r>
      <w:r>
        <w:rPr>
          <w:rFonts w:ascii="Amiri" w:hAnsi="Amiri" w:eastAsia="Amiri" w:cs="Amiri"/>
          <w:color w:val="111111"/>
          <w:sz w:val="28"/>
          <w:sz w:val="28"/>
          <w:szCs w:val="28"/>
          <w:rtl w:val="true"/>
          <w:lang w:bidi="ar-SA"/>
        </w:rPr>
        <w:t>مع التزامه بأنّ الأذكريّة المذكورة علّة للحكم من قبل حكمة التشريع لا العلّة، التزم في المقام بعدم جريان القاعدة، مستنداً إلى التعليل المذكور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مجموع الأدلّة، بعد ضمّ بعضها إلى بعض، هو التعبّد بما يقتضيه طبع كلّ مكلّف قَصَد الإتيان بفعل مركّب، وكان في مقام الامتثال، وهو كما يقتضي عدم الترك السَّهوي، كذلك يقتضي عدم الترك العمدي، فتجري القاعدة عند احتمال الترك العمدي، بمثل ما تجري عند احتمال الترك السَّهوي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كان استدلالاً بالنصوص، فيرد عليه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وإنْكان استدلالاً ببناءالعُقلاء، فيرد عليه أنّه لم يثبت بنائهم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استدلالاً بظهور حال المُسلم، فيرد عليه أنّه لا دليل على حجيّته في المقام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جريان القاعدة في المقام، إلّاأنّه بناءً على ما حقّقناه في محلّه في أبحاثنا الاُصوليّة، من جريان أصالة الصحّة في عمل الشخص نفسه، تجري القاعدة في المقام، ويُحكم بالصحّة</w:t>
      </w:r>
      <w:r>
        <w:rPr>
          <w:rFonts w:eastAsia="Amiri" w:cs="Amiri" w:ascii="Amiri" w:hAnsi="Amiri"/>
          <w:color w:val="111111"/>
          <w:sz w:val="28"/>
          <w:szCs w:val="28"/>
          <w:rtl w:val="true"/>
          <w:lang w:bidi="ar-SA"/>
        </w:rPr>
        <w:t>.</w:t>
      </w:r>
      <w:bookmarkStart w:id="344" w:name="pg11801_108198"/>
    </w:p>
    <w:p>
      <w:pPr>
        <w:pStyle w:val="Heading6"/>
        <w:numPr>
          <w:ilvl w:val="5"/>
          <w:numId w:val="1"/>
        </w:numPr>
        <w:rPr/>
      </w:pPr>
      <w:bookmarkStart w:id="345" w:name="__RefHeading___Toc10506968_73709187"/>
      <w:bookmarkStart w:id="346" w:name="_Toc132"/>
      <w:bookmarkEnd w:id="344"/>
      <w:bookmarkEnd w:id="345"/>
      <w:r>
        <w:rPr>
          <w:rtl w:val="true"/>
        </w:rPr>
        <w:t>حكم الشكّ في الشرائط</w:t>
      </w:r>
      <w:bookmarkEnd w:id="346"/>
    </w:p>
    <w:p>
      <w:pPr>
        <w:pStyle w:val="BookText"/>
        <w:rPr/>
      </w:pPr>
      <w:r>
        <w:rPr>
          <w:rFonts w:ascii="Amiri" w:hAnsi="Amiri" w:eastAsia="Amiri" w:cs="Amiri"/>
          <w:color w:val="111111"/>
          <w:sz w:val="28"/>
          <w:sz w:val="28"/>
          <w:szCs w:val="28"/>
          <w:rtl w:val="true"/>
          <w:lang w:bidi="ar-SA"/>
        </w:rPr>
        <w:t>الموضع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ولا كلام في جريان القاعدة لو شكّ في صحّة العمل وفساده، لأجل احتمال الإخلال بشرطٍ من الشروط بعد الفراغ من العمل، كما لو شكّ بعد الصَّلاة في أنّه كان متطهّراً أم لا، إنّما الكلام فيما إذا حَدَث الشكّ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للشروط أقساماً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بوجوده المتقدّم على العمل شرطاً لصحّته، كالإقامة بالقياس إلى الصَّلاة، على القول باشتراط صحّة الصَّلاة بها، وفي مثل ذلك تجري قاعدة التجاوز في نفس الشرط، للتجاوز عنه بمُضيّ محلّه، ويُحكم بتحقّقه، فلو كان شرطاً لصحّة عملٍ آخر، له الإتيان به من دون إعادة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المتَعبَّد به وجود الشرط بيده، لا مطلق وجوده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المتعبّد به لو كان وجدان المشروط لشرطه تمّ ما ذُكر، ولكن إذا كان نفس وجود الشرط، فلا يتمّ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بنيتم عليه من أنّ الشرط في الصَّلاة وغيرها من العبادات المشروطة بالطهارة، هو نفس الوضوء، لا الأمر الحاصل منه، فإنّ لازم ما ذُكر في المقام جريان القاعدة فيما لو شَكّ وهو في الصَّلاة في الوضوء قبلها، وحينئذٍ فله إتمام الصَّلاة والإتيان سائر ما يُشترط فيه الطهارة من دون أن يُعيد وضوءه، وحيث إنّه لم يفتِ أحدٌ بذلك، فيستكشف فساد أحد المبنيين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نلتزم بأنّ الشرط هي الغَسَلات والمَسَحات بوجودها الآني الحقيقي </w:t>
      </w:r>
    </w:p>
    <w:p>
      <w:pPr>
        <w:pStyle w:val="BookText"/>
        <w:rPr/>
      </w:pPr>
      <w:r>
        <w:rPr>
          <w:rFonts w:ascii="Amiri" w:hAnsi="Amiri" w:eastAsia="Amiri" w:cs="Amiri"/>
          <w:color w:val="111111"/>
          <w:sz w:val="28"/>
          <w:sz w:val="28"/>
          <w:szCs w:val="28"/>
          <w:rtl w:val="true"/>
          <w:lang w:bidi="ar-SA"/>
        </w:rPr>
        <w:t>المتصرّم، بل التزمنا بأنّ الشارع الأقدس اعتبر بقاء تلك الأفعال، وإنْ كانت منعدمة حقيقةً‌، ما دام لم يتحقّق الناقص، لمصلحةٍ تدعو إلى اعتباره، وعليه فشرط كلّ عبادةٍ مشروطة بالطهارة، هو حصّة خاصّة من ذلك الأمر الاعتباري المستمرّ، الملازمة لها والتوأمة معها، فيخرج الشكّ في الطهارة في أثناء الصَّلاة، عن الشكّ في وجود الشرط المتقدّم، ويدخل في الصورة الثانية، وسيأتي حكمها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هذا القبيل ما لو شكّ في الإتيان بصلاة الظهر، وهو في أثناء العصر، فمقتضى قاعدة التجاوز لزوم البناء على تحقّقها، وعدم لزوم شيء عليه سوى إتمام ما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صلاة الظهر على صلاة العصر إنّما يعدّ شرطاً ذُكريّاً لا واقعيّاً، وعليه فلا يُحرز التجاوز عنها بالدخول في العصر لبقاء محلّها الشرعي، فمقتضى القاعدة لزوم الإبطال، وإتيان الظهر، ثمّ العصر بعدها، لولا أخبار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كفاية التجاوز عن المحلّ العادي في إجراء القاعدة جرت في المقام، لكن قد عرفت أنّها بمراحل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الشيء بوجوده المستمرّ المقارن للعمل، شرطاً له، مع كون المشروط هو نفس المركّب بما له من الأجزاء والآنات المتخلّلة بينها، كالطهارة والاستقبال وما شابههما بالقياس إلى الصَّلاة، وفي هذا القسم لا مجال لجريان القاعدة، لا بالقياس إلى نفس الشرط، ولا بالقياس إلى المشروط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بالقياس إلى نفس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هو شرطٌ بالنسبة إلى الآن الذي هو فيه وما بعده، ليس هو وجوده المتقدّم، بل وجوده المقارن، فهو لم يتجاوز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وأمّابالقياس إلى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تجاوزه، لفرض كونه مشغولاً به وفي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تجري القاعدة بالنسبة إلى الأجزاء السابقة، فإذا أُحرز الشرط للأجزاء اللّاحقة، وضمّ الوجدان إلى القاعدة، فقد أحرز تحقّق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المفروض شرطيّته في جميع الآنات وفي حال الشكّ‌، وفي تلك الحال لم يُحرز الشرط لا وجداناً ولا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بالقياس إلى الاستقبال ونحوه، ولا يتمّ في الطهارة وشبهها ممّا لها سببٌ شرعي هو الوضوء مثلاً الذي لابدّ وأن يكون مقدّماً على الصَّلاة، فإنّه إذا شكّ في تحقّقه قبلها وهو في الأثناء، تجري القاعدة في الوضوء، لفرض التجاوز عن محلّه، فإذا جرت وأحرز تحقّق السبب في ظرفه المقرّر له شرعاً، يرتفع الشكّ في بقاء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لو شكّ في صحّة الوضوء وفساده، مع إحراز أصل وجوده، لما تقدّم من أنّه لا يعتبر في جريان القاعدة في موارد الشكّ في أصل الوجود شيءٌ سوى الفراغ منه والدخول في حالة مغايرة للمشكوك فيه، ولا يتمّ في مورد الشكّ في أصل الوجود، الذي هو المفروض في هذا الأمر، لما تقدّم من اعتبار التجاوز عن المحلّ الشرعي، إذ محلّ الوضوء شرعاً ليس قبل الصَّلاة، بل هو محلّه العقلي، من جهة اعتبار مقارنة الصَّلاة للطهارة، إذ حينئذٍ لا مناص عقلاً إلّاتقديم الوضوء، وإلّا ففي كلّ مورد وقع الوضوء يستلزم وقوعه في محلّه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كفاية التجاوز عن المحلّ العادي في جريانها، تجري القاعدة في </w:t>
      </w:r>
    </w:p>
    <w:p>
      <w:pPr>
        <w:pStyle w:val="BookText"/>
        <w:rPr/>
      </w:pPr>
      <w:r>
        <w:rPr>
          <w:rFonts w:ascii="Amiri" w:hAnsi="Amiri" w:eastAsia="Amiri" w:cs="Amiri"/>
          <w:color w:val="111111"/>
          <w:sz w:val="28"/>
          <w:sz w:val="28"/>
          <w:szCs w:val="28"/>
          <w:rtl w:val="true"/>
          <w:lang w:bidi="ar-SA"/>
        </w:rPr>
        <w:t>الوضوء، ويحكم بتحقّقه، لكن عرفت أنّها بمراحل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 الشيء شرطاً مقارناً للأجزاء، من دون دخله في الآنات المتخلّلة، كاعتبار اقتران القراءة بالاستقرار، وفي مثل ذلك تجري القاعدة في المشروط المأتيّ به، لفرض الشكّ في صحّته وفساده، وقد مرّ أنّه في هذا المورد لا يعتبر في جريان القاعدة الدخول في الغير المترتّب الشرعي، فيحكم بصحّته، فبالنسبة إلى الأجزاء اللّاحقة يتمّ عمله إذا أحرز 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مشغولاً بجزءٍ فشكّ‌، لا تجري القاعدة فيه، لكونه من الشكّ في المحلّ‌، فلابدّ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البحث عن حكم شكّين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شكّ في تحقّق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اُريد بها قصد القُربة، فلا يعتني بهذا الشكّ‌، سواءٌ أكان في الأثناء أو بعد الفراغ، وتجري القاعدة في المشروط بها، لكون الشكّ فيه شكٌّ في الصحّة بعد إحراز أصل الوجود، الذي لا يعتبر في جريان القاعدة فيه سوى كون الشاكّ في حالة مغايرةٍ لحال المشكوك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بها القصد الذي يدور عليه تحقّق ذات المأمور به في الخارج، كما إذا شكّ في أنّه صلّى بقصد الصَّلاة أم بقصد التعليم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الشكّ بعد الفراغ، لا تجري فيه القاعدة، لكون الشكّ في أصل تحقّق المأمور به لا في صحّته وفساده، وحيث أنّه لم يدخل في الغير المترتّب فلا تجري 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في الأثناء، فإنْ كان رأى نفسه في حال الشكّ قاصداً الصّلاة، جرت القاعدة في الأجزاء السابقة، لفرض كون الشكّ في الوجود بعد الدخول في الغير المترتّب الشرعي، وإلّا فلا تجري، لأنّه بالنسبة إلى ما بيده شكٌّ في المحلّ‌، وبالنسبة إلى الأجزاء السابقة لم يحرز الدخول في الغير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ما إذا اُريد بها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معتبراً في أجزاء الصَّلاة المستقلّة، كالتكبيرة والقراءة والرّكوع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تجري القاعدة في المشروط بها، إذا كان الشكّ بعد الفراغ منه، سواءٌ أكان ذلك تمام العمل أم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شكّ في تحقّقها بين ما تقدّم وبين ما هو مشغول به، لا تجري القاعدة، لكون الشكّ حينئذٍ في المحلّ‌، إلّاأنّه يمكن إحراز الصحّة باستصحاب بقاء الموالاة، وعدم تحقّق الفصل الموجب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معتبراً بين أجزاء الكلمة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هذا القسم عقلي، ومن جهة عدم تحقّق ذات المأمور به، بخلاف القسم الأوّل الذي يكون اعتباره شرعيّاً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القسم لا تجري القاعدة، إلّافيما إذا دخل في الغير المترتّب الشرعي، لرجوع الشكّ فيه إلى الشكّ في أصل الوجود، فلو كان هذا الشكّ في الجرءالأخير، يلحقه ماتقدّم، فيماإذا شكّ في الجزء الأخير من الأحكام باختلاف الصور، فراجع</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وإلّا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الشكّ في فعلٍ قد انتقل عنه، وقد عرفت أنّه 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ذلك في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قاعدة الاشتغال والاستصحاب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أبي يعفور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من السّجود، فشكّ قبل أن يستوي جالساً، فلم يدر أسجد أم لم يسجد؟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يشكّ وهو قائم، فلا يدري أركع أم لا؟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فليركع</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أبي بصير</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يقيّد إطلاق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لا يدري أركع أم لم يركع‌؟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سهى فلم يدر سَجَد سجدة أم ثنتين‌؟ قال عليه السلام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ويسجد اُخرى‌</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ذَكَر أنّه كان قد فَعَله، استأنف إنْ كان ركناً،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فعل قبل الدخول في غيره فأتى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ذَكَر أنّه كان قد فَعَله،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المأتي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تقدّم من مبطليّة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عن غير عمدٍ على إشكال تقدّم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ومجرّد الأمر الظاهري به لا يوجبُ تخصيص تلك الأدلّة على وجوب إعادة الصَّلاة لزيادة الرّكن، وعرفت أيضاً أنّ زيادة غير الرّكن لا توجبُ البطلان، إنْ لم تكن عمديّة</w:t>
      </w:r>
      <w:r>
        <w:rPr>
          <w:rFonts w:eastAsia="Amiri" w:cs="Amiri" w:ascii="Amiri" w:hAnsi="Amiri"/>
          <w:color w:val="111111"/>
          <w:sz w:val="28"/>
          <w:szCs w:val="28"/>
          <w:rtl w:val="true"/>
          <w:lang w:bidi="ar-SA"/>
        </w:rPr>
        <w:t>.</w:t>
      </w:r>
      <w:bookmarkStart w:id="347" w:name="pg11801_108205"/>
    </w:p>
    <w:p>
      <w:pPr>
        <w:pStyle w:val="Heading5"/>
        <w:numPr>
          <w:ilvl w:val="4"/>
          <w:numId w:val="1"/>
        </w:numPr>
        <w:rPr/>
      </w:pPr>
      <w:bookmarkStart w:id="348" w:name="__RefHeading___Toc10506970_73709187"/>
      <w:bookmarkStart w:id="349" w:name="_Toc133"/>
      <w:bookmarkEnd w:id="347"/>
      <w:bookmarkEnd w:id="348"/>
      <w:r>
        <w:rPr>
          <w:rtl w:val="true"/>
        </w:rPr>
        <w:t>الفصل الرابع</w:t>
      </w:r>
      <w:r>
        <w:rPr>
          <w:rtl w:val="true"/>
        </w:rPr>
        <w:t xml:space="preserve">: </w:t>
      </w:r>
      <w:r>
        <w:rPr>
          <w:rtl w:val="true"/>
        </w:rPr>
        <w:t>حكم الظنّ في عدد الرَّكعات</w:t>
      </w:r>
      <w:bookmarkEnd w:id="349"/>
    </w:p>
    <w:p>
      <w:pPr>
        <w:pStyle w:val="Heading6"/>
        <w:numPr>
          <w:ilvl w:val="5"/>
          <w:numId w:val="1"/>
        </w:numPr>
        <w:rPr/>
      </w:pPr>
      <w:bookmarkStart w:id="350" w:name="__RefHeading___Toc10506972_73709187"/>
      <w:bookmarkStart w:id="351" w:name="_Toc134"/>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بعدد الرَّكعات وأجزاء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الظنّ بعدد الرَّكعات، والكلام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الأولتين وما بحكمهما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ولا إشكال في حجيّته واعتباره مطلقاً، سواءٌ أكان ابتدائيّاً أم بعد التروّي، وحكى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الإجماع عليه من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ثلاثاً صلّيت أم أربعاً، ولم يذهب وهمك إلى شيءٍ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ذهب وهمك إلى الثَّلاث، فقُم فصلِّ الرّكعة الرابعة، ولا تسجد سجدتي السَّهو، وإنْذهب وهمك إلى الأربع، فتشهّد وسَلّم ثمّ‌اسجد سَجدتي السَّهو</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سيّابة وأبي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ووقع رأيك على الثّلاث، فابن على الثَّلاث، وإنْ وقعَ رأيُك على الأربع فسلِّم وانصرف</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وإنْ وردت في موارد خاصّة، إلّاأنّه يتمّ دلالتها على عموم الدعوى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وبإزاء هذه الروايات نصوصٌ كصحيح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سها فلم يدر ثلاثاً صلّى أم أربعاً، واعتدل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أكثر وهمه إلى الأربع، تشهّد وسَلَّم، ثمّ قرأ فاتحة الكتاب ورَكع وَسَجَد، ثمّ قرأ فَسَجَد سجدتين وتشهّد وسَلّم</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الجمع بحمل هذه على الاستحباب عرفيّاً فهو، وإلّا فيتعيّن ذلك، أو طرحها لإعراض الأصحاب عنها على هذا، وعملهم بالطائفة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654"/>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إدريس</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ووافقه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صحيح صفوان،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لا تدري كم صلّيت، ولم يقع وَهْمُك على شيءٍ فأعِد الصَّلاة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إمّا على حجيّة الظنّ فيهما مطلقاً، أو يدلّ عليها عند تكثّرالمحتملات، ويثبت في غير هذا المورد بالأولويّة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 أمران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58"/>
      </w:r>
      <w:r>
        <w:rPr>
          <w:rFonts w:ascii="Amiri" w:hAnsi="Amiri" w:eastAsia="Amiri" w:cs="Amiri"/>
          <w:color w:val="111111"/>
          <w:sz w:val="28"/>
          <w:sz w:val="28"/>
          <w:szCs w:val="28"/>
          <w:rtl w:val="true"/>
          <w:lang w:bidi="ar-SA"/>
        </w:rPr>
        <w:t>من أنّ هذا الخبر شاملٌ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للركعتين الأخيرتين، فيكون أعمّ ممّا دلَّ على لزوم حفظ الأولتين وسلامتهما عن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لتضمّنه الأمر بالإعادة، يكون منطوقه مختصّاً بالأولتين، فلا يمكن صرف مفهومه إلى ما يشمل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الخبر عامٌ شاملٌ للأخيرتين، والأزيد أيضاً، وعليه بنينا على أنّ الأصل في الشكوك البطلان، خرج ما خرج، غاية الأمر يُخصّص المنطوق بواسطة أدلّة الشكوك الصحيحة بالنسبة إليها، وأمّا غيرها فباقٍ تحته، فلا وجه لتخصيص المفهوم بالأولتين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عن هذا الإيراد، يتوقّف على بيان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بثبوت ما تعلّق الظنّ به، أو الأمر بالعمل بالظنّ بحسب المتفاهم العرفي، يكون إرشاداً إلى حجيّته، واحتمال كون الأخذ بالطرف الراجح تعبّداً صرفاً خلاف الظاهر، ولذا لم يتوقّف أحدٌ في أنّ الأمر بالعمل بالخبر الواحد الذي اشتمل عليه عدّة من أدلّة حجيّته، إنّما يكون إرشاداً إلى حجيّته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الحجيّة عبارة عن تتميم الكشف، وجعل ماليس بعلمٍ عِلْماً،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 من أنّ الإحراز والحفظ المأخوذين في الموضوع بالنسبة إلى الأولتين، إنّما يكونان على وجه الطريقيّة لا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الأمارات بأدلّة اعتبارها تقوم مقام العلم المأخوذ في الموضوع على وجه الطريقيّة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الاُمور، تظهر لك حكومة صحيح صفوان على تلك النصوص </w:t>
      </w:r>
      <w:bookmarkStart w:id="352" w:name="pg11801_108208"/>
    </w:p>
    <w:p>
      <w:pPr>
        <w:pStyle w:val="BookText"/>
        <w:rPr/>
      </w:pPr>
      <w:bookmarkEnd w:id="352"/>
      <w:r>
        <w:rPr>
          <w:rFonts w:ascii="Amiri" w:hAnsi="Amiri" w:eastAsia="Amiri" w:cs="Amiri"/>
          <w:color w:val="111111"/>
          <w:sz w:val="28"/>
          <w:sz w:val="28"/>
          <w:szCs w:val="28"/>
          <w:rtl w:val="true"/>
          <w:lang w:bidi="ar-SA"/>
        </w:rPr>
        <w:t>فيقدّم عليها، ولا يلزم من تقديمه عدم بقاء المورد لها، ليلزم لغويّتها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 حتّى لا تبادر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اندفع الإيراد الثاني الذي أورده بعض المحقّقين</w:t>
      </w:r>
      <w:r>
        <w:rPr>
          <w:rStyle w:val="FootnoteAnchor"/>
          <w:rtl w:val="true"/>
        </w:rPr>
        <w:footnoteReference w:id="659"/>
      </w:r>
      <w:r>
        <w:rPr>
          <w:rFonts w:ascii="Amiri" w:hAnsi="Amiri" w:eastAsia="Amiri" w:cs="Amiri"/>
          <w:color w:val="111111"/>
          <w:sz w:val="28"/>
          <w:sz w:val="28"/>
          <w:szCs w:val="28"/>
          <w:rtl w:val="true"/>
          <w:lang w:bidi="ar-SA"/>
        </w:rPr>
        <w:t>، وهو أنّه يحتمل أن يكون المراد من الصحيح، التردّد بين احتمالات كثيرة أعمّ من أن يكون قدر متيقّنٍ في البين أو لا، فتكون النسبة بينه وبين الأدلّة الدالّة على اعتبار العلم في الأولتين عموماً من وجه، ولا يستفاد من الصحيح اعتبار الظنّ من باب الطريقيّة، لاحتمال أن يكون اعتباره من حيث أنّه صفة قائمة بالنفس في مقابل الشكّ‌، فلا وجه لتقديمه عليها،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الظنّ‌، سواءٌ أكان في الرّكعتين الأولتين أو في الأخيرتين</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10506974_73709187"/>
      <w:bookmarkStart w:id="354" w:name="_Toc135"/>
      <w:bookmarkEnd w:id="353"/>
      <w:r>
        <w:rPr>
          <w:rtl w:val="true"/>
        </w:rPr>
        <w:t>حكم الظنّ بالأفعال</w:t>
      </w:r>
      <w:bookmarkEnd w:id="35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الظنّ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إليهم الشيخ الأعظم رحمه الله</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الظنّ بالأفعال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بالنبويّين المرويّين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أحدكم في الصَّلاة، فلينظر </w:t>
      </w:r>
    </w:p>
    <w:p>
      <w:pPr>
        <w:pStyle w:val="BookText"/>
        <w:rPr/>
      </w:pPr>
      <w:r>
        <w:rPr>
          <w:rFonts w:ascii="Amiri" w:hAnsi="Amiri" w:eastAsia="Amiri" w:cs="Amiri"/>
          <w:color w:val="111111"/>
          <w:sz w:val="28"/>
          <w:sz w:val="28"/>
          <w:szCs w:val="28"/>
          <w:rtl w:val="true"/>
          <w:lang w:bidi="ar-SA"/>
        </w:rPr>
        <w:t>أحرى ذلك إلى الصّواب، فليبن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وإنْ كانا ضعيفين سنداً، إلّاأنّه لإعتماد الأصحاب عليهما، يكونان حجّة في المقام، بناءً على حجيّة الخبر الضعيف المنجبر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يكون في الصَّلاة متعلّقاً بالشكّ‌، بمعنى تعلّق الشكّ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خلاف الظاهر، فإنّ الظاهر منه كونه ظرفاً للشكّ‌، بمعنى وقوع الشكّ في حال الصَّلاة، وحيثُ لم يقيَّد من حيث المتعلّق بالركعات، فمقتضى إطلاقهما ثبوت الحجيّة للظنّ بالأفعال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على حجيّته في الرَّكعات لا سيّما الأولتين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بالفحوى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الظنّ معتبراً في الرّكعة التي ليست إلّامجموع الأفعال، كان بالحجيّة في أبعاضها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اعتبر الظنّ في الأوليين اللّذين هما فرض اللّه، كما هوالمفروض، فاعتباره في مثل القراءة التي هي سُنّة أولى‌، ولا فرق بين القراءة والأركان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اعتبر الظنّ في الرّكعة الّتي لا تسقط بحال، فاعتباره في مثل السّورة التي تسقط بمجرّد الإستعجال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وباخبار</w:t>
      </w:r>
      <w:r>
        <w:rPr>
          <w:rStyle w:val="FootnoteAnchor"/>
          <w:rtl w:val="true"/>
        </w:rPr>
        <w:footnoteReference w:id="662"/>
      </w:r>
      <w:r>
        <w:rPr>
          <w:rFonts w:ascii="Amiri" w:hAnsi="Amiri" w:eastAsia="Amiri" w:cs="Amiri"/>
          <w:color w:val="111111"/>
          <w:sz w:val="28"/>
          <w:sz w:val="28"/>
          <w:szCs w:val="28"/>
          <w:rtl w:val="true"/>
          <w:lang w:bidi="ar-SA"/>
        </w:rPr>
        <w:t>رجوع المأموم إلى الإمام وبالعكس، وأخبار</w:t>
      </w:r>
      <w:r>
        <w:rPr>
          <w:rStyle w:val="FootnoteAnchor"/>
          <w:rtl w:val="true"/>
        </w:rPr>
        <w:footnoteReference w:id="663"/>
      </w:r>
      <w:r>
        <w:rPr>
          <w:rFonts w:ascii="Amiri" w:hAnsi="Amiri" w:eastAsia="Amiri" w:cs="Amiri"/>
          <w:color w:val="111111"/>
          <w:sz w:val="28"/>
          <w:sz w:val="28"/>
          <w:szCs w:val="28"/>
          <w:rtl w:val="true"/>
          <w:lang w:bidi="ar-SA"/>
        </w:rPr>
        <w:t>حفظ الصَّلاة بالحَصى والخاتم، إذ لا ريب في عدم حصول العلم في هذه الصور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المناسب لتشريع الصَّلاة التي هي كثيرة الأفعال، فإنّه لو فرضنا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المُصلّي شاكّاً بين الثنتين والثَّلاث وكان شاكّاً في أنّه فَعَل السّجدة من الرّكعة التى هو متلبّسٌ بها أو لا، وظنّ أنّه لو فعل السّجدة كانت الرّكعة المتلبّس بها ثالثة، وظَنَّ أنّه فعل الثالثة، فهل يا تُرى أنّه يأخذ بظنّه بأنّ الرّكعة ثالثة لأدلّة اعتبار الظنّ في الرَّكعات، ولا يأخذ بظنّه بتحقّق السَّجدة‌؟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وبرواية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وهمُكَ إلى التمام أبدأ في كلّ صلاةٍ‌، فاسجد سجدتين بغير ركوع</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ينجبران بمجرّد موافقتهما لفتوى الأصحاب رحمهم الله، بل لابدَّ من الاستناد إليهما في الفتوى، وهو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الفحوى فغير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رجوع الإمام والمأموم، فإنّه لو سُلّم شمولها لرجوع أحدهما إلى الآخر في الأفعال، مع أنّ فيه تأمّلاً، لا تدلّ على حجيّة مطلق الظنّ‌، كما أنّ حجيّة خبر الواحد لا تدلّ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الإشكال في أخبار الحفظ بالحَصى والخاتم على فرض شمولها للظنّ‌، وشمولها للأفعال، مع أنّهما غير ثابتتين، ومجرّد المناسبة لا تصلح لإثبات الأحكام الشرعيّة، ولا أرى ما يمنع عن الالتزام في الصورة المفروضة بحجيّة الظنّ بأنّ الرّكعة ثالثة، وعدم حجيّة الظنّ بتحقّق السَّجدة، ومجرّد الاستبعاد لا يكون مدركاً للحكم الشرعي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إسحاق فظاهرة في الظنّ بعد الفراغ، كما لا يخفى‌، مضافاً إلى اشتمالها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وجوب سجدتي السَّهو، الذي لا قائل به، فضلاً عمّا فيها من مناقشات اُخر تظهر لمن تدبّر فيها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حجيّة الظنّ المتعلّق بالأفعال، لا يدلّ عليها، فالأقوى أنّ حكمه حكم الشكّ‌، ولكن الإنصاف أنّ منع الفحوى مشكلٌ‌، والإحتياط سبيل النجاة</w:t>
      </w:r>
      <w:r>
        <w:rPr>
          <w:rFonts w:eastAsia="Amiri" w:cs="Amiri" w:ascii="Amiri" w:hAnsi="Amiri"/>
          <w:color w:val="111111"/>
          <w:sz w:val="28"/>
          <w:szCs w:val="28"/>
          <w:rtl w:val="true"/>
          <w:lang w:bidi="ar-SA"/>
        </w:rPr>
        <w:t>.</w:t>
      </w:r>
      <w:bookmarkStart w:id="355" w:name="pg11801_108212"/>
    </w:p>
    <w:p>
      <w:pPr>
        <w:pStyle w:val="BookText"/>
        <w:rPr/>
      </w:pPr>
      <w:bookmarkEnd w:id="355"/>
      <w:r>
        <w:rPr>
          <w:rFonts w:ascii="Amiri" w:hAnsi="Amiri" w:eastAsia="Amiri" w:cs="Amiri"/>
          <w:color w:val="111111"/>
          <w:sz w:val="28"/>
          <w:sz w:val="28"/>
          <w:szCs w:val="28"/>
          <w:rtl w:val="true"/>
          <w:lang w:bidi="ar-SA"/>
        </w:rPr>
        <w:t>ولو شكّ فيما زاد على الأوليّين في الرباعيّة ولا ظَنّ‌، بنى على الزائد واحتاط</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0506976_73709187"/>
      <w:bookmarkStart w:id="357" w:name="_Toc136"/>
      <w:bookmarkEnd w:id="356"/>
      <w:r>
        <w:rPr>
          <w:rtl w:val="true"/>
        </w:rPr>
        <w:t>الفصل الخامس</w:t>
      </w:r>
      <w:r>
        <w:rPr>
          <w:rtl w:val="true"/>
        </w:rPr>
        <w:t xml:space="preserve">: </w:t>
      </w:r>
      <w:r>
        <w:rPr>
          <w:rtl w:val="true"/>
        </w:rPr>
        <w:t>الشكّ الموجب لصلاة الاحتياط</w:t>
      </w:r>
      <w:bookmarkEnd w:id="357"/>
    </w:p>
    <w:p>
      <w:pPr>
        <w:pStyle w:val="Heading6"/>
        <w:numPr>
          <w:ilvl w:val="5"/>
          <w:numId w:val="1"/>
        </w:numPr>
        <w:rPr/>
      </w:pPr>
      <w:bookmarkStart w:id="358" w:name="__RefHeading___Toc10506978_73709187"/>
      <w:bookmarkStart w:id="359" w:name="_Toc13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الرَّكعات، الموجب لصَّلاة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الرباعيّة بعد إحراز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طرفه اثنان، كالشكّ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أزيد، كالشكّ في أعداد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بينها وبين الزيادة عنها، كالشكّ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طرف الزيادة، كالشكّ بين 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مقامات</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0506980_73709187"/>
      <w:bookmarkStart w:id="361" w:name="_Toc138"/>
      <w:bookmarkEnd w:id="360"/>
      <w:r>
        <w:rPr>
          <w:rtl w:val="true"/>
        </w:rPr>
        <w:t>في الشكّ في أعداد الرباعيّة</w:t>
      </w:r>
      <w:bookmarkEnd w:id="361"/>
    </w:p>
    <w:p>
      <w:pPr>
        <w:pStyle w:val="Heading6"/>
        <w:numPr>
          <w:ilvl w:val="5"/>
          <w:numId w:val="1"/>
        </w:numPr>
        <w:rPr/>
      </w:pPr>
      <w:bookmarkStart w:id="362" w:name="__RefHeading___Toc10506982_73709187"/>
      <w:bookmarkStart w:id="363" w:name="_Toc139"/>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أعداد الرباعيّة، وصوره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 بين الإثنتين والثَّلاث، الشكّ بين الاثنتين والأربع، الشكّ بين الثَّلاث والأربع، الشكّ بين الاثنتين والثَّلاث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جميع هذه الصور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شَكّ فيما زاد على الأوليّين في الرباعيّة ولا ظَنّ‌، بَنى على الزائد واحتاط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وتشهد له جملةٌ من الروايات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أجمعُ لك السَّهو كلّه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شككتَ فخُذ بالأكثر، فإذا سَلّمت فأتمّ ما ظننت أنّك نقصت</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لك في 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حكمه، أي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 عليك من الشكّ في صلاتك فاعمل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انصرفتَ فأتمَّ ما ظننتَ أنّك نقصت</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شيء من السَّهو في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اُعلّمك شيئاً إذا فعلته ذكرتَ أنّك أتممتَ أو نقصتَ لم يكُن عليك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الأكثر، فإذا فرغتَ وسَلّمت فقُم فصلِّ ما ظننتَ أنّك نقصتَ‌، فإنْ كنتَ قد أتممت لم يكن عليك في هذه شيءٌ‌، وإنْ ذكرتَ أنّك نقصتَ كان ما صلّيت تمام ما نقصت</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البحث فيما يستفاد من هذه الموثّقات يتحقّق من خلال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مختصّة بالشكّ في أعداد الرباعيّة، ولا يشمل ما إذا كان بينها وبين الزيادة عنها، ولا ما يكون في طرف الزيادة محضاً، للأمر بالبناء على الأكثر، وهذا لا يصحّ في المقامين الأخيرين، لأنّ البناء على الأكثر فيهما موجبٌ للبطلان، مع أنّ عدم التعرّض فيها لاحتمال الزيادة، يوجب اختصاصها بهذا المقام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إنّما تقتصي لزوم مطابقة المأتي به من صلاة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الاحتياط، مع مايحتمل نقصه في الرّكعة وفي الأجزاء والشرائط، إلّاأنّه يدلّ على خلاف هذه النصوص الخاصّة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البناء على الأكثر والإتيان بصلاة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ظاهريّاً، كما أنّه ليس بأمارةٍ ولا أصلٍ‌، إذ لازم ذلك عدم الأجزاء لو انكشف نقص الصَّلاة، وقد صرّح في هذه النصوص بأنّه لو تذكّر النقص، لم يكن عليه شيء، فيُستكشَف من ذلك أنّه حكمٌ واقعي مجعولٌ للشاكّ‌، وأنّ تكليف الشاكّ واقعاً على تقدير النقص هو الإتيان بالركعة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المحقّق النائيني رحمه الله</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منحلٌّ إلى حكمين،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البناء على الأكثر، والإتيان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الحكم الثاني فلا ريب في أنّه حكمٌ واقعي مجعول رعايةً لإحتمال النقص، بمعنى أنّه لو كانت الصَّلاة ناقصة، كانت هذه جابرة للنقص، ولو كانت تامّة كانت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الأوّل، فلا إشكال في كونه حكماً ظاهريّاً، لكونه في ظرف الشكّ‌، وحيث أنّه أُخذ في موضوعه الشكّ‌، فلا ينبغي التوقّف في كونه حكماً ظاهريّاً أصليّاً لا أماريّاً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البرهان الذي ذكرناه وأثبتنا من خلاله أنّ الحكم الثاني 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واقعي، يقتضي كون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البناء على الأكثر، وترتيب آثار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واقعيّاً، فإنّه لم يتوقّف فقيهٌ في أنّه لو تذكّر المُصلّي النقص، لا يجب عليه قضاء التشهّد لو شكّ بين الاثنتين والثَّلاث، ولا غير ذلك من آثار النقص، فيُستكشف من ذلك كونه حكماً واقعيّاً أيضاً، بمعنى أنّ الشارع الأقدس إنّما جَعل وظيفة ثانويّة للشاكّ في عدد الرَّكعات، وراعى فيها كُلّاً من النقص والزيادة، ورعايةً للأوّل جعل الاحتياط، ورعايةً للثاني حكم بالبناء على الأكثر، بمعنى 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بعدما عرفت من أنّ الحكم بالبناء على الأكثر، ليس حكماً أماريّاً، وإنّما هو حكمٌ بترتيب آثار الأكثر، فاعلم أنّ ما كان من الآثار مترتّباً شرعاً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وجوب التشهّد فيما بيده من الرّكعة، لو كان شاكّاً بين الاثنتين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ثابتاً، كما أنّ الآثار الشرعيّة المترتّبة على عدم الأقلّ تكون مترتّبة، مثلاً لو شكّ بين الثَّلاث والأربع في حال القيام، وعلم بأنّه ترك السّجدة من الرّكعة الثانية، فإنّه لو كان ما بيده هو الرّكعة الثالثة، وجب عليه المُضيّ وقضائها بعد الصَّلاة، فإنّ المُضيّ وفوات محلّ التدارك، ليس من الآثار الشرعيّة على الأكثر، بل من آثار عدم كونها الأقلّ‌، ولكن يترتّب ذلك أيضاً، إذ معنى البناء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كالبناء على الأربع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عدم كونها ثالثة، فتثبت آثار الثالثة، ومنها فوات محلّ السّجدة، وهذا كلّه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الآثار واللّوازم الاتّفاقيّة غير الشرعيّة، كما لو علم بأنّه على تقدير الأكثر ترك ركناً في الرّكعة الأُولى من صلاته مثلاً، فحينئذٍ تترتّب هذه الآثار، ولازمه بطلان صلاته في الفرض‌؟</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لا تترتّب‌؟ </w:t>
      </w:r>
    </w:p>
    <w:p>
      <w:pPr>
        <w:pStyle w:val="BookText"/>
        <w:rPr/>
      </w:pPr>
      <w:r>
        <w:rPr>
          <w:rFonts w:ascii="Amiri" w:hAnsi="Amiri" w:eastAsia="Amiri" w:cs="Amiri"/>
          <w:color w:val="111111"/>
          <w:sz w:val="28"/>
          <w:sz w:val="28"/>
          <w:szCs w:val="28"/>
          <w:rtl w:val="true"/>
          <w:lang w:bidi="ar-SA"/>
        </w:rPr>
        <w:t>أم يفصّل بين ما إذا كان لازم ترتيب تلك الآثار هو بطلان الصَّلاة، كما في الفرض فلا، وبين ما إذا كان لازمه الصحّة، كما لو علم بأنّه على تقدير الثَّلاث يكون قد ترك ركناً في الرّكعة الأُولى فتترتّب‌؟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عدم ترتيبها مطلقاً، فإنّه بعدما عرفت من أنّ هذا الحكم ليس حكماً أماريّاً، وإنّما هو حكمٌ ثانوي، مدلوله ترتيب آثار البناء على الأكثر، فيما هو من الآثار الشرعيّة، لذلك يترتّب وإلّا فلا، ففي المثالين لا يترتّب ترك الرّكوع في الأوّل وعدمه في الثاني، بل المرجع في الموردين إلى قاعدة التجاوز، إلّاأنّه في المثالين خصوصيّة اُخرى‌، توجب الحكم ببطلان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يعتبر في جريان أصالة الأكثر، أن تكون صلاة الاحتياط جابرة للنقص على تقديره، وفى المقام ليس كذلك، إذ على تقدير النقص تكون الصَّلاة لنقص الرّكوع، ولا تكون صلاة الاحتياط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بعدم الأمر بصلاة الاحتياط، إمّا لتماميّة الصَّلاة، أو لبطلانها بترك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يعتبر في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وتماميّتها من سائر الجهات على تقدير الأكثر، فإذا فُرض بطلان الصَّلاة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مشمولة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الموثّقات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يستفاد من الأدلّة الخاصّة في الصور الأربع المتقدّمة، فيحتاج إلى التكلّم في كلّ واحدة منها</w:t>
      </w:r>
      <w:r>
        <w:rPr>
          <w:rFonts w:eastAsia="Amiri" w:cs="Amiri" w:ascii="Amiri" w:hAnsi="Amiri"/>
          <w:color w:val="111111"/>
          <w:sz w:val="28"/>
          <w:szCs w:val="28"/>
          <w:rtl w:val="true"/>
          <w:lang w:bidi="ar-SA"/>
        </w:rPr>
        <w:t>.</w:t>
      </w:r>
      <w:bookmarkStart w:id="364" w:name="pg11801_108217"/>
    </w:p>
    <w:p>
      <w:pPr>
        <w:pStyle w:val="BookText"/>
        <w:rPr/>
      </w:pPr>
      <w:bookmarkEnd w:id="364"/>
      <w:r>
        <w:rPr>
          <w:rFonts w:ascii="Amiri" w:hAnsi="Amiri" w:eastAsia="Amiri" w:cs="Amiri"/>
          <w:color w:val="111111"/>
          <w:sz w:val="28"/>
          <w:sz w:val="28"/>
          <w:szCs w:val="28"/>
          <w:rtl w:val="true"/>
          <w:lang w:bidi="ar-SA"/>
        </w:rPr>
        <w:t>فمن شَكّ بين الإثنتين والثَّلاث</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10506984_73709187"/>
      <w:bookmarkStart w:id="366" w:name="_Toc140"/>
      <w:bookmarkEnd w:id="365"/>
      <w:r>
        <w:rPr>
          <w:rtl w:val="true"/>
        </w:rPr>
        <w:t>حكم الشكّ بين الإثنتين والثَّلاث</w:t>
      </w:r>
      <w:bookmarkEnd w:id="366"/>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رحمه الله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شكَّ بين الإثنتين والثَّلاث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والمشهور بين الأصحاب</w:t>
      </w:r>
      <w:r>
        <w:rPr>
          <w:rStyle w:val="FootnoteAnchor"/>
          <w:rtl w:val="true"/>
        </w:rPr>
        <w:footnoteReference w:id="669"/>
      </w:r>
      <w:r>
        <w:rPr>
          <w:rFonts w:ascii="Amiri" w:hAnsi="Amiri" w:eastAsia="Amiri" w:cs="Amiri"/>
          <w:color w:val="111111"/>
          <w:sz w:val="28"/>
          <w:sz w:val="28"/>
          <w:szCs w:val="28"/>
          <w:rtl w:val="true"/>
          <w:lang w:bidi="ar-SA"/>
        </w:rPr>
        <w:t>أنّه إنْ كان بعد إكمال السّجدتين، يَبني على الثَّلاث، ويأتي بالرابعة، ثمّ يأتي بصلاة الاحتياط مخيّراً بين ركعة من قيام وركعتين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صلاة الاحتياط بين ركعةٍ من قيام، وركعتين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الدعوى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الموثّقات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العلاء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ركعتين وشكّ في الثالثة‌؟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اليقين، فإذا فرغ تشهّد وقام قائماً فصلّى ركعة بفاتحة القرآن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المراد بالبناء على اليقين، البناءُ على كون المشكوك فيه متيقّناً، بشهادة الأمر بصلاة الاحتياط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البناء على اليقين، أي الأكثر المعبّر به عنه في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سها فلم يدرَ ثلاثاً صَلّى أم أربعاً واعتدل شكّه‌؟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فيتمّ ثمّ يجلس ويتشهّد ويُسلّم ويُصلّي ركعتين وأربع سجدات وهو جالس</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في الشكّ بين الثَّلاث والأربع، فيكون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 أنّ محمّد بن مسلم لا يسأل عن غير الإمام، لاسيّما مع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السؤال وإنْ كان ذلك، إلّاأنّه بقرينة الجواب لابدّ من الحمل على إرادة الشكّ بين الثَّلاث والأربع قبل التلبّس بالركعة، بأنْ يشكّ حال الجلوس في أنّ الرّكعة التي يريدُ الدخول فيها، هل هي ثالثة أم رابعة، وذلك لأنّه إنْ شكّ بين الثَّلاث والأربع حقيقةً فلا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ذلك في حال الجلوس، وجب عليه حينئذٍ إتمام صلاته، لا القيام وإضافة ركعة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حال القيام وجب عليه أن 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لا يلائم ذلك مع أمره عليه السلام بالقيام وإتمام الصَّلاة، فلا مناص عن الحمل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أقوالٌ اُخر، وهي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من الحكم مبطليّة هذا 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 بصحيح عبيد،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لم يَدر أركعتين صَلّى أم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 لا يعيدُ الصَّلاة 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الثَّلاث والأربع</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شامل لما قبل إكمال السّجدتين، فيُحمل بقرينة ما تقدّم على هذا المورد، ويكون المراد من الثَّلاث والأربع على هذه الثالثة والرابعة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إلّاعن ذلك، واصررت على أنّه يعارض ما تقدّم، فلابدَّ من طرحه لعدم عمل الأصحاب به في مقابل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تجويز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بأنّ هذا ممّا يقتضيه الجمع بين ما تقدّم، وبين ما دلَّ بظاهره على البناء على الأقلّ‌، كموثّق عمّار، عن أبي الحسن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بيان الأصل في الشكوك، من أنّ هذا الموثّق غير منافٍ لأدلّة وجوب البناء على الأكثر، فراجع</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بعضهم</w:t>
      </w:r>
      <w:r>
        <w:rPr>
          <w:rStyle w:val="FootnoteAnchor"/>
          <w:rtl w:val="true"/>
        </w:rPr>
        <w:footnoteReference w:id="677"/>
      </w:r>
      <w:r>
        <w:rPr>
          <w:rFonts w:ascii="Amiri" w:hAnsi="Amiri" w:eastAsia="Amiri" w:cs="Amiri"/>
          <w:color w:val="111111"/>
          <w:sz w:val="28"/>
          <w:sz w:val="28"/>
          <w:szCs w:val="28"/>
          <w:rtl w:val="true"/>
          <w:lang w:bidi="ar-SA"/>
        </w:rPr>
        <w:t xml:space="preserve">وهو التخيّير بين البناء على الأقلّ مع التشهّد في كلّ ركعة، وبين البناء على الأكثر، والمستند في هذا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الحجّة عندنا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التخيّير في صلاة الإحتياط بين ركعةٍ من قيام،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وركعتين من جلوس، فقد استدلّ 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التخيّير في الشكّ بين الثَّلاث والأربع</w:t>
      </w:r>
      <w:r>
        <w:rPr>
          <w:rStyle w:val="FootnoteAnchor"/>
          <w:rtl w:val="true"/>
        </w:rPr>
        <w:footnoteReference w:id="678"/>
      </w:r>
      <w:r>
        <w:rPr>
          <w:rFonts w:ascii="Amiri" w:hAnsi="Amiri" w:eastAsia="Amiri" w:cs="Amiri"/>
          <w:color w:val="111111"/>
          <w:sz w:val="28"/>
          <w:sz w:val="28"/>
          <w:szCs w:val="28"/>
          <w:rtl w:val="true"/>
          <w:lang w:bidi="ar-SA"/>
        </w:rPr>
        <w:t>، فإنّه شاملٌ بنفسه للمقام، فإنّ مَن شكّ بين الإثنتين والثَّلاث، لا محالة يشكّ في أنّ الرّكعة التي بعدها هل هي ثالثة أم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موضوع تلك الأخبار، هو الشكّ المتعلّق بالثلاث والأربع ابتداءً‌، لا بتوسط تعلّقه بالإثنتين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الدليل بضميمة تنقيح المناط، أو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في الشكّ بين الثَّلاث والأربع، هو احتمال نقص الرّكعة، وهذا بعينه موجودٌ في الشكّ بين الاثنتين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غَير مُحرَزٍ، وإفتاء الأصحاب في المقام لعلّه مستندٌ إلى 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الموثّقات وخبر العلاء، المقتضية لتعيّن الرّكعة من قيام، وبين صحيح ابن مسلم الدالّ على تعيّن الرّكعتين جالساً، يقتضي الحكم بالتخيّير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باطلٌ لأنّه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أُريد بذلك أنّ هذا هو مقتضى الجمع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أنّهمابحسب المتفاهم العرفي متنافيان، ولا يمكن الجمع العرفي بينهما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اُريد به أنّه بعد التعارض والرّجوع إلى أخبار الترجيح والتخيّير، حيثُ لا مرجّح لأحدهما يُحكم بالتخيّير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بين الخبرين إنّما يكون في المسألة الاُصوليّة، ويكون ذلك بدويّاً لا استمراريّاً، فبعد الأخذ بأحدهما 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الثَّلاث، إذا قام وأضاف ركعةً‌، يحدث له الشكّ بين الثَّلاث والأربع وجداناً، والعبرة في تتالي الشكوك على الشكّ الأخير، فيلحقه حكم الشكّ بين الثّلاث والأربع وهو التخيّير، وهذا هو المنسوب إلى المحقّق النائيني رحمه الله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الوجه لغويّة جعل الحكم للشكّ بين الإثنتين والثَّلاث، إذ لو لم يضف ركعةً بطلت صلاته، وإنْ أضاف لحقه حكم الشكّ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انقلاب الشكّ من بين الإثنتين والثَّلاث إلى الثَّلاث والأربع دائماً، إذا ورد دليلٌ متضمّنٌ لبيان حكم للأوّل، فإنّه لا مناص عن الالتزام بأنّ العبرة به لا بالشكّ الأخير، وإلّا لزم 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أنّه قدس سره أورد على نفسه بأنّه على هذا تقع المعارضة بين حكم الشكّ بين الاثنتين والثَّلاث، وبين حكم الشكّ بين الثَّلاث والأربع، لأنّه قبل القيام كان محكوماً بالحكم الأوّل، وبعده يصبح محكوماً بحكم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معارضة بينهما، لأنّه بعد طروء الشكّ الثاني يزول حكم الأوّل، لانقلاب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جعل مثل هذا الحكم الذي يزول قبل العمل به دائماً لانقلاب موضوعه يعدّ لغواً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القول بالتخيّير، فإذاً الأحوط اختيار ما دلّ على الرّكعة قائماً، والعمل به دائماً، وأحوط منه الجمع بينهما بتقديم الرّكعة من 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67" w:name="pg11801_108222"/>
    </w:p>
    <w:p>
      <w:pPr>
        <w:pStyle w:val="BookText"/>
        <w:rPr/>
      </w:pPr>
      <w:bookmarkEnd w:id="367"/>
      <w:r>
        <w:rPr>
          <w:rFonts w:ascii="Amiri" w:hAnsi="Amiri" w:eastAsia="Amiri" w:cs="Amiri"/>
          <w:color w:val="111111"/>
          <w:sz w:val="28"/>
          <w:sz w:val="28"/>
          <w:szCs w:val="28"/>
          <w:rtl w:val="true"/>
          <w:lang w:bidi="ar-SA"/>
        </w:rPr>
        <w:t>أو بين الثَّلاث والأربع، بَني على الأكثر، فإذا سَلّم صَلّى ركعةً من قيامٍ‌، أو ركعتين مِنْ جلوس</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0506986_73709187"/>
      <w:bookmarkStart w:id="369" w:name="_Toc141"/>
      <w:bookmarkEnd w:id="368"/>
      <w:r>
        <w:rPr>
          <w:rtl w:val="true"/>
        </w:rPr>
        <w:t>حكم الشكّ بين الثَّلاث والأربع</w:t>
      </w:r>
      <w:bookmarkEnd w:id="369"/>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الشكّ بينهما في حال القيام أو بعده من الحالات إلى ما بعده إكمال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على الأكثر، فإذا سَلَّم صَلّى ركعةً من قيام أو 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680"/>
      </w:r>
      <w:r>
        <w:rPr>
          <w:rFonts w:ascii="Amiri" w:hAnsi="Amiri" w:eastAsia="Amiri" w:cs="Amiri"/>
          <w:color w:val="111111"/>
          <w:sz w:val="28"/>
          <w:sz w:val="28"/>
          <w:szCs w:val="28"/>
          <w:rtl w:val="true"/>
          <w:lang w:bidi="ar-SA"/>
        </w:rPr>
        <w:t>، وعن غير واحدٍ</w:t>
      </w:r>
      <w:r>
        <w:rPr>
          <w:rStyle w:val="FootnoteAnchor"/>
          <w:rtl w:val="true"/>
        </w:rPr>
        <w:footnoteReference w:id="681"/>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أيضاً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يبني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ماتقدّم من الموثّقات،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أبي العلاء،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استوى في الثَّلاث والأربع، سَلّم وصَلّى ركعتين وأربع سجدات بفاتحة الكتاب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إطلاقه شمول الحكم لجميع الحالات، 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83"/>
      </w:r>
      <w:r>
        <w:rPr>
          <w:rFonts w:ascii="Amiri" w:hAnsi="Amiri" w:eastAsia="Amiri" w:cs="Amiri"/>
          <w:color w:val="111111"/>
          <w:sz w:val="28"/>
          <w:sz w:val="28"/>
          <w:szCs w:val="28"/>
          <w:rtl w:val="true"/>
          <w:lang w:bidi="ar-SA"/>
        </w:rPr>
        <w:t xml:space="preserve">من اختصاص نصوص الباب بما بعد إكمال السّجدتين، وإنّما يعمّ </w:t>
      </w:r>
    </w:p>
    <w:p>
      <w:pPr>
        <w:pStyle w:val="BookText"/>
        <w:rPr/>
      </w:pPr>
      <w:r>
        <w:rPr>
          <w:rFonts w:ascii="Amiri" w:hAnsi="Amiri" w:eastAsia="Amiri" w:cs="Amiri"/>
          <w:color w:val="111111"/>
          <w:sz w:val="28"/>
          <w:sz w:val="28"/>
          <w:szCs w:val="28"/>
          <w:rtl w:val="true"/>
          <w:lang w:bidi="ar-SA"/>
        </w:rPr>
        <w:t xml:space="preserve">الحكم بضميمة الإجماع وعدم الفصل، في غير محلّه، فإنّ جملة منها وإنْ كانت كما أفاده، إلّاأنّ جملةً اُخرى منها منها هذا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تدري ثلاثاً صلّيت أم أربعاً، ولم يذهب وَهمُك إلى شيءٍ‌، فسلِّم ثمّ صَلِّ ركعتين وأنتَ جالس تقرأ فيهما باُمّ الكتاب</w:t>
      </w:r>
      <w:r>
        <w:rPr>
          <w:rFonts w:eastAsia="Amiri" w:cs="Amiri" w:ascii="Amiri" w:hAnsi="Amiri"/>
          <w:color w:val="111111"/>
          <w:sz w:val="28"/>
          <w:szCs w:val="28"/>
          <w:rtl w:val="true"/>
          <w:lang w:bidi="ar-SA"/>
        </w:rPr>
        <w:t>»</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يعارضها صحيح زرارة المرويّ عن أحدهما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يدر في ثلاثٍ هو أو أربع، وقد أحرز الثَّلاث، قام فأضاف إليها اُخرى‌، ولا شيء عليه، ولا ينقض اليقين بالشكّ‌، ولا يُدخل الشكّ في اليقين، ولا يخلط أحدهما بالآخر، ولكن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لزوم البناء على الأقلّ‌، وإجراء الاستصحاب في عدم الإتيان بالرابعة، والإتيان بها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الأصحاب قد أجابوا عنه بأجوبة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الأعظم رحمه الله</w:t>
      </w:r>
      <w:r>
        <w:rPr>
          <w:rStyle w:val="FootnoteAnchor"/>
          <w:rtl w:val="true"/>
        </w:rPr>
        <w:footnoteReference w:id="686"/>
      </w:r>
      <w:r>
        <w:rPr>
          <w:rFonts w:ascii="Amiri" w:hAnsi="Amiri" w:eastAsia="Amiri" w:cs="Amiri"/>
          <w:color w:val="111111"/>
          <w:sz w:val="28"/>
          <w:sz w:val="28"/>
          <w:szCs w:val="28"/>
          <w:rtl w:val="true"/>
          <w:lang w:bidi="ar-SA"/>
        </w:rPr>
        <w:t>من أنّ الظاهر منه ولا أقلّ من المحتمل، إرادة وجوب تحصيل اليقين بعدد الرَّكعات، بأنْ يكون المراد باليقين اليقين بالفراغ، وكذلك المراد من الشكّ الشكّ فيه، فيكون المرادُ وجوب تحصيل اليقين بالبراءة بالبناء على الأكثر، وفعل صلاة مستقلّةٍ قابلة لتدارك ما يحتمل نقصه، ولا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ينبغي الاقتصار على الشكّ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بالفراغ لم يذكر قبلُ كي تكون هذه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اليقين الموجود لا إيجاده، وما ذكره رحمه الله يرجع إلى الأمر بتحصيل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687"/>
      </w:r>
      <w:r>
        <w:rPr>
          <w:rFonts w:ascii="Amiri" w:hAnsi="Amiri" w:eastAsia="Amiri" w:cs="Amiri"/>
          <w:color w:val="111111"/>
          <w:sz w:val="28"/>
          <w:sz w:val="28"/>
          <w:szCs w:val="28"/>
          <w:rtl w:val="true"/>
          <w:lang w:bidi="ar-SA"/>
        </w:rPr>
        <w:t>من أنّ المراد باليقين، اليقين بعدم الإتيان بالرّكعة الرابعة، فهذا يقتضي الإتيان بها، ومقتضى إطلاقها لزوم الإتيان بها متّصلة، وقد قام الدليل على التقيّيد، وأنّه لابدَّ وأن يؤتى بها 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الاحتياط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صلاةً مستقلّةً أمر بها لأن تكون جابرةً لمصحلة الصَّلاة على تقدير نقصها، فلا يعقل ترتّب لزومها على استصحاب عدم الإتيان بالرابعة، فإنّه من قبيل استصحاب شيءٍ‌، والتعبّد بشيءٍ آخر، كاستصحاب عدالة زيد، والتعبّد بما يترتّب على عدالة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جزءً على تقدير النقص، فحيثُ أنّ الصَّلاة المأمور بها عند عدم الشكّ‌، هي الصَّلاة مع تكبيرة واحدة وتسليمة كذلك، فاستصحاب عدم الإتيان بالرابعة، وبقاء الأمر بمثل هذه الصَّلاة لإثبات الأمر بما يكون مشتملاً على تسليمتين وتكبرتين، يكون من قبيل استصحاب شيءٍ‌، والتعبّد بشيء آخر، إذ صيرورة شيءٍ جزءً للمركّب الاعتباري، لا تعقل إلّابتغيّر أمره وتبدّله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إنّما يجري لترتيب آثار المتيقّن في ظرف الشكّ‌، وأمّا ترتيب آثار نفس الشكّ فغير مربوط بالاستصحاب، وعليه ففي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أُريد بالاستصحاب استصحاب عدم الإتيان بالرابعة، وترتيب آثار اليقين بذلك، فيلزم إتيانها متّصلة، وهو منافٍ للروايات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ترتيب آثار الشكّ‌، وهو البناء على الأكثر، وإتيان صلاة الإحتياط، فهو غير مربوط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 المحقّق النائيني رحمه الله</w:t>
      </w:r>
      <w:r>
        <w:rPr>
          <w:rStyle w:val="FootnoteAnchor"/>
          <w:rtl w:val="true"/>
        </w:rPr>
        <w:footnoteReference w:id="688"/>
      </w:r>
      <w:r>
        <w:rPr>
          <w:rFonts w:ascii="Amiri" w:hAnsi="Amiri" w:eastAsia="Amiri" w:cs="Amiri"/>
          <w:color w:val="111111"/>
          <w:sz w:val="28"/>
          <w:sz w:val="28"/>
          <w:szCs w:val="28"/>
          <w:rtl w:val="true"/>
          <w:lang w:bidi="ar-SA"/>
        </w:rPr>
        <w:t>من أنّ الاستصحاب إنّما يقتضي الإتيان بالرابعة، لأنّ مجراه عدم الإتيان بها، وأمّا أن تكليفه الإتيان بها موصولةً أو منفصلة، فالاستصحاب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الإتيان بالركعة منفصلةً ينافي الأدلّة الأوّليّة الدالّة على لزوم الإتيان بالركعات متّصلة، فأدلّة البناء على الأكثر، غير منافيةٍ حتّى لإطلاق دليل الاستصحاب من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 الاستصحاب يقتضي الإتيان بها متّصلة، فراجع ما ذكرناه</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لزوم الإتيان بالركعة المنفصلة مترتّبة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إنّما يجري لتنقيح جزء الموضوع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الحكم تمام موضوعه الشكّ‌، وليس لعدم الإتيان بالرابعة دخلٌ فيه، بل لا يمكن عدّه جزءً للموضوع، إذ عليه يتوقّف تنجّزه على إحراز فعليّة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موضوعه، وجزءً للموضوع المُشار إليهما لا يعقل إحراز فعليتهما، إذ لو أُحرز عدم الإتيان بالرابعة، لما بقى بعده 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المحقّق الإصفهاني رحمه الله</w:t>
      </w:r>
      <w:r>
        <w:rPr>
          <w:rStyle w:val="FootnoteAnchor"/>
          <w:rtl w:val="true"/>
        </w:rPr>
        <w:footnoteReference w:id="691"/>
      </w:r>
      <w:r>
        <w:rPr>
          <w:rFonts w:ascii="Amiri" w:hAnsi="Amiri" w:eastAsia="Amiri" w:cs="Amiri"/>
          <w:color w:val="111111"/>
          <w:sz w:val="28"/>
          <w:sz w:val="28"/>
          <w:szCs w:val="28"/>
          <w:rtl w:val="true"/>
          <w:lang w:bidi="ar-SA"/>
        </w:rPr>
        <w:t xml:space="preserve">ويمكن استظهاره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أيضاً، وهو أنّ اليقين المحقّق هنا، هو اليقين بالثّلاث لا بشرط، في قبال الثَّلاث بشرط لا، الذي هو أحد طرفي الشكّ‌، والثَّلاث بشرط شيءٍ الذي هو الطرف الآخر، والأخذ بكلٍّ من طرفي الشكّ فيه محذورُ النقص بلا جابر، أو الزيادة بلا تدارك، بخلاف رعاية اليقين بالثّلاث لا بشرط، فإنّها لا تمكن إلّابالوجه الذي قرّره الإمام عليه السلام من الإتمام على ما أُحرز، وإضافة ركعة منفصلة، وأمّا إضافة ركعة متّصلة، فإنّها من مقتضيات اليقين بشرط لا، والمفروض أنّه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جريان الاستصحاب وحدة المشكوك فيه والمتيقّن، وبهذا التقريب المتيقّن هو ثلاث ركعات، والمشكوك فيه الرّكعة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الجواب عن الصحيح، هو الالتزام بأنّه واردٌ في مقام بيان قاعدة كليّة، وهي الّتي استشهد بها الإمام عليه السلام واهتمَّ بها، وأمّا تطبيقها على المورد، فهو يكون تقيّة، وتمام الكلام في ذلك موكولٌ إلى محلّه في الاُصول</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ممّا ذكرنا ضعف مختار الصدوق</w:t>
      </w:r>
      <w:r>
        <w:rPr>
          <w:rStyle w:val="FootnoteAnchor"/>
          <w:rtl w:val="true"/>
        </w:rPr>
        <w:footnoteReference w:id="694"/>
      </w:r>
      <w:r>
        <w:rPr>
          <w:rFonts w:ascii="Amiri" w:hAnsi="Amiri" w:eastAsia="Amiri" w:cs="Amiri"/>
          <w:color w:val="111111"/>
          <w:sz w:val="28"/>
          <w:sz w:val="28"/>
          <w:szCs w:val="28"/>
          <w:rtl w:val="true"/>
          <w:lang w:bidi="ar-SA"/>
        </w:rPr>
        <w:t>من التخيّير بين البناء على الأقلّ والبناء على الأكثر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مخيّرٌ في صلاة الاحتياط بين ركعتين جالساً، وركعة قائماً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695"/>
      </w:r>
      <w:r>
        <w:rPr>
          <w:rFonts w:ascii="Amiri" w:hAnsi="Amiri" w:eastAsia="Amiri" w:cs="Amiri"/>
          <w:color w:val="111111"/>
          <w:sz w:val="28"/>
          <w:sz w:val="28"/>
          <w:szCs w:val="28"/>
          <w:rtl w:val="true"/>
          <w:lang w:bidi="ar-SA"/>
        </w:rPr>
        <w:t>والجُعفي</w:t>
      </w:r>
      <w:r>
        <w:rPr>
          <w:rStyle w:val="FootnoteAnchor"/>
          <w:rtl w:val="true"/>
        </w:rPr>
        <w:footnoteReference w:id="696"/>
      </w:r>
      <w:r>
        <w:rPr>
          <w:rFonts w:ascii="Amiri" w:hAnsi="Amiri" w:eastAsia="Amiri" w:cs="Amiri"/>
          <w:color w:val="111111"/>
          <w:sz w:val="28"/>
          <w:sz w:val="28"/>
          <w:szCs w:val="28"/>
          <w:rtl w:val="true"/>
          <w:lang w:bidi="ar-SA"/>
        </w:rPr>
        <w:t>تعيّن الجلوس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بعض القدماء</w:t>
      </w:r>
      <w:r>
        <w:rPr>
          <w:rStyle w:val="FootnoteAnchor"/>
          <w:rtl w:val="true"/>
        </w:rPr>
        <w:footnoteReference w:id="697"/>
      </w:r>
      <w:r>
        <w:rPr>
          <w:rFonts w:ascii="Amiri" w:hAnsi="Amiri" w:eastAsia="Amiri" w:cs="Amiri"/>
          <w:color w:val="111111"/>
          <w:sz w:val="28"/>
          <w:sz w:val="28"/>
          <w:szCs w:val="28"/>
          <w:rtl w:val="true"/>
          <w:lang w:bidi="ar-SA"/>
        </w:rPr>
        <w:t>تعيّن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فإنّ أكثر نصوص الباب الواردة في خصوص هذه الصورة، وإنْ تضمّنت للركعتين جالساً، إلّاأنّ خبر جميل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اعتدل الوهم في الثَّلاث والأربع، فهو بالخيار إنْ شاء صَلّى ركعة وهو قائم، وإنْ شاء صَلّيركعتين وأربع سجدات وهو جالس</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صريحٌ في التخيّير، فيُحمل الأمر بالركعتين في هذه النصوص على الفضيلة، وأمّا ضعف سنده فمنجبر بعمل الأصحاب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70" w:name="pg11801_108228"/>
    </w:p>
    <w:p>
      <w:pPr>
        <w:pStyle w:val="BookText"/>
        <w:rPr/>
      </w:pPr>
      <w:bookmarkEnd w:id="370"/>
      <w:r>
        <w:rPr>
          <w:rFonts w:ascii="Amiri" w:hAnsi="Amiri" w:eastAsia="Amiri" w:cs="Amiri"/>
          <w:color w:val="111111"/>
          <w:sz w:val="28"/>
          <w:sz w:val="28"/>
          <w:szCs w:val="28"/>
          <w:rtl w:val="true"/>
          <w:lang w:bidi="ar-SA"/>
        </w:rPr>
        <w:t>مَنْ شَكّ بين الإثنتين والأربع، بنى على الأربع، وصَلّى ركعتين من قيام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10506988_73709187"/>
      <w:bookmarkStart w:id="372" w:name="_Toc142"/>
      <w:bookmarkEnd w:id="371"/>
      <w:r>
        <w:rPr>
          <w:rtl w:val="true"/>
        </w:rPr>
        <w:t>حكم الشكّ بين الإثنتين والأربع</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بين الإثنتين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الإثنتين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على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وتَشهّد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شهرة عظيمة</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الموثّقات،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ركعتين، فلا يدري ركعتين هي أم أربع‌؟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ويتشهّد وينصرف، وليس عليه شيء</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أثنتين صلّيت أم أربعاً، ولم يذهب وهمُكَ إلى شيءٍ‌، فسلِّم ثمّ صَلِّ ركعتين وأربع سجدات، تقرأ فيهما باُمّ القرآن ثمّ تتشهّد وتُسلِّم، فإنْ كنتَ إنّما صلّيت ركعتين، كانتا هاتان تمام الأربع، وإنْ كنت صلّيت أربعاً كانتا هاتان نافلة</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طائفتان من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أربعاًصلّيت أم ركعتين، فقُم واركع ركعتين، ثمّ سَلِّم واسجد سجدتين وأنتَ جالس، ثمّ سَلِّم بعدهما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صحيح بُكير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الجمع بين هذه الطائفة، وبين ما تقدّم، يقتضي القول بتعيّن إتيان الرّكعتين مفصولةً لا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فيهما من الأمر بسجدتي السَّهو، فمحمولٌ على الاستحباب، لصراحة ما تقدّم في عدم وجوب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ظاهرها مبطليّة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العلاء، عن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لا يدري صَلّى ركعتين أم أربعاً؟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من طرحه، أو حمله على صورة عدم إكمال السّجدتين حال الشكّ‌، أو حمله على الاستحباب لعدم عمل الأصحاب به، ولمعارضته مع ما تقدّم، فما ذكره المشهور هو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هذه الصورة النصوص والفتاوي متّفقة على الرّكعتين قائماً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73" w:name="pg11801_108230"/>
    </w:p>
    <w:p>
      <w:pPr>
        <w:pStyle w:val="BookText"/>
        <w:rPr/>
      </w:pPr>
      <w:bookmarkEnd w:id="373"/>
      <w:r>
        <w:rPr>
          <w:rFonts w:ascii="Amiri" w:hAnsi="Amiri" w:eastAsia="Amiri" w:cs="Amiri"/>
          <w:color w:val="111111"/>
          <w:sz w:val="28"/>
          <w:sz w:val="28"/>
          <w:szCs w:val="28"/>
          <w:rtl w:val="true"/>
          <w:lang w:bidi="ar-SA"/>
        </w:rPr>
        <w:t>ومَنْ شكّ بين الإثنتين والثَّلاث والأربع، بنى على الأربع، فإذا سلَّم صَلّى رَكعتين مِنْ قيام، وركعتين مِنْ جلوس</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0506990_73709187"/>
      <w:bookmarkStart w:id="375" w:name="_Toc143"/>
      <w:bookmarkEnd w:id="374"/>
      <w:r>
        <w:rPr>
          <w:rtl w:val="true"/>
        </w:rPr>
        <w:t>حكم الشكّ بين الإثنتين والثَّلاث والأربع</w:t>
      </w:r>
      <w:bookmarkEnd w:id="375"/>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 بين الإثنتين والثَّلاث والأربع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w:t>
      </w:r>
      <w:r>
        <w:rPr>
          <w:rStyle w:val="FootnoteAnchor"/>
          <w:rtl w:val="true"/>
        </w:rPr>
        <w:footnoteReference w:id="705"/>
      </w:r>
      <w:r>
        <w:rPr>
          <w:rFonts w:ascii="Amiri" w:hAnsi="Amiri" w:eastAsia="Amiri" w:cs="Amiri"/>
          <w:color w:val="111111"/>
          <w:sz w:val="28"/>
          <w:sz w:val="28"/>
          <w:szCs w:val="28"/>
          <w:rtl w:val="true"/>
          <w:lang w:bidi="ar-SA"/>
        </w:rPr>
        <w:t xml:space="preserve">في حكمها إنّه 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على الأربع، فإذا سَلّم صَلّى ركعتين مِن قيام، وركعتين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غير واحدٍ</w:t>
      </w:r>
      <w:r>
        <w:rPr>
          <w:rStyle w:val="FootnoteAnchor"/>
          <w:rtl w:val="true"/>
        </w:rPr>
        <w:footnoteReference w:id="70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الجُنيد</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مجوّز البناء على الأقلّ‌، وقد تقدّم الكلام فيه وعرفت ضعف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708"/>
      </w:r>
      <w:r>
        <w:rPr>
          <w:rFonts w:ascii="Amiri" w:hAnsi="Amiri" w:eastAsia="Amiri" w:cs="Amiri"/>
          <w:color w:val="111111"/>
          <w:sz w:val="28"/>
          <w:sz w:val="28"/>
          <w:szCs w:val="28"/>
          <w:rtl w:val="true"/>
          <w:lang w:bidi="ar-SA"/>
        </w:rPr>
        <w:t>وأبي علي</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يبني على الأربع، فإذا سَلّم يُصلّي ركعة من قيام، وركعتين من جلوس، وقوّاه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وغيرها من حيث الاعتبار،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العِزيّة</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وأبي العبّاس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الرّكعة قائماً بدل الرّكعتين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 والعلّامة الطباطبائي</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الرّكعتين جالساً وركعة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لشهادة بعض النصوص به، كمرسل ابن أبي عُمير،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فلم يدر أثنتين صَلّى أم ثلاثاً أم أربعاً؟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من قيام ويُسلِّم، ثمّ يُصلّي ركعتين من جلوس ويُسلِّم، فإنْ كان صَلّى أربعاً كانت الرَّكعتان نافلة، وإلّا تمّت الأربع</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المشهور واضحة، ومن حيث السَّند أيضاً لا كلام فيه، لأنّ مرسلِه لا يُرسِل إلّاعن ثقة، مضافاً إلى عمل المشهور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لما ذهب اليه الصدوقان وابن الجُنيد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عبد الرحمن بن الحجّاج، عن الإمام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يدري أثنتين صَلّى أم ثلاثاً أم أربعاً؟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ركعةً من قيام ثمّ يُسلِّم، ثُمّ يُصلّي ركعتين وهو جالس</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موافقٌ للاعتبار، فإنّه إنْ كانت صلاته تامّة فهي، وإنْ كانت ثلاث ركعات، كانت الرّكعة قائماً أو ركعتين جالساً جابرة للنقص، ولو كانت ركعتين، كانت الرّكعة قائمة منضمّةً إلى الرّكعتين جالساً جابرة للنقص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مرويٌّ 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ركعةً من 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قيل إنّها هي المشهورة ضبطاً، فلا يصحّ الاستدلال به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الحكم بالتخيّير عند الاختلاف في نقل الحديث، كما في الحديثين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والتخيّير من آثار الخبرين المتعارضين، لا الخبر الواحد المرويّ بطريقين، على أنّه لو سُلّم ذلك في هذا المورد أيضاً، لما كان مربوطاً بالمقام، ممّا يكون الاختلاف من النسّاخ لا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دعوى أصحيّة النقل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لموافقته لفتوى المشهور وللمرسل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الشهيد</w:t>
      </w:r>
      <w:r>
        <w:rPr>
          <w:rStyle w:val="FootnoteAnchor"/>
          <w:rtl w:val="true"/>
        </w:rPr>
        <w:footnoteReference w:id="721"/>
      </w:r>
      <w:r>
        <w:rPr>
          <w:rFonts w:ascii="Amiri" w:hAnsi="Amiri" w:eastAsia="Amiri" w:cs="Amiri"/>
          <w:color w:val="111111"/>
          <w:sz w:val="28"/>
          <w:sz w:val="28"/>
          <w:szCs w:val="28"/>
          <w:rtl w:val="true"/>
          <w:lang w:bidi="ar-SA"/>
        </w:rPr>
        <w:t>قوّى هذا القول معلّلاً بموافقته للاعتبار، ولو كان الخبر كما ذكر، كان أولى بالذِّكر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 الصدوق رحمه الله</w:t>
      </w:r>
      <w:r>
        <w:rPr>
          <w:rStyle w:val="FootnoteAnchor"/>
          <w:rtl w:val="true"/>
        </w:rPr>
        <w:footnoteReference w:id="722"/>
      </w:r>
      <w:r>
        <w:rPr>
          <w:rFonts w:ascii="Amiri" w:hAnsi="Amiri" w:eastAsia="Amiri" w:cs="Amiri"/>
          <w:color w:val="111111"/>
          <w:sz w:val="28"/>
          <w:sz w:val="28"/>
          <w:szCs w:val="28"/>
          <w:rtl w:val="true"/>
          <w:lang w:bidi="ar-SA"/>
        </w:rPr>
        <w:t>نفسه بعد ذكره الصحيح وخبري علي بن حمزة وسهل بن اليَسَع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لا يدري أواحدةٌ صَلّى أم ثنتين أم ثلاثاً أم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ركعةً من قيام، وركعتين من جلوس، وعليه، فليست هذه الأخبار مختلفة، وصاحبُ السَّهو بالخيار بأيّ خبرٍ أخذ منها فهو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ظاهره أنّ ما رواه مرسلاً يُغاير مضمونه مع كلّ واحدة من الروايات التي رواها مسنداً، فيكشف ذلك عن صحّة النسخة التي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فهذا الصحيح يدلّ على المشهور لا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نفس هذه المرسلة التي رواها الصدوق، فلإرسالها، وإعراض الأصحاب عنها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غير مرّة أنّه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الاعتباري المزبور، فالإعتماد عليه اجتهادٌ في 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لتعيّن الرّكعة قائماً بدل الرّكعتين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بالموثّقات المتقدّمة المتضمّنة أنّه يبني على الأكثر ويُتمّ ما ظَنّ نقصه، فإنّه إذا أتى بركعتين قائماً وركعة قائماً يحصل الجبر على كلّ تقدير، إذ لو كانت صلاته اثنتين تكون جابرة لنقصها، ولو كانت ثلاثاً تكون الرّكعة قائمة مقام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مرسل ابن أبي عمير باعتبار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يُرسِل إلّاعن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عمل الأصحاب به، يقدّم على الموثّقات، لأنّه أخصّ مطلق منها، فيقدّم بقاعدة تقدّم المقيّد على المطلق، ومعه لا وجه للاعتماد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للتخيّير بين الرّكعة قائماً والرّكعتين جالساً بوجهين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الجمع بين الموثّقات الظاهرة في تعيّن الرّكعة قائماً، والمرسل الظاهر في تعيّن الرّكعتين من جلوس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تقدّم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الشكّ مركّبٌ من البسائط، وهي الشكّ بين الاثنتين والثَّلاث، والشكّ بين الثَّلاث والأربع، والشكّ بين الاثنتين والأربع، فلا يزيد على ما وجب لكلّ واحدٍ لو كان مستقلّاً، فيتعيّن عليه العمل بوظائف الشكوك المذكورة، وهي الاحتياط بركعتين قائماً للشكّ بين الاثنتين والأربع، وركعتين جالساً، أو ركعة قائماً للشكين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تَمّ لو لم يكن دليلٌ في البين، ولكن بما أنّه عليه السلام بيّن حكم هذا الشكّ‌، وظاهر ما بيّن هو تعيّن الرّكعتين جالساً، فلا مورد لهذا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ذهب إليه المشهور من تعيّن الرّكعتين قائماً وركعتين جالساً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 تعيّن تقديم الرّكعتين قائماً كما هو المشهور</w:t>
      </w:r>
      <w:r>
        <w:rPr>
          <w:rStyle w:val="FootnoteAnchor"/>
          <w:rtl w:val="true"/>
        </w:rPr>
        <w:footnoteReference w:id="723"/>
      </w:r>
      <w:r>
        <w:rPr>
          <w:rFonts w:ascii="Amiri" w:hAnsi="Amiri" w:eastAsia="Amiri" w:cs="Amiri"/>
          <w:color w:val="111111"/>
          <w:sz w:val="28"/>
          <w:sz w:val="28"/>
          <w:szCs w:val="28"/>
          <w:rtl w:val="true"/>
          <w:lang w:bidi="ar-SA"/>
        </w:rPr>
        <w:t>، فما عن السيّد</w:t>
      </w:r>
      <w:r>
        <w:rPr>
          <w:rStyle w:val="FootnoteAnchor"/>
          <w:rtl w:val="true"/>
        </w:rPr>
        <w:footnoteReference w:id="724"/>
      </w:r>
      <w:r>
        <w:rPr>
          <w:rFonts w:ascii="Amiri" w:hAnsi="Amiri" w:eastAsia="Amiri" w:cs="Amiri"/>
          <w:color w:val="111111"/>
          <w:sz w:val="28"/>
          <w:sz w:val="28"/>
          <w:szCs w:val="28"/>
          <w:rtl w:val="true"/>
          <w:lang w:bidi="ar-SA"/>
        </w:rPr>
        <w:t>من التخيّير في تقديم أيّهما شاء لا وجه 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76" w:name="pg11801_108235"/>
    </w:p>
    <w:p>
      <w:pPr>
        <w:pStyle w:val="Heading6"/>
        <w:numPr>
          <w:ilvl w:val="5"/>
          <w:numId w:val="1"/>
        </w:numPr>
        <w:rPr/>
      </w:pPr>
      <w:bookmarkStart w:id="377" w:name="__RefHeading___Toc10506992_73709187"/>
      <w:bookmarkStart w:id="378" w:name="_Toc144"/>
      <w:bookmarkEnd w:id="376"/>
      <w:bookmarkEnd w:id="377"/>
      <w:r>
        <w:rPr>
          <w:rtl w:val="true"/>
        </w:rPr>
        <w:t>حكم الشكّ بين أعداد الرباعيّة وما زاد</w:t>
      </w:r>
      <w:bookmarkEnd w:id="378"/>
    </w:p>
    <w:p>
      <w:pPr>
        <w:pStyle w:val="Heading6"/>
        <w:numPr>
          <w:ilvl w:val="5"/>
          <w:numId w:val="1"/>
        </w:numPr>
        <w:rPr/>
      </w:pPr>
      <w:bookmarkStart w:id="379" w:name="__RefHeading___Toc10506994_73709187"/>
      <w:bookmarkStart w:id="380" w:name="_Toc145"/>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بين أعداد الرباعيّة وبين ما زاد عنها، والصور المتصوّرة هنا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طرفي الشكّ التمام والزيادة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يكونا النقيصة والزيادة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يكونا النقيصة والتمام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الرّكوع إلى ما بعد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قدس سره</w:t>
      </w:r>
      <w:r>
        <w:rPr>
          <w:rStyle w:val="FootnoteAnchor"/>
          <w:rtl w:val="true"/>
        </w:rPr>
        <w:footnoteReference w:id="725"/>
      </w:r>
      <w:r>
        <w:rPr>
          <w:rFonts w:ascii="Amiri" w:hAnsi="Amiri" w:eastAsia="Amiri" w:cs="Amiri"/>
          <w:color w:val="111111"/>
          <w:sz w:val="28"/>
          <w:sz w:val="28"/>
          <w:szCs w:val="28"/>
          <w:rtl w:val="true"/>
          <w:lang w:bidi="ar-SA"/>
        </w:rPr>
        <w:t>إنهاءُ الصّور في هذا المقام إلى مأتين وخمس وعشرين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التعرّض لهذه الصور بعدما عرفت من أنّ الأصل في الشكوك هو المبطليّة، بل المهمّ إنّما هو بيان الصور التي يكون الشكّ فيها من الشكوك الصحيحة، أو قيل بكونه منها، وهي خمسة</w:t>
      </w:r>
      <w:r>
        <w:rPr>
          <w:rFonts w:eastAsia="Amiri" w:cs="Amiri" w:ascii="Amiri" w:hAnsi="Amiri"/>
          <w:color w:val="111111"/>
          <w:sz w:val="28"/>
          <w:szCs w:val="28"/>
          <w:rtl w:val="true"/>
          <w:lang w:bidi="ar-SA"/>
        </w:rPr>
        <w:t xml:space="preserve">: </w:t>
      </w:r>
      <w:bookmarkStart w:id="381" w:name="pg11801_108236"/>
    </w:p>
    <w:p>
      <w:pPr>
        <w:pStyle w:val="Heading6"/>
        <w:numPr>
          <w:ilvl w:val="5"/>
          <w:numId w:val="1"/>
        </w:numPr>
        <w:rPr/>
      </w:pPr>
      <w:bookmarkStart w:id="382" w:name="__RefHeading___Toc10506996_73709187"/>
      <w:bookmarkStart w:id="383" w:name="_Toc146"/>
      <w:bookmarkEnd w:id="381"/>
      <w:bookmarkEnd w:id="382"/>
      <w:r>
        <w:rPr>
          <w:rtl w:val="true"/>
        </w:rPr>
        <w:t>حكم الشكّ بين الأربع والخمس</w:t>
      </w:r>
      <w:bookmarkEnd w:id="383"/>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ولها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إكمال السّجدتين، المشهور بين الأصحاب</w:t>
      </w:r>
      <w:r>
        <w:rPr>
          <w:rStyle w:val="FootnoteAnchor"/>
          <w:rtl w:val="true"/>
        </w:rPr>
        <w:footnoteReference w:id="726"/>
      </w:r>
      <w:r>
        <w:rPr>
          <w:rFonts w:ascii="Amiri" w:hAnsi="Amiri" w:eastAsia="Amiri" w:cs="Amiri"/>
          <w:color w:val="111111"/>
          <w:sz w:val="28"/>
          <w:sz w:val="28"/>
          <w:szCs w:val="28"/>
          <w:rtl w:val="true"/>
          <w:lang w:bidi="ar-SA"/>
        </w:rPr>
        <w:t>أنّه يبني على الأربع، ويُتمّ صلاته، ثمّ يأتي بسجدتي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ركعتين جالساً بعد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لدلالة جملةٍ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أو خمساً، فاسجد سجدتي السَّهو بعد تسليمك ثمّ سَلِّم بعدهما</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الحلبي</w:t>
      </w:r>
      <w:r>
        <w:rPr>
          <w:rStyle w:val="FootnoteAnchor"/>
          <w:rtl w:val="true"/>
        </w:rPr>
        <w:footnoteReference w:id="730"/>
      </w:r>
      <w:r>
        <w:rPr>
          <w:rFonts w:ascii="Amiri" w:hAnsi="Amiri" w:eastAsia="Amiri" w:cs="Amiri"/>
          <w:color w:val="111111"/>
          <w:sz w:val="28"/>
          <w:sz w:val="28"/>
          <w:szCs w:val="28"/>
          <w:rtl w:val="true"/>
          <w:lang w:bidi="ar-SA"/>
        </w:rPr>
        <w:t>، وخبر أبي بصير عنه عليه السلام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واختصاص هذه النصوص بما بعد إكمال السّجدتين، إنّما هو للتعبير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تحقّق الرّكعة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أظفر بمستنده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عن الصدوق، فقد استدلّ له بمضمر الشّحام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العصر ستّ ركعات أو خمس ركعات‌؟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أنّه صَلّى خمساً أو ستّاً فليعد، وإنْ كان لا يدري أزاد أم نقص فليُكبِّر، وهو جالس، ثمّ ليركع ركعتين، يقرأ فيهما بفاتحة الكتاب</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لاضماره وضعفه في نفسه، وإعراض الأصحاب عنه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النصوص والفتاوى، وجوب سجدتي السَّهو في هذاالموضع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733"/>
      </w:r>
      <w:r>
        <w:rPr>
          <w:rFonts w:ascii="Amiri" w:hAnsi="Amiri" w:eastAsia="Amiri" w:cs="Amiri"/>
          <w:color w:val="111111"/>
          <w:sz w:val="28"/>
          <w:sz w:val="28"/>
          <w:szCs w:val="28"/>
          <w:rtl w:val="true"/>
          <w:lang w:bidi="ar-SA"/>
        </w:rPr>
        <w:t>القول بالعدم، والروايات المتقدّمة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734"/>
      </w:r>
      <w:r>
        <w:rPr>
          <w:rFonts w:ascii="Amiri" w:hAnsi="Amiri" w:eastAsia="Amiri" w:cs="Amiri"/>
          <w:color w:val="111111"/>
          <w:sz w:val="28"/>
          <w:sz w:val="28"/>
          <w:szCs w:val="28"/>
          <w:rtl w:val="true"/>
          <w:lang w:bidi="ar-SA"/>
        </w:rPr>
        <w:t>أنّه يجبُ عليه هدم القيام والجلوس، والعمل بعمل الشكّ بين الثَّلاث والأربع وسجدة السَّهو لمكان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حكم الشكّ بين الثَّلاث والأربع، لصدق الشاكّ بين الثَّلاث والأربع عليه فعلاً بالنسبة إلى الرّكعة التي قام عنها، ومقتضى تلك الأخبار زيادة القيام، لأنّ ما بيده تكون خامسة بنائيّة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الأدلّة تدلّ على لزوم فعل التشهّد والتسيلم، فالقيام زائدٌ، فيجب هدمه، وبما أنّ زيادته غير عمديّة، فلا توجب بطلان الصَّلاة، فإذا سَلّم يعمل بوظيفة الشاكّ بين الثَّلاث والأربع، ثمّ يسجد سَجدة السَّهو على القول بوجوبها لزيادة 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بعضهم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جهة عدم التمكّن من إحراز صحّة الصَّلاة لو أتمّها، وجب عليه هدم القيام، فإذا هَدَم رجع شكّه إلى ما بين الثَّلاث والأربع، فلابدَّ من الإتيان بوظيفته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يُحكم بزيادة القيام، لما أفاد الهدم شيئاً، وزيادته فرع شمول أدلّة البناء على الأربع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الأعظم رحمه الله</w:t>
      </w:r>
      <w:r>
        <w:rPr>
          <w:rStyle w:val="FootnoteAnchor"/>
          <w:rtl w:val="true"/>
        </w:rPr>
        <w:footnoteReference w:id="736"/>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أدلّة البناء على الأكثر كالموثّقات، فإنّ مقتضاه البناء على أنّ ما بيده خامسة، وحيث لم يدخل في ركوعها، فيرفع اليد عنها، ويتمّ صلاته على الأربع، ويأتي بعد السَّلام بما يحتمل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إنّما هو البناء على الأكثر فيما كان الأكثر جزءً للصلاة، لا زائداً يجب رفع اليد عنه،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بعد الدخول في الرّكوع إلى قبل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737"/>
      </w:r>
      <w:r>
        <w:rPr>
          <w:rFonts w:ascii="Amiri" w:hAnsi="Amiri" w:eastAsia="Amiri" w:cs="Amiri"/>
          <w:color w:val="111111"/>
          <w:sz w:val="28"/>
          <w:sz w:val="28"/>
          <w:szCs w:val="28"/>
          <w:rtl w:val="true"/>
          <w:lang w:bidi="ar-SA"/>
        </w:rPr>
        <w:t>بطلان الصَّلاة، وفيها أقوالٌ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الصَّلاة، ويعمل بوظيفة 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يتمّها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لا يهمّنا التعرّض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لما عرفت من أنّ الأصل في الشكوك البطلان، إلّا ما خرج، وهذا الشكّ ليس ما ورد في حقّه النّص، ولا يمكن إرجاعه إلى أحد الشكوك المنصوصة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استدلّ للبطلان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أدلّة البناء على الأكثر عند الشكّ بين الثَّلاث والأربع، تشمل المقام، من جهة الشكّ في أنّ الرّكعة السابقة على ما بيده هل هي الثالثة أو الرابعة، ولازمها البناء على أنّها الرابعة، ومقتضى ذلك زيادة ما بيده، فتكون هذه خامسة بنائيّة تبطل الصَّلاة بها للركوع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البناء على الأربع، لورودها في مقام تصحيح العمل، تختصّ بما إذا كان البناء على الأربع موجباً لصحّة الصَّلاة، ولا تشمل المقام الذي يكون لازم البناء عليها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أنّ مَنْ شكّ بين الأربع والخمس، يبني على الأربع، ويتمّ صلاته،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اختصاص تلك النصوص بما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عدم الخامسة، بناءً على جريانه في ركعات الصَّلاة مطلقاً، أو في غير الأوليين والأخيرتين، كما نُسب إلى المحقّق النائيني رحمه الله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نُسب إليه</w:t>
      </w:r>
      <w:r>
        <w:rPr>
          <w:rStyle w:val="FootnoteAnchor"/>
          <w:rtl w:val="true"/>
        </w:rPr>
        <w:footnoteReference w:id="739"/>
      </w:r>
      <w:r>
        <w:rPr>
          <w:rFonts w:ascii="Amiri" w:hAnsi="Amiri" w:eastAsia="Amiri" w:cs="Amiri"/>
          <w:color w:val="111111"/>
          <w:sz w:val="28"/>
          <w:sz w:val="28"/>
          <w:szCs w:val="28"/>
          <w:rtl w:val="true"/>
          <w:lang w:bidi="ar-SA"/>
        </w:rPr>
        <w:t>بأنّه لا يثبتُ أنّ ما بقي من الصَّلاة يكون من الرابعة، وهو عند شكّه في كونه من الرابعة أو الخامسة شاكٌّ في أنّ ما بقي من أجزاء هذه الرّكعة هل هو من الرابعة أم لا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هذا الاستصحاب، إنّما هو عدم بطلان الصَّلاة بزيادة الرّكعة، وأمّا بالنسبة إلى ما بقي من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شاكّ في الإتيان بسجدتي الرّكعة الرابعة، فيجري فيه استصحابٌ آخر وهو عدم الإتيان بهما، فيأتي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بهما ويُتمّ صلاته، ولا يتوقّف ذلك على إثبات بقاء محلّهما، كي يقال إنّ الاستصحاب بالنسبة إليه مثبتٌ‌، ولا ينافي هذا مع أدلّة البناء على الأكثر، من جهة أنّ البناء على عدم الإتيان بهما، مع كون الشكّ فيهما من حيث الشكّ في الرابعة لا فيهما أنفسهما، مع إحراز كونه في الرابعة، عبارةٌ عن البناء على عدم الإتيان بالرابعة عند الشكّ في الإتيان بها، مع أنّه كان مأموراً بالبناء على الإتيان بها عند الشكّ في الإتيان بها جزءً أو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البناء على الأكثر، قد مرّ أنّها لا تشمل المقام باعتبار أنّ البناء على الأكثر في المقام يقتضي البطلان، والبناء على الأربع إنّما هو عند الشكّ في الثَّلاث والأربع، لا عند الشكّ في الأربع والخمس، فإذاً لابدَّ من البناء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الجواب عن هذا الوجه، ما تقدّم من عدم جريان الاستصحاب في أعداد ركعات الصَّلاة مطلقاً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البطلان، لعدم المصحّح عند الشكّ في الصحّة والفساد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384" w:name="pg11801_108241"/>
    </w:p>
    <w:p>
      <w:pPr>
        <w:pStyle w:val="Heading6"/>
        <w:numPr>
          <w:ilvl w:val="5"/>
          <w:numId w:val="1"/>
        </w:numPr>
        <w:rPr/>
      </w:pPr>
      <w:bookmarkStart w:id="385" w:name="__RefHeading___Toc10506998_73709187"/>
      <w:bookmarkStart w:id="386" w:name="_Toc147"/>
      <w:bookmarkEnd w:id="384"/>
      <w:bookmarkEnd w:id="385"/>
      <w:r>
        <w:rPr>
          <w:rtl w:val="true"/>
        </w:rPr>
        <w:t>حكم الشكّ بين الأربع والسِّت</w:t>
      </w:r>
      <w:bookmarkEnd w:id="386"/>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والسِّت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النائيني رحمه الله</w:t>
      </w:r>
      <w:r>
        <w:rPr>
          <w:rStyle w:val="FootnoteAnchor"/>
          <w:rtl w:val="true"/>
        </w:rPr>
        <w:footnoteReference w:id="741"/>
      </w:r>
      <w:r>
        <w:rPr>
          <w:rFonts w:ascii="Amiri" w:hAnsi="Amiri" w:eastAsia="Amiri" w:cs="Amiri"/>
          <w:color w:val="111111"/>
          <w:sz w:val="28"/>
          <w:sz w:val="28"/>
          <w:szCs w:val="28"/>
          <w:rtl w:val="true"/>
          <w:lang w:bidi="ar-SA"/>
        </w:rPr>
        <w:t>إنّه يبني على الأربع، ويُتمّ صلاته، ولا شيء عليه، واستدلّ له بمفهوم خبر زيد الشّحام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صَلّى العصر ستّ ركعات أو خمس ركعات‌؟</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 أنّه صَلّى خمساً أو ستّاً فليعد</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مفهومه أنّه لا يجب الإعادة إذا لم يستيقن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لأنّ الراوي عن زيد الشحّام هو أبو جميلة، وهو إمّا مجهولٌ أو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ذيل الخبر متضمّنٌ لبيان المفهوم،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لا يدري أزاد أم نقص، فليُكبِّر وهو جالس، ثمّ ليركع ركعتين، يقرأ فيهما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لعدم عمل الأصحاب به، لابدَّ من طرحه، هذا فضلاً عن أنّ فيه مناقشات اُخر لا يهمّنا التعرّض لها، فالأظهر هو البناء على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بين الأربع والسِّت والخَمس، فراجع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الشكّ بين الأربع والسِّت في حال القيام، فالحكم بوجوب هدم القيام والصحّة، يبتني على القول بصحّة الصَّلاة إذا شكّ بين الثَّلاث والخمس، بعد إكمال السّجدتين، كما عن المحقّق السيّد الشيرازي القول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ومحصّل ما ذكر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العلم الإجمالي بالنقيصة أو الزيادة م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الرّكعة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احتمال كونها خامسة، فمدفوعٌ باستصحاب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كونها ثالثة، فلابدَّ من الإتيان بالركعة مفصولة لا متّصلة، فلو أتمّ صلاته وأتى بركعة مفصولة، يقطع بالامتثال، لأنّ احتمال الزيادة منفيٌّ بالأصل، واحتمال النقص مجبور بالرّكعة المفصولة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الصَّلاة بجبر النقص بالركعة المفصولة متوقّفة على ثبوت الدليل، وهو إنّما يدلّ على أنّ الوظيفة ذلك بعد البناء على الأربع، ومع القطع بعدم كون ما بيده رابعة، لا معنى للبناء عليها ولو عملاً، مع أنّه قد عرفت عدم جريان الاستصحاب في أعداد ركعات الصَّلاة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هو البطلان في الأصل والفرع</w:t>
      </w:r>
      <w:r>
        <w:rPr>
          <w:rFonts w:eastAsia="Amiri" w:cs="Amiri" w:ascii="Amiri" w:hAnsi="Amiri"/>
          <w:color w:val="111111"/>
          <w:sz w:val="28"/>
          <w:szCs w:val="28"/>
          <w:rtl w:val="true"/>
          <w:lang w:bidi="ar-SA"/>
        </w:rPr>
        <w:t>.</w:t>
      </w:r>
      <w:bookmarkStart w:id="387" w:name="pg11801_108243"/>
    </w:p>
    <w:p>
      <w:pPr>
        <w:pStyle w:val="Heading6"/>
        <w:numPr>
          <w:ilvl w:val="5"/>
          <w:numId w:val="1"/>
        </w:numPr>
        <w:rPr/>
      </w:pPr>
      <w:bookmarkStart w:id="388" w:name="__RefHeading___Toc10507000_73709187"/>
      <w:bookmarkStart w:id="389" w:name="_Toc148"/>
      <w:bookmarkEnd w:id="387"/>
      <w:bookmarkEnd w:id="388"/>
      <w:r>
        <w:rPr>
          <w:rtl w:val="true"/>
        </w:rPr>
        <w:t>حكم الشكّ بين الأربع والخَمس والسِّت</w:t>
      </w:r>
      <w:bookmarkEnd w:id="389"/>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 والسِّت؛ ولها أيضاً صور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بعد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الدخول في الرّكوع إلى قبل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المحقّق النائيني رحمه الله</w:t>
      </w:r>
      <w:r>
        <w:rPr>
          <w:rStyle w:val="FootnoteAnchor"/>
          <w:rtl w:val="true"/>
        </w:rPr>
        <w:footnoteReference w:id="743"/>
      </w:r>
      <w:r>
        <w:rPr>
          <w:rFonts w:ascii="Amiri" w:hAnsi="Amiri" w:eastAsia="Amiri" w:cs="Amiri"/>
          <w:color w:val="111111"/>
          <w:sz w:val="28"/>
          <w:sz w:val="28"/>
          <w:szCs w:val="28"/>
          <w:rtl w:val="true"/>
          <w:lang w:bidi="ar-SA"/>
        </w:rPr>
        <w:t>بالصحّة في الصورتين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بالاستصحاب، وبمفهوم خبر زيد الشّحام المتقدّم، 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جريانه في ركعات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أنّه لا يُعتمد عليه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أنّه يجب عليه هدم القيام، وإتمام الصَّلاة، ثمّ الإتيان بوظيفة الشكّ بين الثَّلاث والأربع، والإتيان بسجدتي السَّهو لكونه شاكّاً في الرّكعة السابقة على هذه الرّكعة، لتردّدها بين الثَّلاث والأربع والخمس، وحكم الشكّ المزبور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تفرّع حكم هذا الشكّ على الشكّ بين الثَّلاث والأربع والخمس وإنْ كان متيناً، إلّاأنّ ما ذكره من أنّ حكم الشكّ المذكور ذلك لا يتمّ كما سيمرّ عليك فانتظر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أنّ حكم هذا الشكّ في جميع فروضه هو البطلان</w:t>
      </w:r>
      <w:r>
        <w:rPr>
          <w:rFonts w:eastAsia="Amiri" w:cs="Amiri" w:ascii="Amiri" w:hAnsi="Amiri"/>
          <w:color w:val="111111"/>
          <w:sz w:val="28"/>
          <w:szCs w:val="28"/>
          <w:rtl w:val="true"/>
          <w:lang w:bidi="ar-SA"/>
        </w:rPr>
        <w:t>.</w:t>
      </w:r>
      <w:bookmarkStart w:id="390" w:name="pg11801_108244"/>
    </w:p>
    <w:p>
      <w:pPr>
        <w:pStyle w:val="Heading6"/>
        <w:numPr>
          <w:ilvl w:val="5"/>
          <w:numId w:val="1"/>
        </w:numPr>
        <w:rPr/>
      </w:pPr>
      <w:bookmarkStart w:id="391" w:name="__RefHeading___Toc10507002_73709187"/>
      <w:bookmarkStart w:id="392" w:name="_Toc149"/>
      <w:bookmarkEnd w:id="390"/>
      <w:bookmarkEnd w:id="391"/>
      <w:r>
        <w:rPr>
          <w:rtl w:val="true"/>
        </w:rPr>
        <w:t>حكم الشكّ بين الثَّلاث والخَمس</w:t>
      </w:r>
      <w:bookmarkEnd w:id="392"/>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والخمس، ولها فرضان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في حال القيام، وجب هدم القيام، لكونه شكّاً في أنّ الرّكعة التي قام عنها المُصلّي هي الثانية أو الرابعة، فتكون وظيفته البناء على الأربع، ولازم ذلك زيادة القيام، فيجب أن يهدمه ويعمل بوظيفة الشاكّ بين الاثنتين والأربع، 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بعد الدخول في الرّكوع إلى آخر الصَّلاة، فالحكم هو البطلان، لعدم كونه بنفسه من الشكوك المنصوصة، ولا يكون راجعاً إلى أحدها، فلابدّ من البناء على البطلان</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10507004_73709187"/>
      <w:bookmarkStart w:id="394" w:name="_Toc150"/>
      <w:bookmarkEnd w:id="393"/>
      <w:r>
        <w:rPr>
          <w:rtl w:val="true"/>
        </w:rPr>
        <w:t>حكم الشكّ بين الثَّلاث والأربع والخَمس</w:t>
      </w:r>
      <w:bookmarkEnd w:id="394"/>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أيضاً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الشكّ في حال القيام، وحكمه حينئذٍ الصحّة، ووجوب هدم القيام، لكونه شاكاً في أنّ الرّكعة السابقة على ما بيده هل هي الثانية أو الثالثة أو الرابعة، وقد مرَّ وظيفة هذا الشاكّ‌، ولذلك عليه أن يهدم القيام ويأتي بوظيفته، وتصحّ صلاته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بعد إكمال السّجدتين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المشهور</w:t>
      </w:r>
      <w:r>
        <w:rPr>
          <w:rStyle w:val="FootnoteAnchor"/>
          <w:rtl w:val="true"/>
        </w:rPr>
        <w:footnoteReference w:id="744"/>
      </w:r>
      <w:r>
        <w:rPr>
          <w:rFonts w:ascii="Amiri" w:hAnsi="Amiri" w:eastAsia="Amiri" w:cs="Amiri"/>
          <w:color w:val="111111"/>
          <w:sz w:val="28"/>
          <w:sz w:val="28"/>
          <w:szCs w:val="28"/>
          <w:rtl w:val="true"/>
          <w:lang w:bidi="ar-SA"/>
        </w:rPr>
        <w:t xml:space="preserve">البناء على الصحّة، وتعيّن البناء على الأربع، والإتيان بوظيفة </w:t>
      </w:r>
    </w:p>
    <w:p>
      <w:pPr>
        <w:pStyle w:val="BookText"/>
        <w:rPr/>
      </w:pPr>
      <w:r>
        <w:rPr>
          <w:rFonts w:ascii="Amiri" w:hAnsi="Amiri" w:eastAsia="Amiri" w:cs="Amiri"/>
          <w:color w:val="111111"/>
          <w:sz w:val="28"/>
          <w:sz w:val="28"/>
          <w:szCs w:val="28"/>
          <w:rtl w:val="true"/>
          <w:lang w:bidi="ar-SA"/>
        </w:rPr>
        <w:t>الشاكّ بين الثَّلاث والأربع، والأربع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بعدم تأثير الهيئة الاجتماعيّة في الشكوك، فالشكّ في المركّب تابعٌ لبسائطه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انصراف أدلّة الشكوك إلى صور انفراد كلّ شكٍّ عن غيره غير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الشكوك التي تركّب منها هذا الشكّ‌، هو الشكّ بين الثَّلاث والخمس، وقد مرَّ أنّ حكمه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أنّ استصحاب عدم الخامسة يوجبُ الصحّة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البطلان، وبه يظهر حكم الفرض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حكم سائر الصور المفروضة في هذا المقام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95" w:name="pg11801_108246"/>
    </w:p>
    <w:p>
      <w:pPr>
        <w:pStyle w:val="Heading6"/>
        <w:numPr>
          <w:ilvl w:val="5"/>
          <w:numId w:val="1"/>
        </w:numPr>
        <w:rPr/>
      </w:pPr>
      <w:bookmarkStart w:id="396" w:name="__RefHeading___Toc10507006_73709187"/>
      <w:bookmarkStart w:id="397" w:name="_Toc151"/>
      <w:bookmarkEnd w:id="395"/>
      <w:bookmarkEnd w:id="396"/>
      <w:r>
        <w:rPr>
          <w:rtl w:val="true"/>
        </w:rPr>
        <w:t>حكم الشكّ فيما زاد على أعداد الرباعيّة</w:t>
      </w:r>
      <w:bookmarkEnd w:id="397"/>
    </w:p>
    <w:p>
      <w:pPr>
        <w:pStyle w:val="Heading6"/>
        <w:numPr>
          <w:ilvl w:val="5"/>
          <w:numId w:val="1"/>
        </w:numPr>
        <w:rPr/>
      </w:pPr>
      <w:bookmarkStart w:id="398" w:name="__RefHeading___Toc10507008_73709187"/>
      <w:bookmarkStart w:id="399" w:name="_Toc152"/>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الشكّ في طرف الزيادة عن أعداد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صوره أيضاً كثيرة، إلّاأنّ صورة واحدة منها ترجع إلى المنصوص، والبقيّة محكومة بالبطلان، وهي ما لو شكّ بين الخَمس والسِّت في حال القيام، ففيها عليه هدم قيامه وإتمام صلاته، وأن يأتي بوظيفة الشاكّ بين الأربع والخمس، كما مرَّ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اختاره المحقّق النائيني رحمه الله</w:t>
      </w:r>
      <w:r>
        <w:rPr>
          <w:rStyle w:val="FootnoteAnchor"/>
          <w:rtl w:val="true"/>
        </w:rPr>
        <w:footnoteReference w:id="747"/>
      </w:r>
      <w:r>
        <w:rPr>
          <w:rFonts w:ascii="Amiri" w:hAnsi="Amiri" w:eastAsia="Amiri" w:cs="Amiri"/>
          <w:color w:val="111111"/>
          <w:sz w:val="28"/>
          <w:sz w:val="28"/>
          <w:szCs w:val="28"/>
          <w:rtl w:val="true"/>
          <w:lang w:bidi="ar-SA"/>
        </w:rPr>
        <w:t>من أنّ حكم الشكّ بين الأربع والخمس والسِّت، وحكم الشكّ بين الأربع والسِّت، هو البناء على الأربع، فإنّ صورتان متفرّعتان عليهما محكومتان بالصحّة،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والسِّت والسبع في حال القيام، فإنّه يهدم القيام، ويكون من جهة الشكّ بين الأربع والخمس والسِّت مأموراً بالبناء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والسبع في حال القيام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مرّ أنّ حكم الأصلين هو البطلان فكذلك الفرعان</w:t>
      </w:r>
      <w:r>
        <w:rPr>
          <w:rFonts w:eastAsia="Amiri" w:cs="Amiri" w:ascii="Amiri" w:hAnsi="Amiri"/>
          <w:color w:val="111111"/>
          <w:sz w:val="28"/>
          <w:szCs w:val="28"/>
          <w:rtl w:val="true"/>
          <w:lang w:bidi="ar-SA"/>
        </w:rPr>
        <w:t>.</w:t>
      </w:r>
      <w:bookmarkStart w:id="400" w:name="pg11801_108247"/>
    </w:p>
    <w:p>
      <w:pPr>
        <w:pStyle w:val="Heading6"/>
        <w:numPr>
          <w:ilvl w:val="5"/>
          <w:numId w:val="1"/>
        </w:numPr>
        <w:rPr/>
      </w:pPr>
      <w:bookmarkStart w:id="401" w:name="__RefHeading___Toc10507010_73709187"/>
      <w:bookmarkStart w:id="402" w:name="_Toc153"/>
      <w:bookmarkEnd w:id="400"/>
      <w:bookmarkEnd w:id="401"/>
      <w:r>
        <w:rPr>
          <w:rtl w:val="true"/>
        </w:rPr>
        <w:t>بعض فروع الشكوك الصحيحة</w:t>
      </w:r>
      <w:bookmarkEnd w:id="402"/>
    </w:p>
    <w:p>
      <w:pPr>
        <w:pStyle w:val="Heading6"/>
        <w:numPr>
          <w:ilvl w:val="5"/>
          <w:numId w:val="1"/>
        </w:numPr>
        <w:rPr/>
      </w:pPr>
      <w:bookmarkStart w:id="403" w:name="__RefHeading___Toc10507012_73709187"/>
      <w:bookmarkStart w:id="404" w:name="_Toc154"/>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فروعاً لابدَّ من التعرّض لها</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0507014_73709187"/>
      <w:bookmarkStart w:id="406" w:name="_Toc155"/>
      <w:bookmarkEnd w:id="405"/>
      <w:r>
        <w:rPr>
          <w:rtl w:val="true"/>
        </w:rPr>
        <w:t>في فرض الشكّ بين الثَّلاث والأربع</w:t>
      </w:r>
      <w:bookmarkEnd w:id="406"/>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الشكّ بين الثَّلاث والأربع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في حال القيام أنّه ترك سجدةً من الرّكعة السابقة، بطلت الصَّلاة، لا لما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من أنّه يجب عليه هدم القيام، لتدارك السّجدة المنسيّة، ليرجع شكّه إلى ما قبل الإكمال، بل لأنّ القيام بما أنّه واقعٌ قبل السّجدة، وتذكّر ذلك قبل الدخول في الرّكن، يكون زائداً وفي غير محلّه، وحيث إنّه لم يسجد سجدة الرّكعة التي قام عنها، فلا محالة يكون شكّه هذا شكّاً قبل إحراز الأوليين، وقد تقدّم أنّ مثل هذا الشكّ مبطلٌ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تذكّر ذلك بعد الدخول في الرّكوع صحّت صلاته، لأنّ جزئيّة السّجدة الثانية للركعة الثانية ساقطة في هذا الفرض، فيكون الشكّ بعد إحراز الأوليين</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10507016_73709187"/>
      <w:bookmarkStart w:id="408" w:name="_Toc156"/>
      <w:bookmarkEnd w:id="407"/>
      <w:r>
        <w:rPr>
          <w:rtl w:val="true"/>
        </w:rPr>
        <w:t>في الشكوك التي يعتبر فيها إكمال السّجدتين</w:t>
      </w:r>
      <w:bookmarkEnd w:id="408"/>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التي يعتبر فيها إكمال السّجدتين، كالشكّ بين الاثنتين والثَّلاث، والشكّ بين الإثنتين والأربع، والشكّ بين الإثنتين والثَّلاث والأربع، إذا شكّ في إتيان السّجدتين أو إحداهما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قبل الدخول في القيام أو التشهّد، بطلت صلاته، لأنّه محكومٌ بعدم الإتيان بالمشكوك فيه، فيكون شكّه في الرَّكعات قبل الإكمال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الشكّ في حال التشهّد، فقد حكم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بأنّه لم تبطل لأنّه محكوم بالإتيان شرعاً فيكون بعد الإكمال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هي الصحّة في الشكّ بين الاثنتين والأربع، والبطلان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البطلان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التشهّد لم يُحرز وقوعه في محلّه، إذ لعلّ ما بيده هي الثالثة، فالتشهّد في غير محلّه، فلم يُحرز الدخول في الغير المترتّب الشرعي، فلا تجري قاعدة التجاوز في السّجدة، بل مقتضى أصالة عدم الإتيان بها، كون الشكّ قبل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لم يُحرز كون الشكّ بعد الإكمال، وبعد إحراز الأوليّين فلا محالة يكون محكوماً بالبطلان، مع أنّه في صورة الشكّ بين الإثنتين والثَّلاث لا يُعقل شمول دليل البناء على الثَّلاث، لأنّه يلزم منه عدم الشمول، وما يلزم من وجوده عدمه محالٌ‌، فإنّه لو شمله الدليل يكون التشهّد محكوماً بالزيادة، فإذا حكم بزيادة التشهّد، يكون الشكّ في السّجدة قبل الدخول في الغير، وذلك الدليل لا يشمل ما قبل إكمال السّجدتين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في ذلك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التشهّد على أيّ تقدير مأمورٌ به وواقع في محلّه، فالسّجدة بمقتضى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بالإتيان فيكون الشكّ بعد الإكمال، فتشمله أدلّة البناء على الأكثر، فتدبّر، فاني لم أرَ مَن فَصّل بين هذه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تظهر المناقشة فيما ذكره الأعاظم في المقام، فلا نطيل بذكره وما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الشكّ في حال القيام، فحيث أنّ القيام واقعٌ في محلّه، فالشكّ في إتيان السّجدة لا يعتنى به، بل هي محكومة بالإتيان، فتشمله أدلّة البناء على الأكثر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الموارد التي حكمنا فيها بالصحّة، لا فرق بين مقارنة حدوث الشكّين أو تقدّم أحدهما على الآخر</w:t>
      </w:r>
      <w:r>
        <w:rPr>
          <w:rFonts w:eastAsia="Amiri" w:cs="Amiri" w:ascii="Amiri" w:hAnsi="Amiri"/>
          <w:color w:val="111111"/>
          <w:sz w:val="28"/>
          <w:szCs w:val="28"/>
          <w:rtl w:val="true"/>
          <w:lang w:bidi="ar-SA"/>
        </w:rPr>
        <w:t xml:space="preserve">. </w:t>
      </w:r>
      <w:bookmarkStart w:id="409" w:name="pg11801_108249"/>
    </w:p>
    <w:p>
      <w:pPr>
        <w:pStyle w:val="BookText"/>
        <w:rPr/>
      </w:pPr>
      <w:bookmarkEnd w:id="409"/>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تقدّم الشكّ في الرَّكعات؛ بما أنّه لاتكون السّجدة بحكم الشارع محكومة بالإتيان بها حين الشكّ‌، ويحتمل واقعاً ولو بعد عروض الشكّ عدم الإتيان بها، فيكون الشكُّ شكّاً قبل إحراز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أدلّة البناء على الأكثر الشكّ بعد إحراز الأوليين، وهذا متحقّقٌ إمّا قبل الشكّ في إتيانها فللعلم، وإمّا بعده فلقاعدة التجاوز، ولا يكون الموضوع الشكّ بعد تحقّق السّجدتين واقعاً</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10507018_73709187"/>
      <w:bookmarkStart w:id="411" w:name="_Toc157"/>
      <w:bookmarkEnd w:id="410"/>
      <w:r>
        <w:rPr>
          <w:rtl w:val="true"/>
        </w:rPr>
        <w:t>الشكّ في أنّ حالته ظنٌ أو شكّ‌</w:t>
      </w:r>
      <w:bookmarkEnd w:id="411"/>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شكّ في أنّ الحالة الفعليّة هل هو ظنٌ أو شكّ‌، كما ربما يتّفق لبعض الناس لخفاء ما به الامتياز بين الحالين، أو لانكماش النفس عن التوجّه لبعض العوارض، أو لغير ذلك،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المعاصرين</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الشكّ والظنّ على خلاف الأصل، فلايمكن إثبات أحدهمابعينه بالأصل، بل الواجب الرجوع إلى قواعد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القول في المقام أن يُقال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ذلك في الشكوك الموجبة للبطلان، كما لو شكّ في أنّه شاكّ بين الواحدة والإثنتين، أو ظانّ بإحداهما، فإنّه لابدَّ من ترتيب أثر الشكّ‌، وهو البطلان، لعدم إحراز كونه ظانّاً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عليه من إتمام ما بيده، بأن يُعامل معاملة الظانّ‌، ثمّ يستأنف، للعلم بتحقّق أحدهما، ولكلّ منهما حكمٌ يخصّه من الإتمام أو الاستئناف، فيجب الجمع بينهما قضاءً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في أمثال المقام من قطع الصَّلاة، ولا يجب الإتمام، لما تقدّم في هذا الشرح</w:t>
      </w:r>
      <w:r>
        <w:rPr>
          <w:rStyle w:val="FootnoteAnchor"/>
          <w:rtl w:val="true"/>
        </w:rPr>
        <w:footnoteReference w:id="752"/>
      </w:r>
      <w:r>
        <w:rPr>
          <w:rFonts w:ascii="Amiri" w:hAnsi="Amiri" w:eastAsia="Amiri" w:cs="Amiri"/>
          <w:color w:val="111111"/>
          <w:sz w:val="28"/>
          <w:sz w:val="28"/>
          <w:szCs w:val="28"/>
          <w:rtl w:val="true"/>
          <w:lang w:bidi="ar-SA"/>
        </w:rPr>
        <w:t>من أنّ عمدة مدرك حرمة قطع الصَّلاة، هي الإجماع، والقدر المتيقّن منه حرمته في الصَّلاة التي يجوز للمكلّف الإقتصار عليها في مقام الامتثال، فقطعها على أيّ تقديرٍ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ذلك في الشكوك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اتّحدا في تتميم الصَّلاة، كما لو شكّ في أنّه شاكٌّ بين الثَّلاث والأربع، أو ظانّ بالأربع، يُتمّها ثمّ يأتي بوظيفة الشاكّ‌،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يتّحدا، كما لو شكّ في أنّه شاكّ بينهما أو ظانّ بالثلاث، فلا محالة يحصل له العلم الإجمالي بوجوب ركعة متّصلة أو منفصلة، فحيثُ لا يمكن له الامتثال القطعي، فله أن يرفع اليد عن ما بيده، ويستأنف الصَّلاة، ولا يجبُ عليه الأخذ بأحد طرفي الشكّ‌، أعني معاملة الشكّ أو الظنّ ثمّ استئناف الصَّلاة كما عن بعض المحقّقين، لما عرفت من عدم حرمة قطع الصَّلاة في أمثال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حصل له حالةٌ في أثناء الصَّلاة، وجرى على مقتضاها، ثمّ بعد ذلك قبل الفراغ لم يدر أنّه كان شكّاً أو ظنّاً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فعلاً ظانّاً أو شاكّاً، بنى عليه، لأنّ العبرة بالحالة الموجودة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أثر لما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حدثت الحالة قبل السّجدتين، ثمّ بعد الإكمال شكّ في أنّها شكٌّ‌، لتبطل صلاته من جهة المُضيّ على الشكّ المؤدّي إلى زيادة الرّكن، أو أنّها ظنّ لكي تصحّ صلاته، أشكل الحكم المذكور إذا كانت حالته الفعليّة الشكّ‌، وكان الشكّ ممّا يعتبر في عدم مبطليّته إكمال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دفع هذا الاحتمال بإجراء قاعدة التجاوز في السّجدتين، لأنّه لا يثبت بها كون الشكّ حادثاً بعد الإكمال، إلّاعلى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يثبت ذلك، واحتمل كون الشكّ الحادث قبل الإكمال باطلاً، إذ لم ينصّ عليه بحكم، وكونه شاكّاً بعد إكمال السّجدتين لا يُجدي في دخوله في الشكوك الصحيحة، إذ العبرة في الدخول فيها حال الحدوث لا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أدلّة الشكوك الصحيحة، هو الشكّ بعد الإكمال غير المتحقّق قبله، فإذا كان فعلاً شاكّاً، وجرى استصحاب عدم وجود الشكّ قبل الإكمال، تحقّق الموضوع، فتشمله أدلّة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وإنْ‌علم بعد الفراغ من الصَّلاة أنّه طرأت له حالة تردّد بين الإثنتين والثَّلاث، وأنّه بني على الثَّلاث، وشكّ في أنّه حصل له الظنّ به، أو كان من باب البناء في الشكّ‌، فقد يقال بوجوب صلاة الاحتياط عليه، لأنّ صلاة الاحتياط إنّما تكون جابرة للنقص على تقدير النقص</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فمقتضى قاعدة الاشتغال الإتيان بها، ولا مورد لتوهّم أنّ هذا شكٌّ بعد الفراغ فلا يعتني به، لأنّه يندفع بأنّه لم يحرز من حيث أنّه شكّ في عدد الرَّكعات </w:t>
      </w:r>
    </w:p>
    <w:p>
      <w:pPr>
        <w:pStyle w:val="BookText"/>
        <w:rPr/>
      </w:pPr>
      <w:r>
        <w:rPr>
          <w:rFonts w:ascii="Amiri" w:hAnsi="Amiri" w:eastAsia="Amiri" w:cs="Amiri"/>
          <w:color w:val="111111"/>
          <w:sz w:val="28"/>
          <w:sz w:val="28"/>
          <w:szCs w:val="28"/>
          <w:rtl w:val="true"/>
          <w:lang w:bidi="ar-SA"/>
        </w:rPr>
        <w:t>كونه حادثاً بعد الصَّلاة، ولعلّه كان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يجري فيه ما ذكرناه في سابقه، مع أنّ صلاة الاحتياط أمر بها بأمرٍ آخر غير الأمر المتعلّق بالركعة الأخيرة المتّصلة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فدعوى أنّ ذلك الأمر سقط قطعاً، والشكّ إنّما هو في حدوث أمرٍ آخر، فيكون المورد من موارد أصالة البراءة قريبةٌ‌، فالأظهر عدم وجوبها</w:t>
      </w:r>
      <w:r>
        <w:rPr>
          <w:rFonts w:eastAsia="Amiri" w:cs="Amiri" w:ascii="Amiri" w:hAnsi="Amiri"/>
          <w:color w:val="111111"/>
          <w:sz w:val="28"/>
          <w:szCs w:val="28"/>
          <w:rtl w:val="true"/>
          <w:lang w:bidi="ar-SA"/>
        </w:rPr>
        <w:t>.</w:t>
      </w:r>
      <w:bookmarkStart w:id="412" w:name="pg11801_108253"/>
    </w:p>
    <w:p>
      <w:pPr>
        <w:pStyle w:val="Heading6"/>
        <w:numPr>
          <w:ilvl w:val="5"/>
          <w:numId w:val="1"/>
        </w:numPr>
        <w:rPr/>
      </w:pPr>
      <w:bookmarkStart w:id="413" w:name="__RefHeading___Toc10507020_73709187"/>
      <w:bookmarkStart w:id="414" w:name="_Toc158"/>
      <w:bookmarkEnd w:id="412"/>
      <w:bookmarkEnd w:id="413"/>
      <w:r>
        <w:rPr>
          <w:rtl w:val="true"/>
        </w:rPr>
        <w:t>حكم انقلاب الشكّ‌</w:t>
      </w:r>
      <w:bookmarkEnd w:id="414"/>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انقلب شكّه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في الأثناء، كما لو شكّ بين الثَّلاث والأربع مثلاً، فبنى على الأربع، ثمّ بعد ذلك انقلب شكّه إلى الظنّ بالثلاث أو بالأربع، أو انقلب إلى الشكّ بين الاثنتين والأربع، بنى على ما انقلب اليه، والظاهر أنّه لا خلاف فيه، والوجه فيه أنّ الظاهر من النصوص أنّ حكم كلّ شكٍّ أو ظنٍّ دورانه مداره وجوداً وعدماً، حدوثاً وبقاءً‌، فلو انقلب الشكّ إلى شكٍّ آخر انقلب الحكم بتبعه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انقلب الشكّ إلى شكٍّ آخر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الانقلاب موجباً للعلم بالزيادة أو النقيصة أو إحداهما،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شيء عليه، لأنّ الشكّ الأوّل قد زال، والشكّ الثاني متحقّق بعد الصَّلاة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اليزدي رحمه الله</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الشكّ بعد الفراغ لا يشمل المقام، لإنصرافه إلى الفراغ بعنوانٍ آخر الرَّكعات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ينصرف إلى الإتيان بالجزء الأخير، بتخيّل أنّه الجزء الأخير، وما أتى به المُصلّي من السَّلام في الفرض، ليس بعنوان أنّه الجزء الأخير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داخلاً في الشكّ قبل الفراغ، لأنّ الشكّ قبل الفراغ عبارة عن الشكّ الذي حصل للمُصلّي قبل السَّلام المحتمل كونه تحليلاً للصلاة، وجزءً أخيراً </w:t>
      </w:r>
    </w:p>
    <w:p>
      <w:pPr>
        <w:pStyle w:val="BookText"/>
        <w:rPr/>
      </w:pPr>
      <w:r>
        <w:rPr>
          <w:rFonts w:ascii="Amiri" w:hAnsi="Amiri" w:eastAsia="Amiri" w:cs="Amiri"/>
          <w:color w:val="111111"/>
          <w:sz w:val="28"/>
          <w:sz w:val="28"/>
          <w:szCs w:val="28"/>
          <w:rtl w:val="true"/>
          <w:lang w:bidi="ar-SA"/>
        </w:rPr>
        <w:t>منها، وإنْ كان من المحتمل وقوعه سهواً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أتى بالنقيصة المحتملة موصولةً‌، برأت ذمّته يقيناً، فإنّه لو كانت صلاته تامّة لم تضرّ الزيادة بواسطة الفصل بالسّلام الواقع في محلّه، وإنْ كانت ناقصة، يكون ما أتى به متمّماً لها، وبعد انحصار العلاج بذلك يجب، لأنّ الاشتغال اليقيني يقتضي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قبل الفراغ بعنوانه ليس موضوعاً للحكم، بل موضوع أدلّة الشكوك الصحيحة هو الشكّ‌، وقد خرج عن ذلك الشكّ بعد الفراغ، فالموضوع هو الشكّ الذي لا يكون شكّاً بعد الفراغ، وحيثُ أنّ المفروض إنّه ليس شكّاً بعد الفراغ لما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لم يقع بعنوان الفراغ من الصَّلاة، بل بعنوانٍ 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احتمال عدم الفراغ، فلا مجال للحكم، كما لا مانع من شمول دليل الشكّ للشكّ بعد السَّلام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من عدم شمول دليل الشكّ بعد الفراغ للمقام، وإنْ كان متيناً في بعض الصور كما ستعرف، لكن لا يتمّ ما أفاده من عدم شمول دليل الشكّ له قبل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التفصيل</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ما إذا كان التسليم بعنوان أنّه آخر أجزاء الصَّلاة، كما لو شكّ بين الأربع والخمس، وبنى على الأربع، وأتمّ صلاته، ثمَّ شكّ بين الثَّلاث والأربع، وفي مثل ذلك تجري قاعدة الفراغ بالنسبة إلى الشكّ الثاني، أمّا الشكّ الأوّل فقد زال فلا يجب عليه شيء، وهكذا إذا كان التسليم لا بهذا العنوان، ولكن بعد الفراغ أحرز </w:t>
      </w:r>
    </w:p>
    <w:p>
      <w:pPr>
        <w:pStyle w:val="BookText"/>
        <w:rPr/>
      </w:pPr>
      <w:r>
        <w:rPr>
          <w:rFonts w:ascii="Amiri" w:hAnsi="Amiri" w:eastAsia="Amiri" w:cs="Amiri"/>
          <w:color w:val="111111"/>
          <w:sz w:val="28"/>
          <w:sz w:val="28"/>
          <w:szCs w:val="28"/>
          <w:rtl w:val="true"/>
          <w:lang w:bidi="ar-SA"/>
        </w:rPr>
        <w:t>ذلك، كما لو شكّ بين الثَّلاث والأربع، فبنى على الأربع، وأتمّ صلاته ثمّ انقلب شكّه إلى الشكّ بين الأربع والخمس، فإنّ الشكّ الأوّل يكون قد زال والثاني حادثٌ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لا بهذا العنوان، ولم يَحرز ذلك، كما لو شكّ بين الثَّلاث والأربع، ثمّ انقلب شكّه إلى الشكّ بين الاثنتين والأربع، فإنّ الشكّ الأوّل وإنْ زال إلّاأنّ الشكّ الثاني بما أنّه ليس بعد الفراغ كما تقدّم، فيشمله دليل ذلك، فيجبُ عليه أن يعمل بوظيفة الشاكّ بين الإثنتين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لم يوجب الانقلاب العلم بالزيادة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أوجب ذلك العلم بالزيادة، كما لو شكّ بين الإثنتين وبنى على الثَّلاث، وأتى بركعةٍ اُخرى موصولة ثمّ انقلب شكّه إلى الشكّ بين الخمس والسِّت، ففي هذه الصورة لا ريب في بطلان الصَّلاة، لما تقدّم من مبطليّتها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أوجب شكّه العلم بالنقيصة، كما لو انقلب الشكّ بين الثَّلاث والأربع إلى الشكّ بين الإثنتين والثَّلاث، فحكمه حكم من تبدّل شكّه في أثناء الصَّلاة إلى شكٍّ آخر، للعلم بوقوع السَّلام في غير محلّه، وأنّه في الصَّلاة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ذكرناه في هذه الصور أنّه لو انقلب الشكّ البسيط إلى الشكّ المركّب ممّا وقع في الصَّلاة وغيره، كما لو انقلب الشكّ بين الاثنتين والأربع إلى الشكّ بين الإثنتين والثَّلاث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الشكّ المنقلب اليه من الشكوك المنصوص على صحّتها، كما في المثال فيشمله دليله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الشكوك الباطلة، فيحكم بالبطلان، إلّاإذا أتى بالسلام بعنوان </w:t>
      </w:r>
    </w:p>
    <w:p>
      <w:pPr>
        <w:pStyle w:val="BookText"/>
        <w:rPr/>
      </w:pPr>
      <w:r>
        <w:rPr>
          <w:rFonts w:ascii="Amiri" w:hAnsi="Amiri" w:eastAsia="Amiri" w:cs="Amiri"/>
          <w:color w:val="111111"/>
          <w:sz w:val="28"/>
          <w:sz w:val="28"/>
          <w:szCs w:val="28"/>
          <w:rtl w:val="true"/>
          <w:lang w:bidi="ar-SA"/>
        </w:rPr>
        <w:t>أنّه آخر أجزاء الصَّلاة، أو أحرز ذلك بعد، فإنّه في هاتين الصورتين لا يجبُ عليه شيءٌ‌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ممّا ذكرناه ظهر حكم جميع الصور المتصوّرة في المقام، فلا وجه لإطالة الكلام فيها</w:t>
      </w:r>
      <w:r>
        <w:rPr>
          <w:rFonts w:eastAsia="Amiri" w:cs="Amiri" w:ascii="Amiri" w:hAnsi="Amiri"/>
          <w:color w:val="111111"/>
          <w:sz w:val="28"/>
          <w:szCs w:val="28"/>
          <w:rtl w:val="true"/>
          <w:lang w:bidi="ar-SA"/>
        </w:rPr>
        <w:t>.</w:t>
      </w:r>
      <w:bookmarkStart w:id="415" w:name="pg11801_108257"/>
    </w:p>
    <w:p>
      <w:pPr>
        <w:pStyle w:val="Heading6"/>
        <w:numPr>
          <w:ilvl w:val="5"/>
          <w:numId w:val="1"/>
        </w:numPr>
        <w:rPr/>
      </w:pPr>
      <w:bookmarkStart w:id="416" w:name="__RefHeading___Toc10507022_73709187"/>
      <w:bookmarkStart w:id="417" w:name="_Toc159"/>
      <w:bookmarkEnd w:id="415"/>
      <w:bookmarkEnd w:id="416"/>
      <w:r>
        <w:rPr>
          <w:rtl w:val="true"/>
        </w:rPr>
        <w:t>لو شكّ المُصلّي جالساً أحد الشكوك الصحيحة</w:t>
      </w:r>
      <w:bookmarkEnd w:id="417"/>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أحد الشكوك الصحيحة للمضطرّ الذي يُصلّي جالساً من جهة العجز عن القيام، فالظاهر أنّ حكمه حكم من يُصلّي قائماً، إذ أدلّة العلاج جملةٌ منها وإنْ اختصّت بالمختار، لتضمّنها للأمر بالقيام، وإتمام الصَّلاة، أو التخيّير في العلاج بين الجلوس والقيام، إلّاأنّ أدلّة بدليّة الجلوس عن القيام تدلّ على أنّ الصَّلاة جالساً في حقّ العاجز، بمنزلة الصَّلاة قائماً في حقّ المختار بما لها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شكّه موجباً للتخيّير بين الرّكعة قائماً، أو ركعتين جالساً في صلاة المختار، فهل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يتعيّن على المضطرّ الرَّكعتان جالساً من جهة عدم شمول أدلّة بدليّة الجلوس للمقام، واختصاصها بصورة تعيّن القيام من جهة أنّ أحد فردي التخيّير ممتنعٌ في حقّه، فيتعيّن عليه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يتعيّن عليه الرّكعة جالساً، لإطلاق أدلّة بدليّة الجلوس، وعدم إطلاق أدلّة التخيّير بين الرّكعة والرّكعتين، فإنّها مختصّة بمن تكون الرَّكعتان جالساً ركعةً له، ولا تشمل من يعدّ الرَّكعتان له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يتخيّر بينهما، لإطلاق أدلّة البدليّة وأدلّة التخيّير؟ وجوهٌ وأقوال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الأوّل لإنصراف أدلّة بدليّة الجلوس عن القيام المجعول على التخيّير، لأنّ الجلوس بدلٌ اضطراري، ومع إمكان الإتيان بالبدل الاختياري، لا وجه للانتقال إلى البدل الاضطراري</w:t>
      </w:r>
      <w:r>
        <w:rPr>
          <w:rFonts w:eastAsia="Amiri" w:cs="Amiri" w:ascii="Amiri" w:hAnsi="Amiri"/>
          <w:color w:val="111111"/>
          <w:sz w:val="28"/>
          <w:szCs w:val="28"/>
          <w:rtl w:val="true"/>
          <w:lang w:bidi="ar-SA"/>
        </w:rPr>
        <w:t xml:space="preserve">. </w:t>
      </w:r>
      <w:bookmarkStart w:id="418" w:name="pg11801_108258"/>
    </w:p>
    <w:p>
      <w:pPr>
        <w:pStyle w:val="BookText"/>
        <w:rPr/>
      </w:pPr>
      <w:bookmarkEnd w:id="418"/>
      <w:r>
        <w:rPr>
          <w:rFonts w:ascii="Amiri" w:hAnsi="Amiri" w:eastAsia="Amiri" w:cs="Amiri"/>
          <w:color w:val="111111"/>
          <w:sz w:val="28"/>
          <w:sz w:val="28"/>
          <w:szCs w:val="28"/>
          <w:rtl w:val="true"/>
          <w:lang w:bidi="ar-SA"/>
        </w:rPr>
        <w:t>نعم، لو صَلّى جالساً ثمّ تمكّن من القيام في صلاة الاحتياط، لزمه العمل كما يعمل في الصَّلاة قائماً، لعدم شمول أدلّة بدليّة الجلوس له قطعاً</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0507024_73709187"/>
      <w:bookmarkStart w:id="420" w:name="_Toc160"/>
      <w:bookmarkEnd w:id="419"/>
      <w:r>
        <w:rPr>
          <w:rtl w:val="true"/>
        </w:rPr>
        <w:t>لا يجوز في الشكوك الصحيحة قطع الصَّلاة</w:t>
      </w:r>
      <w:bookmarkEnd w:id="420"/>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الشكوك الصحيحة قطع الصَّلاة ثمّ استئنافها، لحرمة قطع الصَّلاة المحكومة بالصحّة، لكن لو صدرَ منه المنافي في أثنائها، فقطعها ثمّ استأنف تكون 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استأنف قبل الإتيان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عدم جواز تبديل الامتثال، كما هو الأقوى‌، لا تصحّ الصلاتان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فللإتيان بالمنافي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وجود أمر بإجزاء المأتي بها ليدل على وقوعها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ما لو استأنف بعد الإتيان بالصّلاة، قبل الإتيان بالمنافي، وقبل أن يأتي بصلاة الاحتياط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صدرَ منه المنافي أيضاً، فالصحّة في الثانية تبتني على أن يكون الإتيان بالمنافي بين الصَّلاة الأصليّة وصلاة الاحتياط موجباً لبطلانها</w:t>
      </w:r>
      <w:r>
        <w:rPr>
          <w:rFonts w:eastAsia="Amiri" w:cs="Amiri" w:ascii="Amiri" w:hAnsi="Amiri"/>
          <w:color w:val="111111"/>
          <w:sz w:val="28"/>
          <w:szCs w:val="28"/>
          <w:rtl w:val="true"/>
          <w:lang w:bidi="ar-SA"/>
        </w:rPr>
        <w:t>.</w:t>
      </w:r>
      <w:bookmarkStart w:id="421" w:name="pg11801_108259"/>
    </w:p>
    <w:p>
      <w:pPr>
        <w:pStyle w:val="BookText"/>
        <w:rPr/>
      </w:pPr>
      <w:bookmarkEnd w:id="421"/>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على مَنْ كَثُر سهوه وتواتر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شكّ كثير الشكّ‌</w:t>
      </w:r>
    </w:p>
    <w:p>
      <w:pPr>
        <w:pStyle w:val="Heading5"/>
        <w:numPr>
          <w:ilvl w:val="4"/>
          <w:numId w:val="1"/>
        </w:numPr>
        <w:rPr/>
      </w:pPr>
      <w:bookmarkStart w:id="422" w:name="__RefHeading___Toc10507026_73709187"/>
      <w:bookmarkStart w:id="423" w:name="_Toc161"/>
      <w:bookmarkEnd w:id="422"/>
      <w:r>
        <w:rPr>
          <w:rtl w:val="true"/>
        </w:rPr>
        <w:t>الفصل السادس</w:t>
      </w:r>
      <w:r>
        <w:rPr>
          <w:rtl w:val="true"/>
        </w:rPr>
        <w:t xml:space="preserve">: </w:t>
      </w:r>
      <w:r>
        <w:rPr>
          <w:rtl w:val="true"/>
        </w:rPr>
        <w:t>في الشكوك التي لا اعتبار بها،</w:t>
      </w:r>
      <w:bookmarkEnd w:id="423"/>
    </w:p>
    <w:p>
      <w:pPr>
        <w:pStyle w:val="Heading6"/>
        <w:numPr>
          <w:ilvl w:val="5"/>
          <w:numId w:val="1"/>
        </w:numPr>
        <w:rPr/>
      </w:pPr>
      <w:bookmarkStart w:id="424" w:name="__RefHeading___Toc10507028_73709187"/>
      <w:bookmarkStart w:id="425" w:name="_Toc162"/>
      <w:bookmarkEnd w:id="424"/>
      <w:r>
        <w:rPr>
          <w:rtl w:val="true"/>
        </w:rPr>
        <w:t xml:space="preserve">وفيه </w:t>
      </w:r>
      <w:r>
        <w:rPr>
          <w:rtl w:val="true"/>
        </w:rPr>
        <w:t>(</w:t>
      </w:r>
      <w:r>
        <w:rPr>
          <w:rtl w:val="true"/>
        </w:rPr>
        <w:t>مسائل</w:t>
      </w:r>
      <w:r>
        <w:rPr>
          <w:rtl w:val="true"/>
        </w:rPr>
        <w:t>):</w:t>
      </w:r>
      <w:bookmarkEnd w:id="425"/>
    </w:p>
    <w:p>
      <w:pPr>
        <w:pStyle w:val="Heading6"/>
        <w:numPr>
          <w:ilvl w:val="5"/>
          <w:numId w:val="1"/>
        </w:numPr>
        <w:rPr/>
      </w:pPr>
      <w:bookmarkStart w:id="426" w:name="__RefHeading___Toc10507030_73709187"/>
      <w:bookmarkStart w:id="427" w:name="_Toc163"/>
      <w:bookmarkEnd w:id="426"/>
      <w:r>
        <w:rPr>
          <w:rtl w:val="true"/>
        </w:rPr>
        <w:t>لا اعتبار بالشكّ في الشيء بعد التجاوز عنه</w:t>
      </w:r>
      <w:bookmarkEnd w:id="427"/>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بالشكّ في الشيء بعد التجاوز عنه، وبعد الفراع عن العمل، وقد تقدّم الكلام فيه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10507032_73709187"/>
      <w:bookmarkStart w:id="429" w:name="_Toc164"/>
      <w:bookmarkEnd w:id="428"/>
      <w:r>
        <w:rPr>
          <w:rtl w:val="true"/>
        </w:rPr>
        <w:t>لا يعتنى بالشكّ في الصَّلاة بعد الوقت</w:t>
      </w:r>
      <w:bookmarkEnd w:id="42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يعتنى بالشكّ في الصَّلاة بعد الوقت، وقد مرّ</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0507034_73709187"/>
      <w:bookmarkStart w:id="431" w:name="_Toc165"/>
      <w:bookmarkEnd w:id="430"/>
      <w:r>
        <w:rPr>
          <w:rtl w:val="true"/>
        </w:rPr>
        <w:t>لا شكّ لكثير الشكّ‌</w:t>
      </w:r>
      <w:bookmarkEnd w:id="431"/>
    </w:p>
    <w:p>
      <w:pPr>
        <w:pStyle w:val="Heading6"/>
        <w:numPr>
          <w:ilvl w:val="5"/>
          <w:numId w:val="1"/>
        </w:numPr>
        <w:rPr/>
      </w:pPr>
      <w:bookmarkStart w:id="432" w:name="__RefHeading___Toc10507036_73709187"/>
      <w:bookmarkStart w:id="433" w:name="_Toc166"/>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لكثير الشكّ‌، وهو المعبّر عنه في جملةٍ من كلمات الفقهاء</w:t>
      </w:r>
      <w:r>
        <w:rPr>
          <w:rStyle w:val="FootnoteAnchor"/>
          <w:rtl w:val="true"/>
        </w:rPr>
        <w:footnoteReference w:id="755"/>
      </w:r>
      <w:r>
        <w:rPr>
          <w:rFonts w:ascii="Amiri" w:hAnsi="Amiri" w:eastAsia="Amiri" w:cs="Amiri"/>
          <w:color w:val="111111"/>
          <w:sz w:val="28"/>
          <w:sz w:val="28"/>
          <w:szCs w:val="28"/>
          <w:rtl w:val="true"/>
          <w:lang w:bidi="ar-SA"/>
        </w:rPr>
        <w:t>رحمهم الله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على مَنْ كَثُر سهوه وتواتر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كلام في أصل الحكم في الجملة</w:t>
      </w:r>
      <w:r>
        <w:rPr>
          <w:rStyle w:val="FootnoteAnchor"/>
          <w:rtl w:val="true"/>
        </w:rPr>
        <w:footnoteReference w:id="756"/>
      </w:r>
      <w:r>
        <w:rPr>
          <w:rFonts w:ascii="Amiri" w:hAnsi="Amiri" w:eastAsia="Amiri" w:cs="Amiri"/>
          <w:color w:val="111111"/>
          <w:sz w:val="28"/>
          <w:sz w:val="28"/>
          <w:szCs w:val="28"/>
          <w:rtl w:val="true"/>
          <w:lang w:bidi="ar-SA"/>
        </w:rPr>
        <w:t>، 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 فإنّه يوشكّ أن يدعك، إنّما هو من الشيطان</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مرسلا ابن سنان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وأبي بصير أو صحيحهما، قالا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كثيراً في صلاته، حتّى لا يدري كم صَلّى‌، ولا ما بقي </w:t>
      </w:r>
      <w:bookmarkStart w:id="434" w:name="pg11801_108260"/>
    </w:p>
    <w:p>
      <w:pPr>
        <w:pStyle w:val="BookText"/>
        <w:rPr/>
      </w:pPr>
      <w:bookmarkEnd w:id="434"/>
      <w:r>
        <w:rPr>
          <w:rFonts w:ascii="Amiri" w:hAnsi="Amiri" w:eastAsia="Amiri" w:cs="Amiri"/>
          <w:color w:val="111111"/>
          <w:sz w:val="28"/>
          <w:sz w:val="28"/>
          <w:szCs w:val="28"/>
          <w:rtl w:val="true"/>
          <w:lang w:bidi="ar-SA"/>
        </w:rPr>
        <w:t>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عليه ذلك، كلّما عاد شكّ؟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بنقض الصَّلاة فتطمعوه، فإنّ الشيطان خبيثٌ معتادٌ لما عُوّد به، فليمضِ أحدكم في الوهم، ولا يكثرن نقض الصَّلاة، فإنّه إذا فعل ذلك مرّات لم يعد إليه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يكثُر عليه الوهم في الصَّلاة، فيشك في الرّكوع، فلا يدري أركع أم لا، ويشكّ في السّجود فلا يدري أسجد أم لا؟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ولا يركع، يمضي في صلاته حتّى يستيقن يقيناً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هذه المسألة وما يستفاد من هذه الأخبار يقع في اُمور</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10507038_73709187"/>
      <w:bookmarkStart w:id="436" w:name="_Toc167"/>
      <w:bookmarkEnd w:id="435"/>
      <w:r>
        <w:rPr>
          <w:rtl w:val="true"/>
        </w:rPr>
        <w:t xml:space="preserve">المراد من </w:t>
      </w:r>
      <w:r>
        <w:rPr>
          <w:rtl w:val="true"/>
        </w:rPr>
        <w:t>(</w:t>
      </w:r>
      <w:r>
        <w:rPr>
          <w:rtl w:val="true"/>
        </w:rPr>
        <w:t>المُضيّ‌</w:t>
      </w:r>
      <w:r>
        <w:rPr>
          <w:rtl w:val="true"/>
        </w:rPr>
        <w:t xml:space="preserve">) </w:t>
      </w:r>
      <w:r>
        <w:rPr>
          <w:rtl w:val="true"/>
        </w:rPr>
        <w:t>في الصَّلاة</w:t>
      </w:r>
      <w:bookmarkEnd w:id="436"/>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هو البناء على وقوع المشكوك فيه، وعدم ترتيب آثار الشكّ‌، سواءٌ أكان أثره البطلان كالشكّ في الأوليّين، أو الاحتياط أو سجدتي السَّهو كالشكّ في الأخيرتين، والشكّ بين الأربع والخمس، أو لزوم الإتيان بالمشكوك فيه، كالشكّ في فعلٍ قبل التجاوز عنه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على الصحّة، ووقوع المشكوك فيه، مع عدم الإتيان بموجب الشكّ من الاحتياط وغيره، وذلك لظهور الأمر بالمُضيّ في الصَّلاة، وعدم الاعتناء بالشكّ في ذلك، مضافاً إلى دلالة الموثّق عليه، </w:t>
      </w:r>
    </w:p>
    <w:p>
      <w:pPr>
        <w:pStyle w:val="BookText"/>
        <w:rPr/>
      </w:pPr>
      <w:r>
        <w:rPr>
          <w:rFonts w:ascii="Amiri" w:hAnsi="Amiri" w:eastAsia="Amiri" w:cs="Amiri"/>
          <w:color w:val="111111"/>
          <w:sz w:val="28"/>
          <w:sz w:val="28"/>
          <w:szCs w:val="28"/>
          <w:rtl w:val="true"/>
          <w:lang w:bidi="ar-SA"/>
        </w:rPr>
        <w:t>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صراحته في أنّه لا يركع ولا يسجد، وهو وإنْ اختصّ بالشكّ في الأفعال، إلّاأنّه لا ريب في أنّ ذكرها من باب المثال، ولا خصوصيّة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بعد حكمه بعدم الرّكوع والسّجود،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ذلك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ظهر اندفاع ما قيل من إنّ هذه النصوص مجملة، وغاية ما يستفاد منها إنْ شكّ كثير الشكّ لا يبطل الصَّلاة، ولا تكون متعرّضة لما هو التكليف بالنسبة إلى المشكوك فيه من أنّه يبني على وقوعه، أو أنّه يجب صلاة الاحتياط أو سجدتا السَّهو بعد 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من خلال التقريب المتقدّم أنّه لو كان طرفى الشكّ التمام والزيادة، وجب البناء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تقريب دلالة النصوص على ذلك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إنّ الشكّ مركّبٌ من احتمالين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كلٌّ منهما اقتضائيّاً، كما لو علم إجمالاً أنّه أمّا زاد أم نقص، فهو خارجٌ عن مورد النصوص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أحدهما اقتضائيّاً دون الآخر، كان معنى عدم الاعتناء بالشكّ‌، والمُضيّ في الصَّلاة، عدم ترتيب أثر الاحتمال الذي له اقتضاء، فلو شكّ بين الثَّلاث والأربع يبني على الأربع، لأنّ الاحتمال الاقتضائي هو احتمال الثَّلاث، ولو شكّ بين الإثنتين والثَّلاث في الثنائيّة، يبني على الإثنتين، لأنّ الاحتمال الاقتضائي هو احتمال الثَّلاث</w:t>
      </w:r>
      <w:r>
        <w:rPr>
          <w:rFonts w:eastAsia="Amiri" w:cs="Amiri" w:ascii="Amiri" w:hAnsi="Amiri"/>
          <w:color w:val="111111"/>
          <w:sz w:val="28"/>
          <w:szCs w:val="28"/>
          <w:rtl w:val="true"/>
          <w:lang w:bidi="ar-SA"/>
        </w:rPr>
        <w:t xml:space="preserve">. </w:t>
      </w:r>
      <w:bookmarkStart w:id="437" w:name="pg11801_108262"/>
    </w:p>
    <w:p>
      <w:pPr>
        <w:pStyle w:val="Heading6"/>
        <w:numPr>
          <w:ilvl w:val="5"/>
          <w:numId w:val="1"/>
        </w:numPr>
        <w:rPr/>
      </w:pPr>
      <w:bookmarkStart w:id="438" w:name="__RefHeading___Toc10507040_73709187"/>
      <w:bookmarkStart w:id="439" w:name="_Toc168"/>
      <w:bookmarkEnd w:id="437"/>
      <w:bookmarkEnd w:id="438"/>
      <w:r>
        <w:rPr>
          <w:rtl w:val="true"/>
        </w:rPr>
        <w:t>المُضيّ في الصَّلاة حكمٌ تعيّيني إلزامي</w:t>
      </w:r>
      <w:bookmarkEnd w:id="43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النصوص والفتاوى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المُضيّ في الصَّلاة، وعدم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تعيّيني إلزامي، فلو شكّ بين الثَّلاث والأربع، وجب البناء على الأربع، كما لو شكّ في الرّكوع وجب البناء على وقوعه، فلو أتى به والحال هذه بطلت الصَّلاة لزيادة الرّكن، ولو كان الشكّ في الأوليّين، لا يجوز له رفع اليد عمّا بيده واستئناف الصَّلاة، والوجه فيه موثّق عمّار بالتقريبين المتقدّمين، حيث ورد فيه الأمر بالمُضيّ وعدم الاعتناء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قدس سره</w:t>
      </w:r>
      <w:r>
        <w:rPr>
          <w:rStyle w:val="FootnoteAnchor"/>
          <w:rtl w:val="true"/>
        </w:rPr>
        <w:footnoteReference w:id="761"/>
      </w:r>
      <w:r>
        <w:rPr>
          <w:rFonts w:ascii="Amiri" w:hAnsi="Amiri" w:eastAsia="Amiri" w:cs="Amiri"/>
          <w:color w:val="111111"/>
          <w:sz w:val="28"/>
          <w:sz w:val="28"/>
          <w:szCs w:val="28"/>
          <w:rtl w:val="true"/>
          <w:lang w:bidi="ar-SA"/>
        </w:rPr>
        <w:t>، والمحقّق الأردبيلي رحمه الله</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ذلك وبين الأخذ بمقتضى الشكّ من الاستئناف أو صلاة الاحتياط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مقتضى الجمع بين صدر حَسَن أبي بصير وزرارة المتضمّن للأمر بالإعادة، بعد السؤال عمّن كَثُر شكّه، وبين ذيله المتضمّن للأمر بالمُضيّ وعدم الاعتناء بالشكّ‌، فإنّ كلّاً منهما وإنْ كان ظاهراً في نفسه في تعيّن ما تضمّنه، إلّاأنّ الجمع بينهما إنّما يكون بالبناء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الكثرة المفروضة في الصدر ليست كثرة أفراد الشكّ‌، بل كثرة أطرافه، كما يشهد 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يَدري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الكثرة المفروضة في الذيل، فهي كثرة الأفراد الّتي هي محلّ الكلام في المقام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السَّهوية</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 البناء على الأقلّ‌، </w:t>
      </w:r>
      <w:bookmarkStart w:id="440" w:name="pg11801_108263"/>
    </w:p>
    <w:p>
      <w:pPr>
        <w:pStyle w:val="BookText"/>
        <w:rPr/>
      </w:pPr>
      <w:bookmarkEnd w:id="440"/>
      <w:r>
        <w:rPr>
          <w:rFonts w:ascii="Amiri" w:hAnsi="Amiri" w:eastAsia="Amiri" w:cs="Amiri"/>
          <w:color w:val="111111"/>
          <w:sz w:val="28"/>
          <w:sz w:val="28"/>
          <w:szCs w:val="28"/>
          <w:rtl w:val="true"/>
          <w:lang w:bidi="ar-SA"/>
        </w:rPr>
        <w:t>وبين البناء على وقوع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يستفاد من النصوص، عدم ترتيب آثار الشكّ عليه، وأنّه لابدّ وأن يمضي في صلاته، وهذا كما يلائم مع البناء على وقوع المشكوك فيه، كذلك يلائم مع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الأمر الأوّل من ظهور الأدلّة في الأوّل، فراجع</w:t>
      </w:r>
      <w:r>
        <w:rPr>
          <w:rFonts w:eastAsia="Amiri" w:cs="Amiri" w:ascii="Amiri" w:hAnsi="Amiri"/>
          <w:color w:val="111111"/>
          <w:sz w:val="28"/>
          <w:szCs w:val="28"/>
          <w:rtl w:val="true"/>
          <w:lang w:bidi="ar-SA"/>
        </w:rPr>
        <w:t>.</w:t>
      </w:r>
      <w:r>
        <w:rPr>
          <w:rStyle w:val="FootnoteAnchor"/>
          <w:rtl w:val="true"/>
        </w:rPr>
        <w:footnoteReference w:id="764"/>
      </w:r>
    </w:p>
    <w:p>
      <w:pPr>
        <w:pStyle w:val="Heading6"/>
        <w:numPr>
          <w:ilvl w:val="5"/>
          <w:numId w:val="1"/>
        </w:numPr>
        <w:rPr/>
      </w:pPr>
      <w:bookmarkStart w:id="441" w:name="__RefHeading___Toc10507042_73709187"/>
      <w:bookmarkStart w:id="442" w:name="_Toc169"/>
      <w:bookmarkEnd w:id="441"/>
      <w:r>
        <w:rPr>
          <w:rtl w:val="true"/>
        </w:rPr>
        <w:t>حكم كثير السَّهو والنسيان</w:t>
      </w:r>
      <w:bookmarkEnd w:id="442"/>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بين الأعلام بعد اتّفاقهم على عدم اعتناء كثير الشكّ بشكّه، أنّه هل يكون كثير السَّهو والنسيان أيضاً كذلك، فلا يعتني بنسيانه أم لا؟</w:t>
      </w:r>
    </w:p>
    <w:p>
      <w:pPr>
        <w:pStyle w:val="BookText"/>
        <w:rPr/>
      </w:pPr>
      <w:r>
        <w:rPr>
          <w:rFonts w:ascii="Amiri" w:hAnsi="Amiri" w:eastAsia="Amiri" w:cs="Amiri"/>
          <w:color w:val="111111"/>
          <w:sz w:val="28"/>
          <w:sz w:val="28"/>
          <w:szCs w:val="28"/>
          <w:rtl w:val="true"/>
          <w:lang w:bidi="ar-SA"/>
        </w:rPr>
        <w:t>المنسوب إلى الأكثر هو الثاني</w:t>
      </w:r>
      <w:r>
        <w:rPr>
          <w:rStyle w:val="FootnoteAnchor"/>
          <w:rtl w:val="true"/>
        </w:rPr>
        <w:footnoteReference w:id="765"/>
      </w:r>
      <w:r>
        <w:rPr>
          <w:rFonts w:ascii="Amiri" w:hAnsi="Amiri" w:eastAsia="Amiri" w:cs="Amiri"/>
          <w:color w:val="111111"/>
          <w:sz w:val="28"/>
          <w:sz w:val="28"/>
          <w:szCs w:val="28"/>
          <w:rtl w:val="true"/>
          <w:lang w:bidi="ar-SA"/>
        </w:rPr>
        <w:t>، وعن الشهيد الثاني الأوّل</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المذكورة فيها السَّهو، إذ هو إمّا بمعنى النسيان أو بمعنى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من السّهو في النصوص معناه الحقيقي وهو النسيان قطعاً، لأنّ كثير الشكّ لا يعتني بشكّه بلا كلام، فيدور الأمر بين حمله على خصوص الشكّ‌، أو الأعمّ منه ومن السَّهو، وبالرغم من أنّ اللّفظ لا يكون ظاهراً في أحد المجازين، إلّا أنّ الشكّ متيقّنٌ على كلّ حال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الباب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تضمّن ذكر السَّهو، ومنها ما تضمّن ذكر الشكّ‌، فلا موجب لرفع اليد عن ظهور القسم الأوّل</w:t>
      </w:r>
      <w:r>
        <w:rPr>
          <w:rFonts w:eastAsia="Amiri" w:cs="Amiri" w:ascii="Amiri" w:hAnsi="Amiri"/>
          <w:color w:val="111111"/>
          <w:sz w:val="28"/>
          <w:szCs w:val="28"/>
          <w:rtl w:val="true"/>
          <w:lang w:bidi="ar-SA"/>
        </w:rPr>
        <w:t xml:space="preserve">. </w:t>
      </w:r>
      <w:bookmarkStart w:id="443" w:name="pg11801_108264"/>
    </w:p>
    <w:p>
      <w:pPr>
        <w:pStyle w:val="BookText"/>
        <w:rPr/>
      </w:pPr>
      <w:bookmarkEnd w:id="44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بالشمول مستلزمٌ لتأسيس فقه جديد، إذ لا يمكن الالتزام بجواز اكتفاء كثير السَّهو في الرّكعة مثلاً بالصّلاة الناقصة مع قطعه بنقصان صلاته، وهذا بخلاف كثير الشكّ فإنّه لا مانع من اكتفاء الشارع بالإطاعة 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الصَّلاة في مثل الفرض ليس أثر السَّهو، كي يُقال إنّ أخبار الباب تدلّ على عدم ترتّبه، بل هو من جهة عدم مطابقة المأتي به للمأمور به، وبقاء الأمر بالصّلاة، فأثر النسيان إنّما هو مجرّد إتيان سجدة السَّهو ونحوها، والالتزام بعدم وجوبها لا يستلزم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يستدلّ له بوجوه، فإنْ لم يتمّ دلالة كلّ واحدٍ منها مستقلّاً، لا ريب في دلالتها بأجمعها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الخَلل استعمل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بحيث لم يبق له ظهور في معناه الحقيقي وهو النسيان، وعليه فلا حاكم للأدلّة الدالّة على وجوب التدارك أو سجدة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عند كثرة السَّهو في صحيح ابن مسلم،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ما ينشأ من وسوسة الشيطان، ويزول بعدم الاعتناء به، ويزداد بالاعتناء إنّما هو الشكّ دون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التعبير بالمُضيّ يلائم مع الشكّ الموجب للوقوف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النص بيان حكم تلك الحالة، فإنّه متضمّن للمُضيّ لا لعدم الإعادة، ومن الواضح أنّ الناسي لا يصحّ تكليفه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إلحاق كثير النسيان بكثير الشكّ في هذا الحكم</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0507044_73709187"/>
      <w:bookmarkStart w:id="445" w:name="_Toc170"/>
      <w:bookmarkEnd w:id="444"/>
      <w:r>
        <w:rPr>
          <w:rtl w:val="true"/>
        </w:rPr>
        <w:t>في الشكوك التي لا حكم لها بأنفسها</w:t>
      </w:r>
      <w:bookmarkEnd w:id="44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الشكوك التي لا حكم لها بأنفسها، كالشكّ بين الأربع والخمس </w:t>
      </w:r>
      <w:bookmarkStart w:id="446" w:name="pg11801_108265"/>
    </w:p>
    <w:p>
      <w:pPr>
        <w:pStyle w:val="BookText"/>
        <w:rPr/>
      </w:pPr>
      <w:bookmarkEnd w:id="446"/>
      <w:r>
        <w:rPr>
          <w:rFonts w:ascii="Amiri" w:hAnsi="Amiri" w:eastAsia="Amiri" w:cs="Amiri"/>
          <w:color w:val="111111"/>
          <w:sz w:val="28"/>
          <w:sz w:val="28"/>
          <w:szCs w:val="28"/>
          <w:rtl w:val="true"/>
          <w:lang w:bidi="ar-SA"/>
        </w:rPr>
        <w:t xml:space="preserve">في حال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فيه هدم القيام لأجل الشكّ في أنّ الرّكعة السابقة عمّا بيده هل هي رابعة أم ثالثة، وحكمه وجوب البناء على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عليه البناء على أحد طرفي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الأربع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وإتمام الصَّلاة، بلا إتيان شيء بعد الصَّلاة‌؟</w:t>
      </w:r>
    </w:p>
    <w:p>
      <w:pPr>
        <w:pStyle w:val="BookText"/>
        <w:rPr/>
      </w:pPr>
      <w:r>
        <w:rPr>
          <w:rFonts w:ascii="Amiri" w:hAnsi="Amiri" w:eastAsia="Amiri" w:cs="Amiri"/>
          <w:color w:val="111111"/>
          <w:sz w:val="28"/>
          <w:sz w:val="28"/>
          <w:szCs w:val="28"/>
          <w:rtl w:val="true"/>
          <w:lang w:bidi="ar-SA"/>
        </w:rPr>
        <w:t>أم يجب هدم القيام والبناء على أحد طرفي الشكّ؟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المنسوب إلى الشيخ الأعظم رحمه الله</w:t>
      </w:r>
      <w:r>
        <w:rPr>
          <w:rStyle w:val="FootnoteAnchor"/>
          <w:rtl w:val="true"/>
        </w:rPr>
        <w:footnoteReference w:id="767"/>
      </w:r>
      <w:r>
        <w:rPr>
          <w:rFonts w:ascii="Amiri" w:hAnsi="Amiri" w:eastAsia="Amiri" w:cs="Amiri"/>
          <w:color w:val="111111"/>
          <w:sz w:val="28"/>
          <w:sz w:val="28"/>
          <w:szCs w:val="28"/>
          <w:rtl w:val="true"/>
          <w:lang w:bidi="ar-SA"/>
        </w:rPr>
        <w:t>الثاني، وذكر في وجهه أنّ دليل شكِّ كثير الشكّ حاكمٌ على أدلّة الشكوك، وإذا لم يكن الحاكم في مورد ورود المحكوم لزم لغويّته، وحيث أنّ الشكّ بين الأربع والخمس لا حكم له بنفسه، والحكم إنّما هو للركعة السابقة على ما بيده، فلا مناص عن هدم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هذا الشكّ إنّما تدلّ على تعيّن البناء على الانصراف مطلقاً، وعدم الاعتناء بالشكّ‌، سواءٌ أكان له حكمٌ بالخصوص أم كان مندرجاً تحت الأدلّة العامّة، ومقتضى ذلك أن يمضي الشاكّ في صلاته دون أن يعمل شيئاً ممّا يقتضيه الشكّ‌، فإذا جلس كان ذلك اعتناءً من جهته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الباب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لسانه نفي الشكّ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الثانية ما ذكرناه، وما التزم به رحمه الله مطابق للطائفة الاُولى</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0507046_73709187"/>
      <w:bookmarkStart w:id="448" w:name="_Toc171"/>
      <w:bookmarkEnd w:id="447"/>
      <w:r>
        <w:rPr>
          <w:rtl w:val="true"/>
        </w:rPr>
        <w:t>حكم كثير الشك في فعل آخر لم يكثر شكّه فيه</w:t>
      </w:r>
      <w:bookmarkEnd w:id="44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كثير الشكّ في فعلٍ أو عدّة أفعال، فهل يُعامل </w:t>
      </w:r>
      <w:bookmarkStart w:id="449" w:name="pg11801_108266"/>
    </w:p>
    <w:p>
      <w:pPr>
        <w:pStyle w:val="BookText"/>
        <w:rPr/>
      </w:pPr>
      <w:bookmarkEnd w:id="449"/>
      <w:r>
        <w:rPr>
          <w:rFonts w:ascii="Amiri" w:hAnsi="Amiri" w:eastAsia="Amiri" w:cs="Amiri"/>
          <w:color w:val="111111"/>
          <w:sz w:val="28"/>
          <w:sz w:val="28"/>
          <w:szCs w:val="28"/>
          <w:rtl w:val="true"/>
          <w:lang w:bidi="ar-SA"/>
        </w:rPr>
        <w:t xml:space="preserve">معه معاملة كثير الشكّ ولو في فعل آخر لم يكثر شكّه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يختصّ الحكم بما كَثُر الشكّ فيه‌؟</w:t>
      </w:r>
    </w:p>
    <w:p>
      <w:pPr>
        <w:pStyle w:val="BookText"/>
        <w:rPr/>
      </w:pPr>
      <w:r>
        <w:rPr>
          <w:rFonts w:ascii="Amiri" w:hAnsi="Amiri" w:eastAsia="Amiri" w:cs="Amiri"/>
          <w:color w:val="111111"/>
          <w:sz w:val="28"/>
          <w:sz w:val="28"/>
          <w:szCs w:val="28"/>
          <w:rtl w:val="true"/>
          <w:lang w:bidi="ar-SA"/>
        </w:rPr>
        <w:t>أم يجب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كان المصلّي كثير الشكّ في أفعالٍ من الصَّلاة التي لا يكون لها جامعٌ سوى أصل الصلاة لما فيه من الكثرة بحيث يُقال بأنّه كثير الشكّ في الصَّلاة، فحكمه حكم كثير الشكّ في جميع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كثير الشكّ في بعض أفعالها أو ركعاتها، فحكمه حكم كثير الشكّ في خصوص ما كَثُر شكّه فيه كما عن المحقّق النائيني</w:t>
      </w:r>
      <w:r>
        <w:rPr>
          <w:rStyle w:val="FootnoteAnchor"/>
          <w:rtl w:val="true"/>
        </w:rPr>
        <w:footnoteReference w:id="7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أظهرها الثاني؛ لأنّه المتبادر من النصوص، ولو بمناسبة الحكم والموضوع، لا سيّما بملاحظة ما فيها من العلّة</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10507048_73709187"/>
      <w:bookmarkStart w:id="451" w:name="_Toc172"/>
      <w:bookmarkEnd w:id="450"/>
      <w:r>
        <w:rPr>
          <w:rtl w:val="true"/>
        </w:rPr>
        <w:t>إذا كان كثير الشكّ كثيراً فيما لا حكم له لعارضٍ‌</w:t>
      </w:r>
      <w:bookmarkEnd w:id="451"/>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كثير الشكّ كثيراً فيما لا حكم له لعارضٍ‌، وهو وجود أمارة موجبة لإلغاء الشكّ‌، كما إذا كان الإمام كثير الشكّ في عدد ركعات الصَّلاة في صلاة الجماعة خاصّة، مع حفظ المأموم، أو كان الكثير لا حكم له في نفسه، كالشكّ في فعل الرّكوع بعد تجاوز المحلّ‌، وشكّ فيه مع عدم ذلك العارض، كما لو شكّ الإمام مع عدم حفظ المأموم، أو شكّ في الرّكوع قبل التجاوز عنه، ففي هذه الفروض، 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الاعتناء بشكّه مطلقاً؟ أم لا يجب كذلك، أم يفصّل بين الأوّل فالثاني فالأوّل‌؟ وجوه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أقواها الثاني، لأنّه لا فرق في صدق موضوع كثير الشكّ بين ثبوت الحكم </w:t>
      </w:r>
      <w:bookmarkStart w:id="452" w:name="pg11801_108267"/>
    </w:p>
    <w:p>
      <w:pPr>
        <w:pStyle w:val="BookText"/>
        <w:rPr/>
      </w:pPr>
      <w:bookmarkEnd w:id="452"/>
      <w:r>
        <w:rPr>
          <w:rFonts w:ascii="Amiri" w:hAnsi="Amiri" w:eastAsia="Amiri" w:cs="Amiri"/>
          <w:color w:val="111111"/>
          <w:sz w:val="28"/>
          <w:sz w:val="28"/>
          <w:szCs w:val="28"/>
          <w:rtl w:val="true"/>
          <w:lang w:bidi="ar-SA"/>
        </w:rPr>
        <w:t>للشكّ وعدمه، وعليه فبما أنّ العنوان المذكور صادق على الموردين فيترتّب عليه حكمه، عدم ثبوت الحكم للشكوك السابقة عليه، لا يوجب عدم ترتّب حكم كثير الشكّ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المحلّ‌، مع الشكّ بعد التجاوز عنه نوعان مغايران، فلو كان كثيرُ الشكّ في الثاني لا يسري حكمه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هو الشكّ في الرّكوع أو السّجود مثلاً، وهذا قد يكون في المحلّ‌، وقد يكون بعد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يعدّان من حالات الشكّ الواحد لا أنّهما نوعان</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10507050_73709187"/>
      <w:bookmarkStart w:id="454" w:name="_Toc173"/>
      <w:bookmarkEnd w:id="453"/>
      <w:r>
        <w:rPr>
          <w:rtl w:val="true"/>
        </w:rPr>
        <w:t>لو كان كثير الشكّ في أصل الصَّلاة أو الشرائط الخارجيّة</w:t>
      </w:r>
      <w:bookmarkEnd w:id="454"/>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شمول هذا الحكم بالنسبة إلى ركعات الصَّلاة وأجزائها، وشرائطها الداخليّة، وشرائطها الخارجيّة إذا كان ذلك في أثناء الصَّلاة، إنّما الإشكال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كثير الشكّ في أصل الصَّلاة، ولم يصل ذلك إلى حَدّ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الشرائط الخارجيّة، كالطهارة قبل الصَّلاة، فإنّ النصوص بظاهرها لا تشملها كما هو ظاهر، وعموم العلّة يوجب ثبوته، وأمّا الإجماع ونفي العُسر والحَرَج، فلا يمكن الاستدلال بهما كما لا يخفى‌</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10507052_73709187"/>
      <w:bookmarkStart w:id="456" w:name="_Toc174"/>
      <w:bookmarkEnd w:id="455"/>
      <w:r>
        <w:rPr>
          <w:rtl w:val="true"/>
        </w:rPr>
        <w:t>لا يجب على كثير الشكّ حفظ الصَّلاة عنه وضبطها</w:t>
      </w:r>
      <w:bookmarkEnd w:id="45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يجب على كثير الشكّ حفظ الصَّلاة عنه وضبطها بنصب قيّمٍ أو بضبطها من خلال الاستعانة بالحَصى أو الخاتم ونحو ذلك، كما لا يجب التخفيف، لا لما نُسب إلى المحقّق النائيني رحمه الله</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اعتناءٌ بالشكّ‌، ومقتضى النصوص عدم الاعتناء به، فإنّ الاعتناء بالشكّ يعني ترتيب أثر الشكّ‌، وأمّا المنع </w:t>
      </w:r>
      <w:bookmarkStart w:id="457" w:name="pg11801_108268"/>
    </w:p>
    <w:p>
      <w:pPr>
        <w:pStyle w:val="BookText"/>
        <w:rPr/>
      </w:pPr>
      <w:bookmarkEnd w:id="457"/>
      <w:r>
        <w:rPr>
          <w:rFonts w:ascii="Amiri" w:hAnsi="Amiri" w:eastAsia="Amiri" w:cs="Amiri"/>
          <w:color w:val="111111"/>
          <w:sz w:val="28"/>
          <w:sz w:val="28"/>
          <w:szCs w:val="28"/>
          <w:rtl w:val="true"/>
          <w:lang w:bidi="ar-SA"/>
        </w:rPr>
        <w:t xml:space="preserve">عن تحقّقه، فليس هو اعتناءً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لإطلاق الأدلّة مع عدم دليل على الوجوب، فإنّ قوله عليه السلام في خبر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اِحصِ صَلاتك بالحَصى‌،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بالحصى</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ظاهرٌ في الإرشاد إلى بيان علاج السَّهو بقرينة السؤال،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 كَثرة السَّهو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موثّق الحلبي الوارد في كثير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اِدرج صلاتك إداراجاً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محمولٌ على الاستحباب، بقرينة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الإمام الصادق عليه السلام في خبر عمران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تخفيف الصَّلاة من أجل السَّهو</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وجوابه عليه السلام في خبر حبيب بن المعلى الذي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كثير السَّهو، فما أحفظ صلاتي إلّابخاتمٍ اُحوّله من مكانٍ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8" w:name="__RefHeading___Toc10507054_73709187"/>
      <w:bookmarkStart w:id="459" w:name="_Toc175"/>
      <w:bookmarkEnd w:id="458"/>
      <w:r>
        <w:rPr>
          <w:rtl w:val="true"/>
        </w:rPr>
        <w:t>حَدّ الكثرة</w:t>
      </w:r>
      <w:bookmarkEnd w:id="459"/>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الذي تتحقّق به الكثرة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المشهور</w:t>
      </w:r>
      <w:r>
        <w:rPr>
          <w:rFonts w:eastAsia="IRNazanin" w:cs="IRNazanin"/>
          <w:color w:val="111111"/>
          <w:sz w:val="28"/>
          <w:szCs w:val="28"/>
          <w:rtl w:val="true"/>
          <w:lang w:bidi="fa-IR"/>
        </w:rPr>
        <w:t>:</w:t>
      </w:r>
      <w:r>
        <w:rPr>
          <w:rStyle w:val="FootnoteAnchor"/>
          <w:rtl w:val="true"/>
        </w:rPr>
        <w:footnoteReference w:id="775"/>
      </w:r>
      <w:r>
        <w:rPr>
          <w:rFonts w:ascii="Amiri" w:hAnsi="Amiri" w:eastAsia="Amiri" w:cs="Amiri"/>
          <w:color w:val="111111"/>
          <w:sz w:val="28"/>
          <w:sz w:val="28"/>
          <w:szCs w:val="28"/>
          <w:rtl w:val="true"/>
          <w:lang w:bidi="ar-SA"/>
        </w:rPr>
        <w:t>أنّ المرجع فيه العرف</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حمزة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أنّ حَدّه أن يسهو ثلاث مرّات متواليات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حَدُّه أن يسهو في شيءٍ واحد أو فريضةٍ واحدة ثلاث مرّات أو في أكثر الخمس، أي الشكّ فيه، فيسقط في الفريضة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غيرهم غير ذلك من الأقوال، ولا يهمّنا التعرّض لها، إنّما المهمّ البحث عمّا يستفاد من الأدلّة، والكلام في ذلك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المقام خبر واحد، وهو صحيح محمّد بن أبي عمير، عن محمّد بن أبي حمزة،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والأكثر</w:t>
      </w:r>
      <w:r>
        <w:rPr>
          <w:rStyle w:val="FootnoteAnchor"/>
          <w:rtl w:val="true"/>
        </w:rPr>
        <w:footnoteReference w:id="779"/>
      </w:r>
      <w:r>
        <w:rPr>
          <w:rFonts w:ascii="Amiri" w:hAnsi="Amiri" w:eastAsia="Amiri" w:cs="Amiri"/>
          <w:color w:val="111111"/>
          <w:sz w:val="28"/>
          <w:sz w:val="28"/>
          <w:szCs w:val="28"/>
          <w:rtl w:val="true"/>
          <w:lang w:bidi="ar-SA"/>
        </w:rPr>
        <w:t>ذهبوا إلى أنّه مجملٌ‌، ولذلك التجأوا إلى تعيين مفهومه بحسب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التكلّم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الخبر هل له مفهوم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الشرطيّة، وأنّها هل تكون مجملة أم مبيّنة‌؟</w:t>
      </w:r>
    </w:p>
    <w:p>
      <w:pPr>
        <w:pStyle w:val="BookText"/>
        <w:rPr/>
      </w:pPr>
      <w:r>
        <w:rPr>
          <w:rFonts w:ascii="Amiri" w:hAnsi="Amiri" w:eastAsia="Amiri" w:cs="Amiri"/>
          <w:color w:val="111111"/>
          <w:sz w:val="28"/>
          <w:sz w:val="28"/>
          <w:szCs w:val="28"/>
          <w:rtl w:val="true"/>
          <w:lang w:bidi="ar-SA"/>
        </w:rPr>
        <w:t>فإنْ لم يكن له مفهوم، أو كانت الشرطيّة مجملة، يتمّ ما ذهب اليه الأكثر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بعض المعاصرين </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إنّ قوله عليه السلام في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وجود فردٍ آخر له، فيتعيّن لاجله البناء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القضيّة مسوقة للمنطوق لا غير، فيكون مفادها جعل فرد لكثير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المذكور في الجملة الشرطيّة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ذُكر تامّاً، ولكن المذكور في هذا الخبر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الاستظهار،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القضيّة كسائر القضايا الواردة في مقام التحديد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فالإحتمالات وإنْ كثُرت فيها، إلّاأنّ الظاهر منها كون المُصلّي على حالةٍ لا يُمضي عليه ثلاث صلوات إلّاويشكّ في واحدةٍ منها، ولا أقصد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في أنّه يعتبر حصول السَّهو في كلّ ثلاث صلوات إلى آخر العمر، كي يورَد عليه بأنّه لا يحصل العلم بذلك إلّافي خاتمة الفترة المذكورة لا في أوّلها أو وسطها، كما لا أقصد بظهوره في اعتبار فعليّة السَّهو في كلّ ثلاث صلوات، بل المراد أنّه نتيجةً لما ورد في الخبر من الفعل المضارع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وتصديره خبره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ظاهران في إرادة أن يكون المُصلّي بحالٍ توجب تلك الحال الشكّ في كلّ ثلاث صلوات مرّة، فلو لم يشكّ في صلواتٍ ثلاث متواليات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كحفظ الرَّكعات بالحَصى والخاتم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زال عنه حكم كثير الشكّ‌، فأوّل شكٍّ يحصل له يلحقه حكم كثير الشكّ إنْ كانت تلك الحال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مفهوم هذا العنوان عند العرف ليس بأوسع ممّا يستفاد من النص الخاص، فلا وجه لإطالة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كلمات القوم في المقام، فلا نطيل بذكرها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أُحرز ذلك فلا كلام، ولو شكّ في حصول هذه الحالة له وعدمه، يبنى على عدمه للاستصحاب، كما أنّه لو شكّ في زوالها بعد الحصول، يبني على بقائها </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كان حصول هذه الحالة لا من ناحية إلقاء الشيطان، بل لضعفٍ في قوّة الحافظة، أو لطروّ عارضٍ نفسيٍّ له من هَمٍّ أو غَضَبٍ أو نحو ذلك، فالظاهر عدم لحوق حكم كثير الشكّ له، لما في النصوص من التعليلات، فإنّ الشكّ حينئذٍ لا يكون من الشيطان، ولا يكون عدم الاعتناء به موجباً لزواله</w:t>
      </w:r>
      <w:r>
        <w:rPr>
          <w:rFonts w:eastAsia="Amiri" w:cs="Amiri" w:ascii="Amiri" w:hAnsi="Amiri"/>
          <w:color w:val="111111"/>
          <w:sz w:val="28"/>
          <w:szCs w:val="28"/>
          <w:rtl w:val="true"/>
          <w:lang w:bidi="ar-SA"/>
        </w:rPr>
        <w:t>.</w:t>
      </w:r>
      <w:bookmarkStart w:id="460" w:name="pg11801_108272"/>
    </w:p>
    <w:p>
      <w:pPr>
        <w:pStyle w:val="BookText"/>
        <w:rPr/>
      </w:pPr>
      <w:bookmarkEnd w:id="460"/>
      <w:r>
        <w:rPr>
          <w:rFonts w:ascii="Amiri" w:hAnsi="Amiri" w:eastAsia="Amiri" w:cs="Amiri"/>
          <w:color w:val="111111"/>
          <w:sz w:val="28"/>
          <w:sz w:val="28"/>
          <w:szCs w:val="28"/>
          <w:rtl w:val="true"/>
          <w:lang w:bidi="ar-SA"/>
        </w:rPr>
        <w:t>ولا على الإمام أو المأموم إذا حفظ عليه الآخر</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10507056_73709187"/>
      <w:bookmarkStart w:id="462" w:name="_Toc176"/>
      <w:bookmarkEnd w:id="461"/>
      <w:r>
        <w:rPr>
          <w:rtl w:val="true"/>
        </w:rPr>
        <w:t>لا اعتبار بشكّ كلٍّ من الإمام والمأموم مع حفظ الآخر</w:t>
      </w:r>
      <w:bookmarkEnd w:id="46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أو المأموم إذا حفظ عليه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Style w:val="FootnoteAnchor"/>
          <w:rtl w:val="true"/>
        </w:rPr>
        <w:footnoteReference w:id="781"/>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أنّه ممّا قطع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خلف الإمام لا يدري كم صَلّى‌، هل عليه سهو؟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ولا على من خلف الإمام سهو</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يونس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 إذا حفظ عليه مَنْ خلفه سهوه باتّفاقٍ منهم، وليس على من خلف الإمام سَهوٌ إذا لم يَسهُ الإمام</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فأصل الحكم ممّا لا كلام فيه، إنّما الكلام يقع في اُمور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النصوص، عدم الفرق في رجوع الإمام إلى المأموم، </w:t>
      </w:r>
    </w:p>
    <w:p>
      <w:pPr>
        <w:pStyle w:val="BookText"/>
        <w:rPr/>
      </w:pPr>
      <w:r>
        <w:rPr>
          <w:rFonts w:ascii="Amiri" w:hAnsi="Amiri" w:eastAsia="Amiri" w:cs="Amiri"/>
          <w:color w:val="111111"/>
          <w:sz w:val="28"/>
          <w:sz w:val="28"/>
          <w:szCs w:val="28"/>
          <w:rtl w:val="true"/>
          <w:lang w:bidi="ar-SA"/>
        </w:rPr>
        <w:t xml:space="preserve">بين كونه رجلاً أو امرأة، متّحداً أم متعدّداً، بالغاً أو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شرعيّة عباداته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عادلاً أو فاسقاً، كما هو المشهور بين الأصحاب</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الشرط الموجب لعدم الاعتناء، إنّما هو حفظ المأموم لا إخباره بالحفظ، فلابدَّ من إحراز ذلك من فعله أو قوله، فلو كان فاسقاً واحتمل كذبه في أخباره بالحفظ، ولم يحرز ذلك، لا يصحّ الاعتماد على قوله، لما عرفت من أنّ المأخوذ في الأدلّة حفظ المأموم لا إخباره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المحقّق النائيني رحمه الله</w:t>
      </w:r>
      <w:r>
        <w:rPr>
          <w:rStyle w:val="FootnoteAnchor"/>
          <w:rtl w:val="true"/>
        </w:rPr>
        <w:footnoteReference w:id="787"/>
      </w:r>
      <w:r>
        <w:rPr>
          <w:rFonts w:ascii="Amiri" w:hAnsi="Amiri" w:eastAsia="Amiri" w:cs="Amiri"/>
          <w:color w:val="111111"/>
          <w:sz w:val="28"/>
          <w:sz w:val="28"/>
          <w:szCs w:val="28"/>
          <w:rtl w:val="true"/>
          <w:lang w:bidi="ar-SA"/>
        </w:rPr>
        <w:t>من أنّ مقتضى إطلاق الأخبار حجيّة أخباره بالحفظ مطلقاً وإنْ كان فاسقاً غير صحيح، إذ ليس في شيء من النصوص التصريح أو الإشارة بحجيّة خصوص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استدلاله له بأنّ العبرة في الرجوع ملاك الحفظ، وهو عناية وحدة صلاة الإمام والمأموم في الجماعة، فكأنّ صلاتهما معاً صلاة واحدة، فإذا كان أحدهما حافظاً تكون عناية الوحدة موجبة لتحقّق الحفظ المعتبر في صلاة غير الحافظ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ذلك وجه اعتباري استحساني لا شاهد له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فإنّما هو فيما إذا أحرز الحفظ لا ما إذا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منصرفة إلى الرّجل البالغ من جهة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بمنعهاأوّلاً، وعدم كونها منشأًللانصراف، الموجب لتقييد الإطلاقات ثانياً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المرسل اختصاص جواز الرجوع بما إذا كان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المأموم متعدّداً، فيقيّد به إطلاق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يكون من جهة وروده جواباً عن فرض التعدّد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أنّ الشاكّ منهما يرجع إلى المتيقّن، والمتيقّن منهما لا يرجع إلى الآخر، إنّما الكلام والخلاف وقع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الظانّ منهما هل يرجع إلى المتيقّن،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العليّة</w:t>
      </w:r>
      <w:r>
        <w:rPr>
          <w:rFonts w:eastAsia="Amiri" w:cs="Amiri" w:ascii="Amiri" w:hAnsi="Amiri"/>
          <w:color w:val="111111"/>
          <w:sz w:val="28"/>
          <w:szCs w:val="28"/>
          <w:rtl w:val="true"/>
          <w:lang w:bidi="ar-SA"/>
        </w:rPr>
        <w:t>»</w:t>
      </w:r>
      <w:r>
        <w:rPr>
          <w:rStyle w:val="FootnoteAnchor"/>
          <w:rtl w:val="true"/>
        </w:rPr>
        <w:footnoteReference w:id="7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وغيرها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لا يرجع اليه كما عن جماعةٍ‌</w:t>
      </w:r>
      <w:r>
        <w:rPr>
          <w:rStyle w:val="FootnoteAnchor"/>
          <w:rtl w:val="true"/>
        </w:rPr>
        <w:footnoteReference w:id="7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الثاني، إذ الدليل إنّما يدلّ على أنّ الشاكّ يرجع إلى الحافظ، والظانّ بواسطة دليل حجيّة الظنّ في هذا المقام ليس بشاكٍ‌، بل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النسبة بين أدلّة حجيّة الظنّ‌، وأدلّة الرجوع إلى الحافظ عمومٌ من وجه، والجمع العرفي يقتضي تقديم الثانية لظهورها في أنّ المورد لها خصوصيّة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حجيّة الظنّ تكون حاكمة عليها، وتدلّ على أنّ الظانّ ليس بساهٍ ولا شاكٍ بل حافظٌ، ومعها كيف تقدّم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انصراف الحفظ إلى الحفظ القطعي، وأنّ الظانّ لا يكون حفظه كذلك، فيجبُ عليه الرجوع إلى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فرديّة الظنّ للحفظ إنّما تكون بجعلٍ من الشارع، وتعبّدٍ منه، وجعله إيّاه من أفراد الحفظ، ومعه لا يمكن دعوى انصراف الحفظ عنه المتوقّف على عدم صدق الموضوع على الفرد الخفيّ منه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هذا الوجه عدم قيام الأمارات مقام القطع المأخوذ في الموضوع على وجه الطريقة لعين هذا الوجه، وقد أشبعنا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انصراف الحفظ إلى الحفظ القطعي لا يفيد، فإنّ من يجبُ عليه الرجوع ليس هو غير الحافظ، كي يُقال إنّه صادقٌ على الظانّ‌، بل هو الساهي وغير العالم بحسب ما ورد في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أنّ أدلّة حجيّة الظنّ توجبُ خروج الظانّ عن تحت هذين العنوانين، فلا مورد لرجوعه إلى القاطع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ملاك رجوع كلٍّ من الإمام والمأموم إلى الآخر، هو وحدة صلاتهما كما مرّ، وحيث أنّ القطع والظنّ إذا اجتمعا في موردٍ واحد، يجب اتّباع القطع لكونه أقوى‌، فيجبُ على الظانّ في المقام العمل بحفظ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ماتقدّم من فساد المبنى، أنّ اجتماع الظنّ والقطع في موردٍ واحد محالٌ‌، فكيف يؤخذ لزوم العمل بالقطع مفروغاً عنه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في مرسل يونس المتقدّم، مع فرض الراوي ميل الإمام إلى بعض المأمومين في السؤال، حكم عليه السلام برجوعه إلى المأمومين في فرض الاتّفاق، ممّا يدلّ </w:t>
      </w:r>
    </w:p>
    <w:p>
      <w:pPr>
        <w:pStyle w:val="BookText"/>
        <w:rPr/>
      </w:pPr>
      <w:r>
        <w:rPr>
          <w:rFonts w:ascii="Amiri" w:hAnsi="Amiri" w:eastAsia="Amiri" w:cs="Amiri"/>
          <w:color w:val="111111"/>
          <w:sz w:val="28"/>
          <w:sz w:val="28"/>
          <w:szCs w:val="28"/>
          <w:rtl w:val="true"/>
          <w:lang w:bidi="ar-SA"/>
        </w:rPr>
        <w:t>على رجوع الإمام إذا كان ظانّاً إلى المأمومين، فيثبت في العكس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جوابه عليه السلام ليس عن فرض السؤال، فإنّه فرضُ اختلاف المأمومين وهو عليه السلام أجاب ببيان حكم صورة الاتّفاق، مع أنّه يحتمل أن يكون المراد به ترجيح إحدى الطائفتين للرجوع إليهم، لا حدوث رجحانٍ ظنّي عنده موافقاً مع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رجوع الظانّ إلى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الشاكّ هل يرجع إلى الظانّ أم لا؟</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بالوجه الثاني المتقدّم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دليل حجيّة الظنّ إنّما يدلّ على حجيّته بلحاظ عمل الظانّ‌، ولا يدلّ على تنزيله منزلة العلم بلحاظ عمل الظانّ‌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ضبطا مرسلة يونس بأنّه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إذا حفظ عليه من خلفه بإيقانٍ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رجوع الشاكّ إلى الحافظ، يوجب التوسعة في دليل حجيّة الظنّ‌، ويدلّ على حجيّة حفظه الذي هو حجّة في عمل نفسه، لغيره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اليقين كالحفظ يوجبُ دليل حجيّة الظنّ كون الظنّ فرداً تعبّديّاً منه، مضافاً إلى اتّفاق الجميع على أولويّة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وتقدّمها على</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رواية الشيخ في كتابيه لمناسبتها مع ما هو واردٌ في ذيل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رجوع الشاكّ إلى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رجوع الشاكّ من الإمام والمأموم إلى الحافظ منهما عند الشكّ في الأخيرتين، وإنّما الكلام وقع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الرجوع فيه بما دلّ على لزوم الحفظ في الأوليّين، وأنّ الشكّ فيهما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نصوص الباب، وبين تلك الأخبار، وإنْ هي العموم من وجه، إلّاأنّها تكون حاكمة على ما دلّ على مبطليّة الشكّ في الأولتين، لأنّها بلسان نفي السَّهو والشكّ‌، مع حفظ الآخر، فراجع</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الرجوع فيه إلى الأصحاب، وقد توقّف فيه جماعة منهم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97"/>
      </w:r>
      <w:r>
        <w:rPr>
          <w:rFonts w:ascii="Amiri" w:hAnsi="Amiri" w:eastAsia="Amiri" w:cs="Amiri"/>
          <w:color w:val="111111"/>
          <w:sz w:val="28"/>
          <w:sz w:val="28"/>
          <w:szCs w:val="28"/>
          <w:rtl w:val="true"/>
          <w:lang w:bidi="ar-SA"/>
        </w:rPr>
        <w:t xml:space="preserve">، وأفتى جماعة 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وجمعٌ من المعلّقين عليها</w:t>
      </w:r>
      <w:r>
        <w:rPr>
          <w:rStyle w:val="FootnoteAnchor"/>
          <w:rtl w:val="true"/>
        </w:rPr>
        <w:footnoteReference w:id="799"/>
      </w:r>
      <w:r>
        <w:rPr>
          <w:rFonts w:ascii="IRNazanin" w:hAnsi="IRNazanin" w:eastAsia="IRNazanin"/>
          <w:color w:val="111111"/>
          <w:sz w:val="28"/>
          <w:sz w:val="28"/>
          <w:szCs w:val="28"/>
          <w:rtl w:val="true"/>
          <w:lang w:bidi="fa-IR"/>
        </w:rPr>
        <w:t>بالعدم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 بأمور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 في صحيح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ولا على من خلف الإمام 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إرادة الشكّ في عدد الرَّكعات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سائر الفقرات،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السَّهو لم يستعمل في معناه الحقيقي، بل اُريد به المعنى المجازي، وهو الشكّ فحينئذٍ يدور الأمر بين إرادة مطلق الشكّ أو الشكّ في الرَّكعات، والمتيقّن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السَّهو في هذه النصوص الّتي هي بلسان واحد،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المغرب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هو خصوص الشكّ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نفي عن دعواه البُعد المحقّق الهمداني رحمه الله</w:t>
      </w:r>
      <w:r>
        <w:rPr>
          <w:rStyle w:val="FootnoteAnchor"/>
          <w:rtl w:val="true"/>
        </w:rPr>
        <w:footnoteReference w:id="800"/>
      </w:r>
      <w:r>
        <w:rPr>
          <w:rFonts w:ascii="Amiri" w:hAnsi="Amiri" w:eastAsia="Amiri" w:cs="Amiri"/>
          <w:color w:val="111111"/>
          <w:sz w:val="28"/>
          <w:sz w:val="28"/>
          <w:szCs w:val="28"/>
          <w:rtl w:val="true"/>
          <w:lang w:bidi="ar-SA"/>
        </w:rPr>
        <w:t>واستجوده المحقّق النائيني رحمه الله</w:t>
      </w:r>
      <w:r>
        <w:rPr>
          <w:rStyle w:val="FootnoteAnchor"/>
          <w:rtl w:val="true"/>
        </w:rPr>
        <w:footnoteReference w:id="801"/>
      </w:r>
      <w:r>
        <w:rPr>
          <w:rFonts w:ascii="Amiri" w:hAnsi="Amiri" w:eastAsia="Amiri" w:cs="Amiri"/>
          <w:color w:val="111111"/>
          <w:sz w:val="28"/>
          <w:sz w:val="28"/>
          <w:szCs w:val="28"/>
          <w:rtl w:val="true"/>
          <w:lang w:bidi="ar-SA"/>
        </w:rPr>
        <w:t>، وهو أنّه يستفاد من تعليق نفي السَّهو على الإمام بأنّ من خلفه يحفظ عليه السَّهو، أنّ مناط هذا الحكم قيام حفظ المأمومين مقام حفظ الإمام، وكذا حفظ الإمام مقام حفظ المأمومين، والعبرة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يُعلّل الحكم بعدم الاعتناء مع حفظ الآخر، فهو جزء الموضوع لا العلّة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الإجزاء يستفاد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الرجوع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رجوع الإمام إلى المأموم، سواءٌ أكان المأموم واحداً أم متعدّداً، بشرط كونهم متّفقين في الحفظ</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صورة اختلاف المأمومين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المأمومين في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المأمومون في الحفظ، بأن ادّعى بعضهم كون الرّكعة ثالثة، وبعضٌ آخر منهم كونها رابعة، فالمشهور بين الأصحاب</w:t>
      </w:r>
      <w:r>
        <w:rPr>
          <w:rStyle w:val="FootnoteAnchor"/>
          <w:rtl w:val="true"/>
        </w:rPr>
        <w:footnoteReference w:id="802"/>
      </w:r>
      <w:r>
        <w:rPr>
          <w:rFonts w:ascii="Amiri" w:hAnsi="Amiri" w:eastAsia="Amiri" w:cs="Amiri"/>
          <w:color w:val="111111"/>
          <w:sz w:val="28"/>
          <w:sz w:val="28"/>
          <w:szCs w:val="28"/>
          <w:rtl w:val="true"/>
          <w:lang w:bidi="ar-SA"/>
        </w:rPr>
        <w:t>أنّه لا يرجع إليهم حينئذٍ، والوجه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يونس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إذا حفظ عليه من خلفه باتّفاق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اختلف على الإمام مَنْ خلفه فعليه، وعليهم في الاحتياط والإعادة 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وعن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بعد قوله من الاحتياط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الإعادة والأخذ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دون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أنّ على الإمام والمأموم الأخذ بالجزم في صلاة الاحتياط وإعادة الصَّلاة، بمعنى أنّه يجب على كلّ منهما العمل بوظيفته، وأنّ المورد ليس من مورد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أنّه في مقام الاحتياط على كلٍّ منهما إعادة الصَّلاة والأخذ بالجزم، أي الإتيان بصلاة الاحتياط فيما يوجب الإعادة وصلاة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يدلّ على المطلوب، وأنّه ليس للإمام التخيّير في الرجوع إلى أيّهما شاء في صورة الاختلاف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قدّمناه من احتمال أن يكون المراد بقول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مائلٌ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وجود مرجّح مع إحدى الطائفتين للأخذ بقول أحدهما، يدلّ هذا على عدم جواز الرجوع إلى بعضهم، وإنْ كان لحفظه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كان المأمومون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يقين، والباقون على الشكّ فإنّ على الإمام أن يرجع إلى المتيقّن منهم، كما هو الأشهر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بعدم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يونس المتقدّم، وتقريب الاستدلال 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عدم جواز الرجوع في صورة الاختلاف، والمفروض اختلاف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اعتبر فيه في الرجوع الاتّفاق والمفروض عدمه، وبأنّه مع اختلافهم في الحفظ والشكّ‌، كما يصدق عليهم كونهم حافظين، يصدق عليهم أنّهم شاكّون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في نفسه وبقرينة السؤال، هو الاختلاف في الحفظ، إذ في صورة كون بعضهم متيقّناً والآخرين شاكّين، لا يصدق عرفاً أنّهم مختلفون، لعدم الخلاف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الذيل والصّدر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الاختلاف، مع أنّه لو اُريد به اتّفاقهم في الحفظ لامتنع غالباً الرجوع، لعدم حفظ جميعهم لما صدق ما هو الموضوع في الفرض، وإلّا لما صدق 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ما هو الأشهر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بعد رجوع الإمام إلى المتيقّن من المأمومين، هل يرجع الشاكّ منهم إلى الإمام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حفظ من يرجع الإمام اليه لا يكون طريقاً للشاكّ‌، بل هو جزءٌ للموضوع المترتّب عليه الحكم التعبّدي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ظاهر ما دلّ على رجوع كلٍّ من الإمام والمأموم إلى الآخر مع حفظه، هو اعتبار كونه حافظاً من قبل نفسه، وبالحفظ الداخلي لا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الأمر بالعمل بالحفظ والظنّ ونحوهما ممّا له طريقة ناقصة بقرينة الارتكاز العقلائي، هو جعل الحجيّة له، وتتميم كشفه، وجعل طريقيّته من قبيل الطريق التامّ‌، ألا ترى أنّه يستفاد من الأمر بالعمل بخبر الثقة حجيّته، وهكذا غيره ممّا له طريقيّة ناقصة، وفيما نحن فيه فإنّ حفظ المأموم بالنسبة إلى الإمام من هذا القبيل، ويكون كإخباره وقوله، فالأمر بالعمل به لا سيّما بلسان نفي الشكّ‌، ظاهرٌ في جعل الحجيّة والطريقيّة له، وعليه فهو محرزٌ تعبّداً، فيرجع المأموم الشاكّ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دفعه بأنّ ظاهر الدليل وإنْ كان ذلك، إلّاأنّ الحفظ والإحراز التعبّدي بدليل تعبّده يصبح من أفراد الموضوع بالحكومة، فالأظهر هو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رجوع المأموم الشاكّ إلى المأموم المتيقّن أم لا؟ وجهان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صلاة الجماعة القائمة بين الإمام والمأمومين بمنزلة صلاة واحدة، فمن حيث وحدتهما يكفي فيها حفظ واحد، ولو من بعض المأمومين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 هذاوجهٌ‌استحساني لايُعتمدعليه في الأحكام الشرعيّة التعبّديّة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الإمام والمأمومون كلّهم 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شكّهم متّحداً، كما إذا شكّ الجميع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يكونوا مختلفين في الشكّ‌، مع عدم وجود قدر مشترك بين الشكّين، وعدم رابط بينهما، كما إذا شكّ الإمام بين الإثنتين والثَّلاث، والمأموم 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يكونوا مختلفين في الشكّ‌، مع وجود رابط بين الشكّين، كما إذا شكّ الإمام بين الإثنتين والثَّلاث، والمأموم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واضح، فإنّه يعمل الجميع عمل ذلك الشكّ مع بقاء القدوة، وفي القدوة في صلاة الاحتياط كلامٌ محرّرٌ في مبحث الجماعة</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عمل كلّ منهما بما هو وظيفة شكّه، ووجوب قصد الانفراد من دون رجوع أحدهما إلى الآخر للعلم بخطائه، فإنّ من شكّ بين الإثنتين والثَّلاث، عالمٌ بعدم كون الرّكعة رابعة، كما أنّ من شكّ بين الأربع والخمس عالم بعدم كونها ثالثة، ومع هذا الاختلاف لا مجال لفرض بقاء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المحقّق المجلسي رحمه الله</w:t>
      </w:r>
      <w:r>
        <w:rPr>
          <w:rStyle w:val="FootnoteAnchor"/>
          <w:rtl w:val="true"/>
        </w:rPr>
        <w:footnoteReference w:id="807"/>
      </w:r>
      <w:r>
        <w:rPr>
          <w:rFonts w:ascii="Amiri" w:hAnsi="Amiri" w:eastAsia="Amiri" w:cs="Amiri"/>
          <w:color w:val="111111"/>
          <w:sz w:val="28"/>
          <w:sz w:val="28"/>
          <w:szCs w:val="28"/>
          <w:rtl w:val="true"/>
          <w:lang w:bidi="ar-SA"/>
        </w:rPr>
        <w:t>أنّ المشهور بين الأصحاب رجوعهما إلى القدر المشترك، وعن جماعةٍ منهم المحقّق النائيني رحمه الله</w:t>
      </w:r>
      <w:r>
        <w:rPr>
          <w:rStyle w:val="FootnoteAnchor"/>
          <w:rtl w:val="true"/>
        </w:rPr>
        <w:footnoteReference w:id="808"/>
      </w:r>
      <w:r>
        <w:rPr>
          <w:rFonts w:ascii="Amiri" w:hAnsi="Amiri" w:eastAsia="Amiri" w:cs="Amiri"/>
          <w:color w:val="111111"/>
          <w:sz w:val="28"/>
          <w:sz w:val="28"/>
          <w:szCs w:val="28"/>
          <w:rtl w:val="true"/>
          <w:lang w:bidi="ar-SA"/>
        </w:rPr>
        <w:t>العدم، ووجوب الإنفراد عليهما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الشاكّ بين الإثنتين والثَّلاث حافظٌ لعدم الأربع، فالشاكّ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الثَّلاث والأربع يرجع إليه في ذلك، ويبني على الثَّلاث، وأمّا الشاكّ بين الثَّلاث والأربع فحافظٌ لعدم كون الرّكعة ثانية وتحقّق الثَّلاث، فالشاكّ بين الإثنتين والثَّلاث يرجع إليه، فيبنيان على الرّكعة الثالثة ويُتّمان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الحفظ المعتبر في من يرجع إليه، وإنْ كان يصدق بحسب التحليل العقلي مع الاختلاط بالشكّ‌، إلّاأنّه بحسب المتفاهم العرفي لا يصدق إلّا على الحفظ العاري عن الشكّ‌، فلا يقال عرفاً لمن شكّ بين الثَّلاث والأربع أنّه حافظٌ للركعة باعتبار قطعه بتحقّق الثَّلاث، وحيثُ أنّ الخطابات الشرعيّة منزّلة على المتفاهم العرفي، فلا يجوز الرجوع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لم يصدق عليه الحافظ للرّكعة، إلّاأنّه يصدق عليه الحافظ لتحقّق الثَّلاث لعلمه به، ومجرّد تقارن ذلك مع الشكّ في شيء آخر، وهو تحقّق الأربع، لا يمنع عن صدقه عليه، ألا ترى أنّه لو كان حافظاً لعدد الرَّكعات، شاكّاً في أفعالها، فإنّه وإنْ لم يصدق عليه الحافظ لصلاته، إلّاأنّه يصدق عليه الحافظ لركعاتها، ولذا يجوز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الحفظ بالنسبة إلى المجموع من المتيقّن والمشكوك فيه، لا ينافي صدق الحفظ بالإضافة إلى المتيقّن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بما أنّ ظاهر الأدلّة رجوع الشاكّ من كلٍّ من الإمام والمأموم إلى الآخر إذا كان حافظاً لما هو مورد شكّه، وإنْ كان هو شاكّاً في شيء آخر، لا محالة يجوز رجوع كلٍّ منهما في هذه الصورة إلى الآخر، لكون كلٍّ منهما حافظاً لما هو مورد الشكّ الآخر</w:t>
      </w:r>
      <w:r>
        <w:rPr>
          <w:rFonts w:eastAsia="Amiri" w:cs="Amiri" w:ascii="Amiri" w:hAnsi="Amiri"/>
          <w:color w:val="111111"/>
          <w:sz w:val="28"/>
          <w:szCs w:val="28"/>
          <w:rtl w:val="true"/>
          <w:lang w:bidi="ar-SA"/>
        </w:rPr>
        <w:t>.</w:t>
      </w:r>
      <w:bookmarkStart w:id="463" w:name="pg11801_108284"/>
    </w:p>
    <w:p>
      <w:pPr>
        <w:pStyle w:val="BookText"/>
        <w:rPr/>
      </w:pPr>
      <w:bookmarkEnd w:id="463"/>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10507058_73709187"/>
      <w:bookmarkStart w:id="465" w:name="_Toc177"/>
      <w:bookmarkEnd w:id="464"/>
      <w:r>
        <w:rPr>
          <w:rtl w:val="true"/>
        </w:rPr>
        <w:t>عدم الالتفات إلى السَّهو في السَّهو</w:t>
      </w:r>
      <w:bookmarkEnd w:id="465"/>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809"/>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نفس هذه العبارة مجمعٌ عليها في الجملة، والأصل فيها تضمّن بعض النصوص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 حفص المتقدّم، عن الإمام الصادق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السَّهو سهوٌ</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 يونس المتقدّم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إذا حفظ عليه مَنْ خلفه سهوه باتّفاق منهم، وليس على من خلف الإمام سهوٌ إذا لم يَسُه الإمام، ولا سهو في سهوٍ، وليس في المغرب والفجر سَهو</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الفقهاء في بيان المراد منها، ومنشأ الاختلاف تطرّق احتمالات كثيرة في معناها، فإنّ المراد من السَّهو في الموضعين يحتمل أن يكون هو النسيان، ويحتمل أن يكون الشكّ‌، ويحتمل أن يكون هو الجامع بينهما، ويحتمل أن يكون المراد من الأوّل بعض هذه المعاني، ومن الآخر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من المجموع تسع صور، حاصلة من ضرب الثَّلاث في الثَّلاث</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فإمّا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يقدّر مضافٌ في الموضعين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لا يقدّر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يقدّر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المضاف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اُموراً، وعلى هذا فترتقي الاحتمالات إلى مراتب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السَّهو الأوّل، موجبُ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 بل خصوص صلاة الاحتياط إمّا بتقدير المضاف، أو بإرادة ذلك من السَّهو، كما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لك السَّهو كلّه في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السَّهو الثاني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المتحصّل أنّه لا صلاة احتياط في الشكّ في ركعات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السَّهو ليس هو النسيان، ولا الجامع بينه وبين الشكّ‌، بل المراد خصوص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بقرينة السياق في النصوص، فإنّ المراد منه في سائر الفقرات المذكورة فيها 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ولكثرة استعمال السَّهو في الشكّ‌، كما يظهر لمن راجع النصوص الواردة في الشكوك المبطلة، والشكوك الصحيحة، وما ورد في كثرة الشكّ‌، وما رود في ضبط عدد الرَّكعات بالحَصى وغير ذلك من الموارد، حتّى قيل إنّ إرادة معناه اللّغوي منه تحتاج إلى القرينة، بل الظاهر ولا أقلّ من المحتمل إرادة خصوص الشكّ في الرَّكعات منه، وعلى ذلك فأكثر الاحتمالات تكون ملغاة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من السَّهو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موجب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بتقدير ذلك، أو بإرادة عمل الشكّ منه، لا الشكّ نفسه، لعدم إمكان إرادته منه في خبر حفص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السَّهو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الظرف إمّا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بالسَّهو، 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وعلى كلّ حال لا تصحّ إرادة الشكّ منه كما لا يخفى‌، فيكون المراد موجب السَّهو وهي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 الشكّ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صلاة الاحتياط، ومنها سجدة السَّهو، ومنهاالإتيان بالمشكوك فيه إذا لم يتجاوز محلّه، فلاوجه للتخصيص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الإتيان بالمشكوك فيه ليس موجب الشكّ‌، بل إنّما يقتضيه الأمر بالصّلاة مع ذلك الجزء، حيث يقتضي ذلك لزوم الإتيان به ما لم يحصل العلم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سجدة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موجبة الشكّ‌، كما في مورد الشكّ بين الأربع والخمس، إلّاأنّه من جهة دوران الأمر بين إرادة موجب الشكّ منه بتقدير الموجب، وبين إرادة العمل السَّهوي منه، الذي هو صلاة الاحتياط، وعدم المرجّح لأحدهما، يكون المتيقّن هي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أنّ المنفيّ ليس هو الشكّ نفسه، بل عمله، وما يترتّب عليه، ولذلك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فيُحتمل أن يكون نفيه من جهة كونه كالشكّ في المغرب، بمعنى بطلانها بطروّ الشكّ في ركعاتها، فيكون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المغرب سهو</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نفيه من جهة كونها كالنافلة، بمعنى ثبوت التخيّير فيه بين البناء على الأقلّ أو الأكثر، إلّاأن يكون البناء على الأكثر مبطلاً ممّا يوجب </w:t>
      </w:r>
    </w:p>
    <w:p>
      <w:pPr>
        <w:pStyle w:val="BookText"/>
        <w:rPr/>
      </w:pPr>
      <w:r>
        <w:rPr>
          <w:rFonts w:ascii="IRNazanin" w:hAnsi="IRNazanin" w:eastAsia="IRNazanin"/>
          <w:color w:val="111111"/>
          <w:sz w:val="28"/>
          <w:sz w:val="28"/>
          <w:szCs w:val="28"/>
          <w:rtl w:val="true"/>
          <w:lang w:bidi="fa-IR"/>
        </w:rPr>
        <w:t>النباء على الأقلّ‌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نفيه من جهة كون الشكّ فيها من قبيل شكّ كثيرالشكّ‌، فلا يعتنى به، وعليه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كونه مبطلاً، فيدفعه أنّ صلاة الاحتياط بدلٌ عن الرّكعتين الأخيرتين اللّتين لا يعتبر فيهما الحفظ، ولا يكون الشكّ فيهما مبطلاً، فهي أولى بعدم مبطليّة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الأولويّة بنفسها دليلٌ للحكم، ليقال بعدم ثبوتها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الأولويّة تصبح سبباً لاستفادة عدم الاعتناء بالشكّ في صلاة الاحتياط،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 ولا على السَّهو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إرادة نفي تحمّل الكفلة بسبب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تعيّن البناء على الأكثر لا التخيّير بينه وبين الأقلّ‌، فلأنّ الظاهر من الخبر هو نفي ما يكون جابراً في الأخيرتين عن صلاة الاحتياط، ولازم هذا اشتراكها معها في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المنفيّ خصوص صلاة الاحتياط، كما يظهر لمن راجع ما ذكرناه من إرادتها بالخصوص من السَّهو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أنّ الشكّ في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وجودها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أجزائها وشرائطها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خصوص الشكّ في الرَّكعات بقرينة السياق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الجملة المذكورة في النصوص الآنفة، هو أنّه لا صلاة احتياط في الشكّ في ركعات صلاة الاحتياط، وأنّه يجب البناء على انصراف الشكّ عن مثل هذه الركعات</w:t>
      </w:r>
      <w:r>
        <w:rPr>
          <w:rFonts w:eastAsia="Amiri" w:cs="Amiri" w:ascii="Amiri" w:hAnsi="Amiri"/>
          <w:color w:val="111111"/>
          <w:sz w:val="28"/>
          <w:szCs w:val="28"/>
          <w:rtl w:val="true"/>
          <w:lang w:bidi="ar-SA"/>
        </w:rPr>
        <w:t>.</w:t>
      </w:r>
      <w:bookmarkStart w:id="466" w:name="pg11801_108289"/>
    </w:p>
    <w:p>
      <w:pPr>
        <w:pStyle w:val="BookText"/>
        <w:rPr/>
      </w:pPr>
      <w:bookmarkEnd w:id="466"/>
      <w:r>
        <w:rPr>
          <w:rFonts w:ascii="Amiri" w:hAnsi="Amiri" w:eastAsia="Amiri" w:cs="Amiri"/>
          <w:color w:val="111111"/>
          <w:sz w:val="28"/>
          <w:sz w:val="28"/>
          <w:szCs w:val="28"/>
          <w:rtl w:val="true"/>
          <w:lang w:bidi="ar-SA"/>
        </w:rPr>
        <w:t>مَنْ سهى في النافلة بنى على الأقلّ‌، وإنْ بنى على الأكثر جاز</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10507060_73709187"/>
      <w:bookmarkStart w:id="468" w:name="_Toc178"/>
      <w:bookmarkEnd w:id="467"/>
      <w:r>
        <w:rPr>
          <w:rtl w:val="true"/>
        </w:rPr>
        <w:t>حكم الشكّ في النّافلة</w:t>
      </w:r>
      <w:bookmarkEnd w:id="46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سهى في النّافلة بنى على الأقلّ‌، وإنْ بنى على الأكثر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بين البناء على الأقلّ والبناء على الأكثر، كما هو المشهور بين الأصحاب</w:t>
      </w:r>
      <w:r>
        <w:rPr>
          <w:rStyle w:val="FootnoteAnchor"/>
          <w:rtl w:val="true"/>
        </w:rPr>
        <w:footnoteReference w:id="812"/>
      </w:r>
      <w:r>
        <w:rPr>
          <w:rFonts w:ascii="Amiri" w:hAnsi="Amiri" w:eastAsia="Amiri" w:cs="Amiri"/>
          <w:color w:val="111111"/>
          <w:sz w:val="28"/>
          <w:sz w:val="28"/>
          <w:szCs w:val="28"/>
          <w:rtl w:val="true"/>
          <w:lang w:bidi="ar-SA"/>
        </w:rPr>
        <w:t>، بل عن جماعةٍ‌</w:t>
      </w:r>
      <w:r>
        <w:rPr>
          <w:rStyle w:val="FootnoteAnchor"/>
          <w:rtl w:val="true"/>
        </w:rPr>
        <w:footnoteReference w:id="81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المحقّق اليزدي رحمه الله</w:t>
      </w:r>
      <w:r>
        <w:rPr>
          <w:rStyle w:val="FootnoteAnchor"/>
          <w:rtl w:val="true"/>
        </w:rPr>
        <w:footnoteReference w:id="814"/>
      </w:r>
      <w:r>
        <w:rPr>
          <w:rFonts w:ascii="Amiri" w:hAnsi="Amiri" w:eastAsia="Amiri" w:cs="Amiri"/>
          <w:color w:val="111111"/>
          <w:sz w:val="28"/>
          <w:sz w:val="28"/>
          <w:szCs w:val="28"/>
          <w:rtl w:val="true"/>
          <w:lang w:bidi="ar-SA"/>
        </w:rPr>
        <w:t xml:space="preserve">أنْ لا دليل عليه، وأمّا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قالا إنّه لا دليل على البناء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 ثلاثة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البُختري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سهو في نافلة</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المنفيّ فيه هو عمل السَّهو، أي صلاة الاحتياط، من غير دلالة على كون الوظيفة هو البناء على الأقلّ أو الأكثر أو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اقتضاء تناسب الحكم والموضوع ذلك، من جهة كونها نافلة يتسامح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والإجماع وغيره ممّا دلَّ على عدم بطلان النافلة بالشكّ فيها، كخبر الخصال الآتي حيث دلَّ بحصره السّهو غير المبطل في 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المنفيّ ليس خصوصيّة صلاة الاحتياط، بل كلّ أحكام الشكّ ومنها مبطليّة الشكّ في عدد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يكون الخبر الحَسَن المذكور ظاهراً في عدم مبطليّته، وأنّه لا يعتني به، وله الأخذ بالاحتمال الذي تصحّ معه الصَّلاة، سواءٌ أكان هو الأقلّ أو الأكثر، فالمستفاد من الحسن هو التخيّير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السَّهو في النافلة‌؟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كما في نسخةٍ‌،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عدم ثبوت شيءٍ من أحكام الشكّ عليه، فتكون النتيجة هو التخيّير بين البناء على الأقلّ والأكثر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إذا سهى في النافلة، بنى على الأقلّ‌</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برغم ظهور الخبر في تعيّنه، ولكن لأجل عدم صحّة سنده لا يصلح لإثبات حكم 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صالحاً لإثبات استحبابه وأفضليّة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هو ما أفتى به الشمهور من التخيّير وأفضليّة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النصوص والفتاوى، عدم الفرق في النافلة بين كونها 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ثلاثيّة، أو رباعيّة كصلاة الأعرابي، أو وحدانيّة كمفردة الوتر، ففي الجميع يتخيّر المكلّف بين البناء على الأقلّ أو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صلاة الوتر لو لم يكن البطلان أقوى‌، لا ريب في أنّه أحوط، لصحيح العلاء،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يشكّ في الفجر؟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قلت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الوتر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أسأله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الأربعمائة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السَّهو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والجمعة، والرّكعتين الأولتين من كلّ صلاة مكتوبة، وفي الصبح، والمغرب</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حملهاصاحب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822"/>
      </w:r>
      <w:r>
        <w:rPr>
          <w:rFonts w:ascii="Amiri" w:hAnsi="Amiri" w:eastAsia="Amiri" w:cs="Amiri"/>
          <w:color w:val="111111"/>
          <w:sz w:val="28"/>
          <w:sz w:val="28"/>
          <w:szCs w:val="28"/>
          <w:rtl w:val="true"/>
          <w:lang w:bidi="ar-SA"/>
        </w:rPr>
        <w:t>على الاستحباب، وأمّاالمحقّق الهمداني رحمه الله</w:t>
      </w:r>
      <w:r>
        <w:rPr>
          <w:rStyle w:val="FootnoteAnchor"/>
        </w:rPr>
        <w:footnoteReference w:id="8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حملهما على الغالب من الشكّ في أصل الوجود، وكلاهما كما ترى‌، إذ الأوّل لا شاهد له، والثاني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جهة ما قيل من ذهاب المشهور إلى عدم البطلان، يصبح التوقّف في الإفتاء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النفل العارض عليه الفرض، والفرض الطارئ عليه النفل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الفرض والنفل الفعليّين، فالفرض الطارئ عليه النفل بحكم النفل، والنفل الطارئ عليه الفرض بحكم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الاصليين، فالأوّل بحكم الفرض، والثاني بحكم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اجتماع النفل الأصلي والفعلي معاً، فهما معاً بحكم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النصوص هي النافلة الفعليّة، كما هو الشأن في جميع العناوين المأخوذة في موضوع الحكم، وعليه فيندفع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يكفى حدوث مبدأ الاشتقاق في بقاء الحكم، ولو بعد ارتفاع نفليّته بطروّ الفرض، بما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حقيقة في خصوص المتلبّس لا الأعمّ منه وممّن انقضى عنه المبدأ، كما أنّ الظاهر منها الصَّلاة المتّصفة بالنفل بعنوان أنّها صلاة، ولذلك تكون ما عرضها الفرض لا بهذا العنوان تكون باقية تحت هذه الأدلّة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فالنافلة المنذورة، وما وجبت بأمر الوالد وشبهه، تكون مشمولة لهذا الحكم، إذ الصَّلاة في هذه الموارد بعنوانها ليست بواجبة، بل الوجوب عارضٌ لها بما أنّها متعلّق النذر، والعنوان المعروض عليها الوجوب أجنبيٌ عن عنوان الصَّلاة، وإنْ اتّحدا وجوداً في الخارج، وكذلك صلاة العيد المستحبّة في زمان الغيبة، </w:t>
      </w:r>
    </w:p>
    <w:p>
      <w:pPr>
        <w:pStyle w:val="BookText"/>
        <w:rPr/>
      </w:pPr>
      <w:r>
        <w:rPr>
          <w:rFonts w:ascii="Amiri" w:hAnsi="Amiri" w:eastAsia="Amiri" w:cs="Amiri"/>
          <w:color w:val="111111"/>
          <w:sz w:val="28"/>
          <w:sz w:val="28"/>
          <w:szCs w:val="28"/>
          <w:rtl w:val="true"/>
          <w:lang w:bidi="ar-SA"/>
        </w:rPr>
        <w:t>وشبهها من الصَّلوات التي تكون مستحبّة بعنوان أنّها صلاة مشمولة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على النفل الفعلي، سواءٌ أكان أصليّاً أمّا طارئاً، ولكن بشرط كون النفل طارئاً على الصَّلاة بعنوانها، لا على عنوانٍ متّحد معها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الحكم المذكور بالشكّ في عدد الرَّكعات، وأمّا لو شكّ في أفعالها، فحكمه حكم الشكّ في أفعال الفريضة، لما تقدّم في المسألة الرابعة، فراجع</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تُغتفر زيادة الرّكن في النافلة، إذا لم تكن 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 مدرك مبطليّتها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الذي رواه الصيقل،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الرّكعتين من الوتر، ثمّ يقوم فينسى التشهّد حتّى يركع، فيذكر وهو راكع‌؟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من ركوعه يتشهّد، ثمّ يقوم فيتمّ‌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قلتَ في الفريضة إذا ذَكره بعدما ركع، مضى في صلاته، ثمّ سجد سجدتي السَّهو بعدما ينصرف يتشهّد فيهما؟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الفصل بين الشَّفع والوِتر بالسَّلام، فتكون الثالثة من صلاة اُخرى‌، فلا تكون زيادة في الأُولى‌، كي تدلّ على عدم قدح الزيادة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النافلة كالفريضة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 إذ لو حُمل على كون الرّكعة الثالثة صلاة اُخرى‌، لم يكن فرقٌ حينئذٍ بين النافلة والفريضة في 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زيادة الرّكوع ولو أتى به لا بقصد هذه الصَّلاة، تكون مبطلة للفريضة،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حُمل الخبر على ذلك، وأنّه لا تبطل النافلة ثبت الفرق بينهما، فغاية ما يستفاد من الخبر أنّ زيادة الرّكوع الذي لم يؤتِ به بقصد كونه من أجزاء المزيد فيه، لا تُبطل النافلة، إذا لم تكن عمديّة، فلا يثبت به عدم المبطليّة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مشتملٌ على بيان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الإتيان بالشَّفع والوتر متّصلتين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مبطليّة الزيادة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اشتماله على بيان الأوّل، يكون كسائر الروايات الدالّة على ذلك معارضاً بشيء، فلا وجه لطرح الخبر بقولٍ مطلق، كما لا وجه للإقتصار على مورده،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في الجملة حَسَن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سَهى في ركعتين من النافلة، فلم يجلس بينهما حتّى قام فركع في الثالثة‌؟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ويجلس ويتشهّد ويُسلِّم، ثمّ يستأنف الصَّلاة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يدلّ على أنّ الرّكوع المأتي به بقصد الصَّلاة الثانية، لا يُبطل الصَّلاة، ولا يمنع عن لحوق التشهّد بما قبله من الأجزاء، ولعلّه بضميمة عدم القول بالفصل يثبت ذلك في سائر الموارد، وأمّا في النقيصة فحيثُ لا دليل على عدم المبطليّة، فإنّ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حكمها في ذلك حكم الفريضة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حكم الظنّ في ركعات النافلة، حكمه في الفريضة،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لإطلاق ما دلَّ على حجيّته في الرَّكعات، وعدم شمول نصوص الباب له، إذ المراد بالسّهو إما الشكّ أو عمله، وعلى كلّ تقديرٍ لا يشمل الظنّ المعتبر</w:t>
      </w:r>
      <w:r>
        <w:rPr>
          <w:rFonts w:eastAsia="Amiri" w:cs="Amiri" w:ascii="Amiri" w:hAnsi="Amiri"/>
          <w:color w:val="111111"/>
          <w:sz w:val="28"/>
          <w:szCs w:val="28"/>
          <w:rtl w:val="true"/>
          <w:lang w:bidi="ar-SA"/>
        </w:rPr>
        <w:t>.</w:t>
      </w:r>
      <w:bookmarkStart w:id="469" w:name="pg11801_108296"/>
    </w:p>
    <w:p>
      <w:pPr>
        <w:pStyle w:val="Heading6"/>
        <w:numPr>
          <w:ilvl w:val="5"/>
          <w:numId w:val="1"/>
        </w:numPr>
        <w:rPr/>
      </w:pPr>
      <w:bookmarkStart w:id="470" w:name="__RefHeading___Toc10507062_73709187"/>
      <w:bookmarkStart w:id="471" w:name="_Toc179"/>
      <w:bookmarkEnd w:id="469"/>
      <w:bookmarkEnd w:id="470"/>
      <w:r>
        <w:rPr>
          <w:rtl w:val="true"/>
        </w:rPr>
        <w:t>صلاة الاحتياط</w:t>
      </w:r>
      <w:bookmarkEnd w:id="471"/>
    </w:p>
    <w:p>
      <w:pPr>
        <w:pStyle w:val="Heading6"/>
        <w:numPr>
          <w:ilvl w:val="5"/>
          <w:numId w:val="1"/>
        </w:numPr>
        <w:rPr/>
      </w:pPr>
      <w:bookmarkStart w:id="472" w:name="__RefHeading___Toc10507064_73709187"/>
      <w:bookmarkStart w:id="473" w:name="_Toc18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مشتملة على فوائد</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10507066_73709187"/>
      <w:bookmarkStart w:id="475" w:name="_Toc181"/>
      <w:bookmarkEnd w:id="474"/>
      <w:r>
        <w:rPr>
          <w:rtl w:val="true"/>
        </w:rPr>
        <w:t>تنقيح القول فيها</w:t>
      </w:r>
      <w:bookmarkEnd w:id="475"/>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الإحتياط</w:t>
      </w:r>
    </w:p>
    <w:p>
      <w:pPr>
        <w:pStyle w:val="BookText"/>
        <w:rPr/>
      </w:pPr>
      <w:r>
        <w:rPr>
          <w:rFonts w:ascii="Amiri" w:hAnsi="Amiri" w:eastAsia="Amiri" w:cs="Amiri"/>
          <w:color w:val="111111"/>
          <w:sz w:val="28"/>
          <w:sz w:val="28"/>
          <w:szCs w:val="28"/>
          <w:rtl w:val="true"/>
          <w:lang w:bidi="ar-SA"/>
        </w:rPr>
        <w:t>وتنقيح القول فيها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هذه الصَّلاة جميع ما يُعتبر في الصَّلاة في الجملة، ولو كان بعضاً من الصَّلاة كالسَّتر، والإستقبال، والطهارة بالضرورة، لأنّها صلاةٌ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الأبعاض النيّة، فتعتبر فيها ما تعتبر في 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نوقش في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شهرة عظيمة اعتبارها</w:t>
      </w:r>
      <w:r>
        <w:rPr>
          <w:rStyle w:val="FootnoteAnchor"/>
          <w:rtl w:val="true"/>
        </w:rPr>
        <w:footnoteReference w:id="827"/>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الراوندي</w:t>
      </w:r>
      <w:r>
        <w:rPr>
          <w:rStyle w:val="FootnoteAnchor"/>
          <w:rtl w:val="true"/>
        </w:rPr>
        <w:footnoteReference w:id="829"/>
      </w:r>
      <w:r>
        <w:rPr>
          <w:rFonts w:ascii="IRNazanin" w:hAnsi="IRNazanin" w:eastAsia="IRNazanin"/>
          <w:color w:val="111111"/>
          <w:sz w:val="28"/>
          <w:sz w:val="28"/>
          <w:szCs w:val="28"/>
          <w:rtl w:val="true"/>
          <w:lang w:bidi="fa-IR"/>
        </w:rPr>
        <w:t>، فالظاهر التزامه بعدم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تكون معرّضة لكونها نافلة، فلابدّ وأن يؤتي بها على وجهٍ يصحّ أن تقع نافلة، ولا يصحّ ذلك إذا لم يُكبّر، إذ لا صلاة بغير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تكون معرّضة لوقوعها جزءً من الصَّلاة، فلابدّ وأن يؤتى بها على وجهٍ يصحّ أن تقع كذلك، ولا يصحّ ذلك إذا كبّر، فإنّه على تقدير النقص تكون </w:t>
      </w:r>
    </w:p>
    <w:p>
      <w:pPr>
        <w:pStyle w:val="BookText"/>
        <w:rPr/>
      </w:pPr>
      <w:r>
        <w:rPr>
          <w:rFonts w:ascii="Amiri" w:hAnsi="Amiri" w:eastAsia="Amiri" w:cs="Amiri"/>
          <w:color w:val="111111"/>
          <w:sz w:val="28"/>
          <w:sz w:val="28"/>
          <w:szCs w:val="28"/>
          <w:rtl w:val="true"/>
          <w:lang w:bidi="ar-SA"/>
        </w:rPr>
        <w:t>التكبيرة زيادة مبطلة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وبخلوّ النصوص الآمرة بها عنها، مع اشتمالها على بيان الفاتحة والتشهّد والتسليم، والمقام مقام البيان، وهذا دليلُ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ستعرف أنّها صلاة مبتدأة، وجبت لأجل احتمال نقص الصَّلاة المشكوك فيها، وعليه فيكون الأمر بها، كما في سائر الموارد التي ورد فيها الأمر بركعتين جالساً أو قائماً، من غير تعرّض للتكبير اعتماداً على وجوبه في كلّ صلاة، لما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بغير افتتاح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فخلوّ المطلقات عنها لا يدلّ على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الإجماع المحكيّ‌</w:t>
      </w:r>
      <w:r>
        <w:rPr>
          <w:rStyle w:val="FootnoteAnchor"/>
          <w:rtl w:val="true"/>
        </w:rPr>
        <w:footnoteReference w:id="830"/>
      </w:r>
      <w:r>
        <w:rPr>
          <w:rFonts w:ascii="Amiri" w:hAnsi="Amiri" w:eastAsia="Amiri" w:cs="Amiri"/>
          <w:color w:val="111111"/>
          <w:sz w:val="28"/>
          <w:sz w:val="28"/>
          <w:szCs w:val="28"/>
          <w:rtl w:val="true"/>
          <w:lang w:bidi="ar-SA"/>
        </w:rPr>
        <w:t>، مع أنّه يدلّ‌عليه خبر</w:t>
      </w:r>
      <w:r>
        <w:rPr>
          <w:rStyle w:val="FootnoteAnchor"/>
          <w:rtl w:val="true"/>
        </w:rPr>
        <w:footnoteReference w:id="831"/>
      </w:r>
      <w:r>
        <w:rPr>
          <w:rFonts w:ascii="Amiri" w:hAnsi="Amiri" w:eastAsia="Amiri" w:cs="Amiri"/>
          <w:color w:val="111111"/>
          <w:sz w:val="28"/>
          <w:sz w:val="28"/>
          <w:szCs w:val="28"/>
          <w:rtl w:val="true"/>
          <w:lang w:bidi="ar-SA"/>
        </w:rPr>
        <w:t>زيد الشّحام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لا يدري أزاد أم نقص، فليُكبِّر وهو جالس، ثمّ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سنده منجبرٌ بعمل الأصحاب، مع أنّ الأمر بالسّلام بضميمة ما دلَّ على أنّ تحليلها التسليم، وتحريمها التكبير، يكفي في الحكم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المتعيّنة كما هو المشهور بين الأصحاب شهرةً عظيمة</w:t>
      </w:r>
      <w:r>
        <w:rPr>
          <w:rStyle w:val="FootnoteAnchor"/>
          <w:rtl w:val="true"/>
        </w:rPr>
        <w:footnoteReference w:id="832"/>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وللأمر بها في النصوص الخاصّة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Style w:val="FootnoteAnchor"/>
          <w:rtl w:val="true"/>
        </w:rPr>
        <w:footnoteReference w:id="833"/>
      </w:r>
      <w:r>
        <w:rPr>
          <w:rFonts w:ascii="Amiri" w:hAnsi="Amiri" w:eastAsia="Amiri" w:cs="Amiri"/>
          <w:color w:val="111111"/>
          <w:sz w:val="28"/>
          <w:sz w:val="28"/>
          <w:szCs w:val="28"/>
          <w:rtl w:val="true"/>
          <w:lang w:bidi="ar-SA"/>
        </w:rPr>
        <w:t>والحلّي</w:t>
      </w:r>
      <w:r>
        <w:rPr>
          <w:rStyle w:val="FootnoteAnchor"/>
          <w:rtl w:val="true"/>
        </w:rPr>
        <w:footnoteReference w:id="834"/>
      </w:r>
      <w:r>
        <w:rPr>
          <w:rFonts w:ascii="Amiri" w:hAnsi="Amiri" w:eastAsia="Amiri" w:cs="Amiri"/>
          <w:color w:val="111111"/>
          <w:sz w:val="28"/>
          <w:sz w:val="28"/>
          <w:szCs w:val="28"/>
          <w:rtl w:val="true"/>
          <w:lang w:bidi="ar-SA"/>
        </w:rPr>
        <w:t>من التخيّير بينها وبين التسبيح، لأنّها قائمة مقام ثالثة أو رابعة، فيثبت فيها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سورة اجماعاً،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لخلوّ النصوص عنها مع تعرّضها للفاتحة، كما لا قنوت لخلوِّ الأخبار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الإخفات في القراءة فيها، لذهاب جماعةٍ إلى تعيّنه، برغم أنّ مقتضى القاعدة التخيّير فيها بين الجهر والإخفات، لإطلاق الأدلّة، وعدم الدليل على تعيّن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هذافي غيرالبسملة، وأمّافيها فيستحبّ‌الجهر، لإطلاق مادلَّ على استحبابه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الصَّلاة هل هي صلاة مستقلّة، كما اختاره ابن إدريس</w:t>
      </w:r>
      <w:r>
        <w:rPr>
          <w:rStyle w:val="FootnoteAnchor"/>
          <w:rtl w:val="true"/>
        </w:rPr>
        <w:footnoteReference w:id="836"/>
      </w:r>
      <w:r>
        <w:rPr>
          <w:rFonts w:ascii="Amiri" w:hAnsi="Amiri" w:eastAsia="Amiri" w:cs="Amiri"/>
          <w:color w:val="111111"/>
          <w:sz w:val="28"/>
          <w:sz w:val="28"/>
          <w:szCs w:val="28"/>
          <w:rtl w:val="true"/>
          <w:lang w:bidi="ar-SA"/>
        </w:rPr>
        <w:t>وجماعة</w:t>
      </w:r>
      <w:r>
        <w:rPr>
          <w:rStyle w:val="FootnoteAnchor"/>
          <w:rtl w:val="true"/>
        </w:rPr>
        <w:footnoteReference w:id="837"/>
      </w:r>
      <w:r>
        <w:rPr>
          <w:rFonts w:ascii="IRNazanin" w:hAnsi="IRNazanin" w:eastAsia="IRNazanin"/>
          <w:color w:val="111111"/>
          <w:sz w:val="28"/>
          <w:sz w:val="28"/>
          <w:szCs w:val="28"/>
          <w:rtl w:val="true"/>
          <w:lang w:bidi="fa-IR"/>
        </w:rPr>
        <w:t>، ومعنى استقلالها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حكمة تشريع هذه الصَّلاة، جبرها النقص الواقع في الصَّلاة الأصليّة بملاكها، كما أنّ حكمة تشريع الرواتب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وظيفة المكلّف انقلبت إلى صلاتين مستقلّتين، وهما الصَّلاة البنائيّة، والصلاة الاحتياطيّة، ولا ترتبط إحداهما بالاُخرى إلّامن جهة وحدة التكليف، نظير صلاة جعفر عليه السلام فيكون الجابر نفسها لا ملاكها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تكون جزءً للصلاة الأصليّة، بمعنى انقلاب الصَّلاة الرباعيّة من كيفيّةٍ‌إلى كيفيّة اُخرى من جهة زيادة التكبيرة، وتعيّن الفاتحة وغير ذلك، كما نُسب إلى ظاهر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الأكثر أو المشهور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تكون متوسطة بين الجزئيّة والاستقلال، بمعنى أنّ التكليف على حسب جعله الأوّلي يكون باقياً في الذمّة، إلّاأنّ الإتيان بصلاة الاحتياط على تقدير النقص تُجزي عن الرّكعة المتّصلة الباقية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المصنّف رحمه الله، وولده</w:t>
      </w:r>
      <w:r>
        <w:rPr>
          <w:rStyle w:val="FootnoteAnchor"/>
          <w:rtl w:val="true"/>
        </w:rPr>
        <w:footnoteReference w:id="839"/>
      </w:r>
      <w:r>
        <w:rPr>
          <w:rFonts w:ascii="Amiri" w:hAnsi="Amiri" w:eastAsia="Amiri" w:cs="Amiri"/>
          <w:color w:val="111111"/>
          <w:sz w:val="28"/>
          <w:sz w:val="28"/>
          <w:szCs w:val="28"/>
          <w:rtl w:val="true"/>
          <w:lang w:bidi="ar-SA"/>
        </w:rPr>
        <w:t>، والمحقّق النائينى رحمه الله</w:t>
      </w:r>
      <w:r>
        <w:rPr>
          <w:rStyle w:val="FootnoteAnchor"/>
          <w:rtl w:val="true"/>
        </w:rPr>
        <w:footnoteReference w:id="840"/>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الأوّل لأنّه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على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التكليف الواقعي بإتيان الرّكعة الرابعة متّصلة على تقدير النقص، مع عدم جواز الإتيان بها كذلك، ممّا لا يمكن الالتزام به، فلا محالة يكون التكليف منقلباً، فيدور الأمر بين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الآمرة بالبناء على الأكثر، والخروج عن الصَّلاة بالتسليم، ثمّ الأمر بالقيام والصَّلاة ركعة أو ركعتين كونها صلاة مبتدأة، لا كونها جزءاً للصلاة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الثمرة المترتّبة على هذا النزاع، إنّما هو إخلال المنافي وعدمه، وفيه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حرمته لا وضعاً ولا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حرمته كذلك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حرمته تكليفاً لا 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لأنّه بعد كونها صلاة مستقلّة، لا وجه لحرمة المنافي بينها وبين الصَّلاة الأصليّة، كما لا وجه لوجوب 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يصبح حراماً بناءً على كونها جزءً‌، إلّاأنّه عرفت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كما ادّعاه الشهيد الثاني</w:t>
      </w:r>
      <w:r>
        <w:rPr>
          <w:rStyle w:val="FootnoteAnchor"/>
          <w:rtl w:val="true"/>
        </w:rPr>
        <w:footnoteReference w:id="84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ابن أبي يعفور</w:t>
      </w:r>
      <w:r>
        <w:rPr>
          <w:rStyle w:val="FootnoteAnchor"/>
          <w:rtl w:val="true"/>
        </w:rPr>
        <w:footnoteReference w:id="842"/>
      </w:r>
      <w:r>
        <w:rPr>
          <w:rFonts w:ascii="Amiri" w:hAnsi="Amiri" w:eastAsia="Amiri" w:cs="Amiri"/>
          <w:color w:val="111111"/>
          <w:sz w:val="28"/>
          <w:sz w:val="28"/>
          <w:szCs w:val="28"/>
          <w:rtl w:val="true"/>
          <w:lang w:bidi="ar-SA"/>
        </w:rPr>
        <w:t>الدالّ على أن التكلّم بين الصَّلاة الأصليّة وصلاة الاحتياط موجبٌ لسجود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حجيّة الإجماع المنقول، لا سيّما مع معلوميّة مدرك المجمعين، فإنّ من أفتى بالإخلال إنّما استند إلى كون صلاة الاحتياط جزءً للصلاة البنائيّة، ولا أقلّ من احتمال استنادهم إلى ذلك، وقد عرفت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فلإحتمال أن يكون المراد به التكلّم في أثناء صلاة الاحتياط، لا فيهما بينها وبين الصَّلاة البنائيّة،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إنّما تضمّنت ترتّب صلاة الاحتياط بالفاء، ففي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ركعتين، فقُم واركع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لزوم تعقّبها بلا تخلّلٍ بينهما، وإنْ كان الآن الواقع بينهما خارجاً عن الصلاتين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المدّعى، لأنّه لا ينافي مع التكلّم في ضمن القيام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الفاء إنّما تكون فاء الجزاء لا العطف، وهي تقتضي ترتّب الطلب على الشرط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بحسب الأدلّة، ما قوّاه الشيخ الأعظم رحمه الله</w:t>
      </w:r>
      <w:r>
        <w:rPr>
          <w:rStyle w:val="FootnoteAnchor"/>
          <w:rtl w:val="true"/>
        </w:rPr>
        <w:footnoteReference w:id="843"/>
      </w:r>
      <w:r>
        <w:rPr>
          <w:rFonts w:ascii="Amiri" w:hAnsi="Amiri" w:eastAsia="Amiri" w:cs="Amiri"/>
          <w:color w:val="111111"/>
          <w:sz w:val="28"/>
          <w:sz w:val="28"/>
          <w:szCs w:val="28"/>
          <w:rtl w:val="true"/>
          <w:lang w:bidi="ar-SA"/>
        </w:rPr>
        <w:t>من عدم بطلانها بإيقاع المنافي بين الصّلاتين، إلّاأنّ الاحتياط بالإعادة بعد الإتيان بصلاة الاحتياط في هذا المورد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قوّيناه، لو زاد فيها ما يوجبُ بطلانها، كزيادة الرّكعة أو الرّكن فبرغم اطّراد أدلّة البطلان لكنّها لا تقتضي إعادة الصَّلاة، بل لابدَّ من إعادتها فقط، بخلاف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إتيان صلاة الاحتياط بعد العلم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الشكّ بعد الوقت المضروب لها، وهو وقت الفريضة المشكوك فيها، لا يعتني به، لعموم ما دلَّ على أنّ الوقت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 الدخول في الغير المترتّب الشرعي، وقبل الإتيان بالمنافي أتى بها، وقد تقدّم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لا يدلّ على عدم الاعتناء بالشكّ في أصل وجود صلاة الاحتياط</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لو كان بعد الإتيان بالمنافي، بناءً على ما اخترناه في المقام من عدم مبطليّة المنافي الواقع بينها وبين الصَّلاة الأصليّة، وما حقّقناه في مبحث قاعدة التجاوز</w:t>
      </w:r>
      <w:r>
        <w:rPr>
          <w:rStyle w:val="FootnoteAnchor"/>
          <w:rtl w:val="true"/>
        </w:rPr>
        <w:footnoteReference w:id="845"/>
      </w:r>
      <w:r>
        <w:rPr>
          <w:rFonts w:ascii="Amiri" w:hAnsi="Amiri" w:eastAsia="Amiri" w:cs="Amiri"/>
          <w:color w:val="111111"/>
          <w:sz w:val="28"/>
          <w:sz w:val="28"/>
          <w:szCs w:val="28"/>
          <w:rtl w:val="true"/>
          <w:lang w:bidi="ar-SA"/>
        </w:rPr>
        <w:t>، من عدم جريانها عند الشكّ في الوجود، ما لم يتجاوز عن المحلّ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 وأنّ التجاوز عن المحلّ العادي لا يفيد،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دخل في الغير المترتّب الشرعي، لم يلتفت اليه،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يعدّ الدخول في صلاة العصر، إذا كان المشكوك فيها صلاة الاحتياط الواجبة للشكّ في صلاة الظهر دخولاً في المترتّب الشرعي أم لا؟</w:t>
      </w:r>
    </w:p>
    <w:p>
      <w:pPr>
        <w:pStyle w:val="BookText"/>
        <w:rPr/>
      </w:pPr>
      <w:r>
        <w:rPr>
          <w:rFonts w:ascii="Amiri" w:hAnsi="Amiri" w:eastAsia="Amiri" w:cs="Amiri"/>
          <w:color w:val="111111"/>
          <w:sz w:val="28"/>
          <w:sz w:val="28"/>
          <w:szCs w:val="28"/>
          <w:rtl w:val="true"/>
          <w:lang w:bidi="ar-SA"/>
        </w:rPr>
        <w:t>كلامٌ تقدّم تحقيقه في الفصل الأوّل من فصول الشكّ‌، فراجع</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ولو شكّ المصلّي في عدد ركعاتها، بني على انصراف الأدلّة عن مثله، لما تقدّم عند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صلاة اُخرى قبل الإتيان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عن عمدٍ أو عن 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عن عمدٍ، فان كانت تلك الصَّلاة مترتّبة على الصَّلاة الأصليّة، بطلت ما شرع فيها، لأنّ صلاة الاحتياط برغم أنّها صلاة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لكونها تابعة للصلاة الأصليّة، تكون بحكمها في الترتيب،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فعلى القول بعدم إخلال المنافي، الواقع بين الصَّلاة الأصليّة وصلاة الاحتياط، عليه القيام بصلاة الاحتياط، وتتمّ صلاته الأُولى‌، وعلى القول بالإخلال تبطل ولابدّ من إعادة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ذلك في سعة الوقت، وأمّا لو كان في المضيّق، صحّت صلاته الاُخرى التي شرع فيها،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غير مترتّبة عليها، صحّت الصّلاة التي قام بها إلّاعلى القول بحرمة المنافي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عن سهو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شرع فيها مترتّبة على الصَّلاة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غير 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فإنْ تذكّر قبل الدخول في الرّكن قطعها وأتى بصلاة الاحتياط، وإن تذكّر بعد الدخول فيه ففيها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العدول منها إلى صلاة الإحتياط، إنْ كان محلّ العدول باقياً، وإلّا فيتمّ ما بيده وتصحّ‌، ثمّ يأتي بصلاة الاحتياط أو الصَّلاة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الصَّلاة التي بيده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صحّتها إذا كان في المضيّق، وبطلانها إذا كان في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كان محلّ العدول باقياً، فمقتضى أدلّته هو ذلك، وإلّا 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الدالّ على أنّ الترتيب شرطٌ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ما بيده، وبعد إتمامها فإنْ بنينا على أنّ المنافي بين صلاة الاحتياط والصَّلاة الأصليّة يخلّ بها، وبنينا على عدم جواز إقحام الصَّلاة في الصَّلاة، لزم إعادة الأصليّة، وإلّا فيأتي بصلاة الاحتياط، ويُتمّ صلاته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من صلاة إلى اُخرى إنّما يكون على خلاف القاعدة، كما عرفته في المباحث السابقة من هذا الشرح، والأدلّة الواردة فيه لا تشمل المقام، فلا وجه للعدول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سقوط شرطيّة المنسيّ في خصوص الأجزاء السابقة التي أتي بها في حال النسيان، وأمّا بالنسبة إلى ما يؤتى به بعد الالتفات، فلا يدلّ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الترتيب إنّما يدلّ على اعتباره بين جميع أجزاء الصلاتين، بمعنى أنّه يعتبر وقوع الثانية بما لها من الأجزاء بأجمعها بعد الأُولى‌، وعليه فالأجزاء الباقية التي يؤتى بها قبل صلاة الاحتياط عمداً لا دليل على صحّتها، فضلاً عن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وجهاً للأوّل في صورة مُضيّ محلّ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ما أوردناه ثانياً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في السِّعة بطلت الصَّلاة التي بيده، لفقد الترتيب،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المضيّق، صحّت صلاته لسقوط شرطيّته في هذه الحال، وبعد تماميّتها يأتي بصلاة الاحتياط، بناءً على عدم إخلال المنافي، وأمّا بناءً على إخلاله فيأتي بالأصليّة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الثانية حيث لم يؤت بها بقصد أنّها من الصَّلاة الأُولى‌، فلا تصدق الزيادة عليها، فلا وجه لبطلان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خصوص الرّكوع والسّجود لا يعتبر في مبطليّتهما إتيانهما بقصد أنّهما من أجزاء الصَّلاة، كما عرفته مفصّلاً، سواءٌ أتى بهما مستقلّاً أم في ضمن صلاة اُخرى‌، وعلى ذلك بنينا على عدم جواز إقحام الصَّلاة في الصَّلاة ولو نسياناً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تذكّر ذلك بعد الدخول في الرّكن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قلنا بحرمة المنافي بين الصَّلاة الأصليّة، وصلاة الاحتياط تكليفاً وعدمها وضعاً، وكان من جملة الأجزاء الباقية ما هو من الأركان، بطلت الصَّلاة التي بيده، لحرمة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الرّكن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تكليفاً، والنهي عن العبادة يوجبُ فسادها، فيقطعها ويتمّ صلاته السابقة بإتيان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حرمته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بإخلال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بجواز إقحام الصَّلاة في الصَّلاة، يتخيّر في المقام بين إتمام ما بيده، ثمّ الإتيان بصلاة الاحتياط، وبين الإتيان بصلاة الاحتياط في أثنائها ثمّ إتمامها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القول بعدم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التذكّر قبل الدخول في الرّكن قطعها، وأتى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فحيثُ أنّ الأُولى بطلت بذلك، عليه أن يتمّ ما بيده ثمّ يستأنف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تماميّة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ذلك بعد صلاة الاحتياط، يحسب صلاة الاحتياط نافلةً‌، كما هو صريح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قبلها لا يجبُ عليه الإتيان بها، لأنّ وجوب الإتيان حكمٌللشاكّ‌، ووظيفة ظاهريّة مجعولة في ظرف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ذلك في الأثناء، جاز قطعها لكونها نافلة وإتمامها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اختار الإتمام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يتعيّن ضَمّ ركعة اُخرى إليها إن كانت ركعة واحدة كما ذهب إليه </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يجوز إتمامها ركعةً كما نُسب إلى المحقّق النائيني رحمه الله</w:t>
      </w:r>
      <w:r>
        <w:rPr>
          <w:rStyle w:val="FootnoteAnchor"/>
          <w:rtl w:val="true"/>
        </w:rPr>
        <w:footnoteReference w:id="84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لا تشرع النافلة ركعةً إلّاالوتر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دليل الاحتياط المتضمّن لوقوعها نافلةً على تقدير تماميّة الصَّلاة، يدلّ على مشروعيّتها في المقام، وعليه فالأظهر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تذكّر نقص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النقص المحتمل، كما لو شكّ بين الثَّلاث والأربع فظهر أنّها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النقص أزيد ممّا كان محتملاً، كما لو شكّ بين الثَّلاث والأربع، فتبيّن كونها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النقص أقلّ من المحتمل، كما لو شكّ بين الإثنتين والأربع فبنى على الأربع، ثمّ تبيّن كون صلاته ثلاث ركعات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ظهور الحال بعد إتيان صلاة الاحتياط، فلا إشكال في الصحّة، سواءٌ أكانت صلاة الاحتياط مخالفة مع الصَّلاة الأصليّة في الكمّوالكيف معاً، أو في الكيف وحده، أم لم تكن كذلك، ومن غير فرقٍ بين تخلّل صلاة الاحتياط غير المحتاج إليها بين الأصليّة وصلاة الاحتياط، كما إذا شكّ بين الاثنتين والثَّلاث والأربع، فبنى على الأربع، وأتى بركعتين قائماً وركعتين جالساً مع تقديمه القيامي، ثمّ تبيّن كونها ثلاث ركعات، والوجه في ذلك التصريح به في النصوص، ومقتضى إطلاقها عدم الفرق بين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ذلك قبل الإتيان بصلاة الاحتياط ففيه أقوالٌ ووجوه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بطلان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صحّتها ووجوب الإتيان بصلاة الاحتياط، كما لو لم يظهر النقص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صحّتهاولزوم الإتيان بالنقص متّصلاً، وعدم جواز الإتيان بصلاة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القاعدة الأوّليّة، بطلان الصَّلاة بوقوع السَّلام في غير محلّه سهواً، لمن سلّم في غير الأخيرة، إذ السَّهو ابتداءً يقع عن الرّكعة الأخيرة لا السَّلام في الثالثة مثلاً، وحيث أنّ السَّهو عن الرّكعة غير مغتفر، لكونها من عقد المستثنى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الدالّ على تدارك الرّكعة المنسيّة إذا سَلّم في غير الأخيرة لا يشمل المقام، لأنّ مورده ما إذا سَلّم في غير الأخيرة عن سهو، وفي المقام السَّلام يقع عمداً وبحكم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القاعدة هي الصحّة، لأنّ ما دلَّ على بطلان الصَّلاة بالسهو عن الرّكعة، لا يدلّ على مبطليّة السَّهو من حيث هو، بل إنّما يدلّ على أنّ نقص الصَّلاة عنها يوجبُ البطلان، وبما أنّ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السَّلام عن لحوق الرّكعة الأخيرة بالركعات السابقة، فلو أتى بها متّصلة لما كان وجه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إنّ النّص المُشار إليه، يدلّ على عدم البطلان في المقام بطريق أولى‌، إذ السَّلام الواقع خطأً واشتباها بتخيّل تماميّة الصَّلاة، إذا لم يوجب البطلان، فما يقع بأمرٍ من الشارع أولى منه بذلك، فالأظهر أنّه لا تبطل الصَّلاة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موضوع وجوب البناء على الأكثر، والإتيان بصلاة الاحتياط، ليس هو الشكّ المستمرّ، وإلّا لزم القول بأنّ من لم يعلم أنّ شكّه يستمرّ أو يزول، ليس له البناء على الأكثر، والمُضيّ في صلاته، وهو بديهي الفساد، وعليه فالموضوع متحقّقٌ ولابدَّ من ترتيب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استصحاب بقاء وجوب صلاة الاحتياط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ظهور كلّ دليلٍ في دوران الحكم الذي تضمّنه وجوداً وعدماً مدار وجود ما اُخذ موضوعاً له في ذلك الدليل وجوداً وعدماً، حدوثاً وبقاءً‌، وليس لازم ذلك ما ذكر، فإنّه في الفرض يجري استصحاب بقاء الشكّ‌، بناءً على ما هو الحقّ من جريان الاستصحاب في الاُمور الاستقباليّة إذا كان يترتّب عليه الأثر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المختار عدم جريان الاستصحاب في الأحكام الكليّة، أنّه لا يجري في المقام، لتبدّل الموضوع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 الأقوى هو القول الثالث، هذا إذا لم يكن آتياً بما يبطل الصَّلاة مطلق وجوده، وإلّا فالأظهر هو البطلان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في الأثناء، فليس له إتمام صلاة الاحتياط بهذا العنوان، لما عرفت من أنّ هذا الحكم موضوعه الشكّ‌، ومع تبدّله لا معنى لبقائه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فبناءً على ما اخترناه من أنّ صلاة الاحتياط صلاة مستقلّة، لا يمكن جعلها تمام الصَّلاة الأصليّة، وإن كانت موافقة للنقص في الكمّ والكيف، إذ أجزاء ما أتى به بعنوان صلاة عن صلاة اُخرى يحتاج إلى دليل مفقود، إذ الدليل إنّما دلَّ على الإجزاء لو ظهر بعد تماميّة صلاة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وإن كانت صلاة مبتدأة، إلّاأنّها لمّا شُرّعت لجبر نقص الصَّلاة، كان المأتي به مُجزئاً عن الصَّلاة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التزمنا بالجبر من جهة تبدّل الحكم الواقعي في ظرف الشكّ‌، فإذا فرضنا انقلابه إلى الحكم الأوّل، فالإجزاء يحتاج إلى دليل، فيتعيّن رفع اليد عنها، فحينئذٍ إن أتى بالركن بطلت صلاته الأصليّة، وإلّا فإن أتى بالمنافي العمدي والسَّهوي بين صلاة الاحتياط والأصليّة فكذلك، وإلّا فيأتي بالأجزاء الباقية من صلاته الأصليّة وتصحّ صلاته، وما أتى به من الزيادات من التسليم والتكبير والقراءة بما أنّها ليست عمديّة، لا تكون مبطلة للصلاة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تذكّر النقص أزيد ممّا كان محتملاً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التذكّر قبل صلاة الاحتياط، أو في أثنائها، فالحكم ما ذُكر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بعد صلاة الاحتياط، فالأظهر بطلان صلاته، إذ تدارك النقص غير ممكن، للفصل بصلاة الاحتياط المتضمّنة لما يوجب مطلق وجوده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بجواز إقحام الصَّلاة في الصَّلاة، لا مانع من ذلك، لكن عرفت ضعف المبنى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جعل صلاة الاحتياط جُزءاً من الصَّلاة، وإتمامها بوصل ركعةً اُخرى إليها، فلايمكن قبوله على المختار من أنّها صلاة مستقلّة، إذ وقوع ما أتى به بعنوان صلاةٍ جزءاً لصلاة اُخرى يحتاج إلى دليلٍ مفقود، فلا مناص عن الحكم ببطلان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ذكرناه ظهر حكم الصورة الثالثة، فلا وجه للإعادة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حكم الشكّ في عدد ركعاتها، وأمّا لو شكّ في أفعالها فحكمه حكم الشكّ في أفعال الصَّلاة في سائر الموارد، لما تقدّم من أنّقوله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يختصّ بالشكّ في ركعاتها، وكذلك في السَّهو الموجب لسّجدة السَّهو</w:t>
      </w:r>
      <w:r>
        <w:rPr>
          <w:rFonts w:eastAsia="Amiri" w:cs="Amiri" w:ascii="Amiri" w:hAnsi="Amiri"/>
          <w:color w:val="111111"/>
          <w:sz w:val="28"/>
          <w:szCs w:val="28"/>
          <w:rtl w:val="true"/>
          <w:lang w:bidi="ar-SA"/>
        </w:rPr>
        <w:t>.</w:t>
      </w:r>
      <w:bookmarkStart w:id="476" w:name="pg11801_108311"/>
    </w:p>
    <w:p>
      <w:pPr>
        <w:pStyle w:val="Heading6"/>
        <w:numPr>
          <w:ilvl w:val="5"/>
          <w:numId w:val="1"/>
        </w:numPr>
        <w:rPr/>
      </w:pPr>
      <w:bookmarkStart w:id="477" w:name="__RefHeading___Toc10507068_73709187"/>
      <w:bookmarkStart w:id="478" w:name="_Toc182"/>
      <w:bookmarkEnd w:id="476"/>
      <w:bookmarkEnd w:id="477"/>
      <w:r>
        <w:rPr>
          <w:rtl w:val="true"/>
        </w:rPr>
        <w:t>في قضاء الأجزاء المنسيّة</w:t>
      </w:r>
      <w:bookmarkEnd w:id="478"/>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الأجزاء المنسيّة الّتي يجب قضاؤها، وهي التشهّد والسَّجدة الواحدة، وقد تقدّم في أحكام السَّهو جملة من أحكامهما، وبقي جملةٌ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فيهما جميع ما يعتبر في سجود الصَّلاة وتشهّدها، من الطهارة، والاستقبال، وسَتر العورة ونحوها، بلا خلافٍ‌، إذ الظاهر من أدلّة قضائهما لزوم موافقة القضاء مع الأداء في الكيفيّة والأجزاء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اعتبار الذِّكر في السّجدة، والشهادتين، والصَّلاة على محمّد وآله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أنّه لو تخلّل المنافي بين الصَّلاة وبينهما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يُخلّ وجوده مطلقاً؟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يُخلّ كذلك‌؟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وقوعه قبل التذكّر فلا يضرّ، وبين ما إذا وقع بعده فيضر؟</w:t>
      </w:r>
    </w:p>
    <w:p>
      <w:pPr>
        <w:pStyle w:val="BookText"/>
        <w:rPr/>
      </w:pPr>
      <w:r>
        <w:rPr>
          <w:rFonts w:ascii="Amiri" w:hAnsi="Amiri" w:eastAsia="Amiri" w:cs="Amiri"/>
          <w:color w:val="111111"/>
          <w:sz w:val="28"/>
          <w:sz w:val="28"/>
          <w:szCs w:val="28"/>
          <w:rtl w:val="true"/>
          <w:lang w:bidi="ar-SA"/>
        </w:rPr>
        <w:t>وجوه وأقوال أظهرها الثاني، وذلك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غاية ما يدلّ عليه الدليل، وجوب الإتيان بالمنسيّ‌، وهو كما يُلائم مع الجزئيّة، يلائم مع كون قضاء الجزء أمراً خارجاً عن الصَّلاة، موجباً لحصول ملاك المنسيّ‌، وعليه فلا دليل على إخلال المنافي، والأصل عدمه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سُلّم جزئيّتهما، ولكن حيثُ أنّ الشارع الأقدس جعل محلّهما بعد الفراغ من الصَّلاة، فمقتضى إطلاق أدلّة مُخرجيّة السَّلام ومُحلّليّته عدم إخلال المنافي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 عمّار، عن الإمام الصادق عليه السلام في نسيان 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يذكر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إذا ذكر</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محمّد بن مسلم، الوارد في نسيان التشهّد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إنْكان قريباً رَجَع إلى مكانه فتشهّد، وإلّا طلب مكاناً نظيفاً فتشهّد فيه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عدم الاستفصال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قضائهما ولو مع الفصل الطويل أو الفعل الكثير الماحي لصورة الصَّلاة، بل لا يبعد دلالته بما هو أعلى من الظهور، إذ من البعيد جدّاً عدم صدور المنافي في المورد ين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الأجزاء المنسيّة لم تخرج عن الجزئيّة بسبب النسيان، بل تتأخّر موضعها، فالمنافي الواقع بينها وبين الصَّلاة، واقعٌ في أثناء الصَّلاة فيوجب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الوجهين الأولين للمختار، بل الثالث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الفخر</w:t>
      </w:r>
      <w:r>
        <w:rPr>
          <w:rStyle w:val="FootnoteAnchor"/>
          <w:rtl w:val="true"/>
        </w:rPr>
        <w:footnoteReference w:id="853"/>
      </w:r>
      <w:r>
        <w:rPr>
          <w:rFonts w:ascii="Amiri" w:hAnsi="Amiri" w:eastAsia="Amiri" w:cs="Amiri"/>
          <w:color w:val="111111"/>
          <w:sz w:val="28"/>
          <w:sz w:val="28"/>
          <w:szCs w:val="28"/>
          <w:rtl w:val="true"/>
          <w:lang w:bidi="ar-SA"/>
        </w:rPr>
        <w:t>وجماعة، فقد استدلّ له بأنّه مقتضى الجمع بين صدر الموثّق المتقدّم في رجلٍ يَنسى سجدةً فيذكرها بعدما ركع، حيث حكم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في صلاته ولا يسجد، فإذا سَلّم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وذيله المتقدّم، بدعوى أنّ ظاهر الصدر كون ما يأتي به بعد السَّلام جزءً للصّلاة، لظهور الأمر المتعلّق بالجزء أو الشرط في المركّب الاعتباري في الوجوب الوضعي، ولازم ذلك إخلال المنافي، إلّاأنّ ذيله يدلّ على عدم البأس فيما إذا كان التذكّر بعد تخلّل المنافي،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فالجمع بينهما يقتضي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الوجه الثاني للمختار، فراجع</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وعليه، فالأظهر عدم إخلال المنافي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عليه صلاة الاحتياط، وقضاء الأجزاء المنسيّة، فهل يتعيّن تقديم الاحتياط، أم يتخيّر في تقديم أيّهما شاء؟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القضاء إنّما تدلّ على القضاء بعد الفراغ من الصَّلاة، وهو إنّما يكون بعد صلاة الاحتياط، فإنّه لو أتى بها قبل صلاة الاحتياط، لم يَحرز وقوعها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النصوص، أنّ محلّ قضائها بعد السَّلام المخرج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فبناءً على المختار من أنّ صلاة الاحتياط صلاة مبتدأة، لا مانع من الإتيان بها بعد السَّلام من الصَّلاة البنائيّة، من غير فرقٍ بين القول بإخلال المنافي الواقع بين الصَّلاة البنائيّة والاحتياطيّة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الأجزاء المأتي بها في محالّها بأمر من الشارع، لا يوجب البطلان،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نسي قضاء الجزء المنسيّ حتّى دخل في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أجزاء الصَّلاة لكن تأخّر موضعه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المنسيّ هو التشهّد، أتى به في أثناء صلاة العصر، ولا يوجب ذلكد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بطلانها، لعدم صدق الزيادة عليه، لعدم الإتيان به بقصد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هي السّجدة، فحيثُ أنّها مطلق وجودها زيادة في المكتوبة، فلو أتى بها بطلت صلاة العصر، وحيث أنّ مقتضى أدلّة الترتيب، لزوم إيقاع العصر بعد صلاة الظهر بجميع أجزائها، منها هذه السّجدة، فما مضى من أجزاء العصر وإن وقعت صحيحةً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إلّاأنّ الأجزاء الباقية، حيثُ تقع قبل جزءٍ من أجزاء الظهر عمداً، فلا محالة تكون فاسدة، فيتعيّن رفع اليد عنها وقضاؤها، ثمّ إعادة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المنسيّ هو التشهّد، تخيّر بين الإتيان به في الأثناء، والإتيان به بعد تماميّة العصر، إلّاإذا قلنا بوجوب المبادرة إلى قضائه تكليفاً، فإنّه يتعيّن عليه حينئذٍ الإتيان به في الأثناء، ولو عصى وأتمّ صلاته تمّت، إذ الأمر بالشيء لا يقتضي النهي عن ضدّه، بل هو أيضاً مأمور به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هي السّجدة، فعلى القول بوجوب المبادرة، يتخيّر بين قطع الصَّلاة والإتيان بها، وبين أن يأتي بها بعد الصَّلاة، للتزاحم بين الواجبتين مع عدم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وجوب المبادرة، فيتعيّن إتمام العصر ثمّ قضاؤها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تعدّد المنسيّ من السّجدة أو التشهّد، ووجب الإتيان به مرّتين، لا يجب ملاحظة الترتيب، بأنْ يقضي أوّلاً ما فات أوّلاً، إذ ترتّب الأجزاء الفائته في المحلّ‌، لا يلازم ترتّبها خارج المحلّ‌، لا سيّما بناءً على عدم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الوجوب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القول به، لا يوجب السّبق في الامتثال بعد اشتراكهما في زمان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بعدم لزومه أيضاً، لأنّ لزوم التعيّين فرع التعيّن واقعاً، والمفروض في المقام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المتعدّدة المتّحدة حقيقتها، التي يكون تعدّدها بلحاظ تعدّد الوجود فقط، كما فيما نحن فيه، حيث أنّه لا امتياز بين أفرادهما، فلا يعتبر التعيين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تعدّد الأمر وتعدّد المأمور به، فلو أتى بسجدة واحدة، فحيث أنّها صالحة لوقوعها امتثالاً لكلٍّ من الأمرين، فإنّ سقوط كليهما بذلك غير ممكن، كما أنّ سقوط أحدهما المعيّن دون الآخر ترجيحٌ بلا مرجّح، وأحدهما لا بعينه لا ماهيّة له ولا وجود، فلا محالة لا تقع امتثالاً لشيءٍ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فيعتبر التعيين كي يمكن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امكانه لعدم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التعيّن الخارجي غير الدخيل في متعلّق الأمر موجودٌ، فإنّه يمكن أن يعيّن المبدّل منه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لزوم التعيين دون الترتيب</w:t>
      </w:r>
      <w:r>
        <w:rPr>
          <w:rFonts w:eastAsia="Amiri" w:cs="Amiri" w:ascii="Amiri" w:hAnsi="Amiri"/>
          <w:color w:val="111111"/>
          <w:sz w:val="28"/>
          <w:szCs w:val="28"/>
          <w:rtl w:val="true"/>
          <w:lang w:bidi="ar-SA"/>
        </w:rPr>
        <w:t>.</w:t>
      </w:r>
      <w:bookmarkStart w:id="479" w:name="pg11801_108316"/>
    </w:p>
    <w:p>
      <w:pPr>
        <w:pStyle w:val="BookText"/>
        <w:rPr/>
      </w:pPr>
      <w:bookmarkEnd w:id="479"/>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موجبات سجود السّهو</w:t>
      </w:r>
    </w:p>
    <w:p>
      <w:pPr>
        <w:pStyle w:val="Heading6"/>
        <w:numPr>
          <w:ilvl w:val="5"/>
          <w:numId w:val="1"/>
        </w:numPr>
        <w:rPr/>
      </w:pPr>
      <w:bookmarkStart w:id="480" w:name="__RefHeading___Toc10507070_73709187"/>
      <w:bookmarkStart w:id="481" w:name="_Toc183"/>
      <w:bookmarkEnd w:id="480"/>
      <w:r>
        <w:rPr>
          <w:rtl w:val="true"/>
        </w:rPr>
        <w:t>في سجود السَّهو</w:t>
      </w:r>
      <w:bookmarkEnd w:id="481"/>
    </w:p>
    <w:p>
      <w:pPr>
        <w:pStyle w:val="Heading6"/>
        <w:numPr>
          <w:ilvl w:val="5"/>
          <w:numId w:val="1"/>
        </w:numPr>
        <w:rPr/>
      </w:pPr>
      <w:bookmarkStart w:id="482" w:name="__RefHeading___Toc10507072_73709187"/>
      <w:bookmarkStart w:id="483" w:name="_Toc184"/>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 السَّهو</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0507074_73709187"/>
      <w:bookmarkStart w:id="485" w:name="_Toc185"/>
      <w:bookmarkEnd w:id="484"/>
      <w:r>
        <w:rPr>
          <w:rtl w:val="true"/>
        </w:rPr>
        <w:t>مسائل</w:t>
      </w:r>
      <w:r>
        <w:rPr>
          <w:rtl w:val="true"/>
        </w:rPr>
        <w:t>:</w:t>
      </w:r>
      <w:bookmarkEnd w:id="485"/>
    </w:p>
    <w:p>
      <w:pPr>
        <w:pStyle w:val="Heading6"/>
        <w:numPr>
          <w:ilvl w:val="5"/>
          <w:numId w:val="1"/>
        </w:numPr>
        <w:rPr/>
      </w:pPr>
      <w:bookmarkStart w:id="486" w:name="__RefHeading___Toc10507076_73709187"/>
      <w:bookmarkStart w:id="487" w:name="_Toc18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فيها يتحقّق بالبحث في مسائل</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0507078_73709187"/>
      <w:bookmarkStart w:id="489" w:name="_Toc187"/>
      <w:bookmarkEnd w:id="488"/>
      <w:r>
        <w:rPr>
          <w:rtl w:val="true"/>
        </w:rPr>
        <w:t>في موجبات سجود السّهو</w:t>
      </w:r>
      <w:bookmarkEnd w:id="489"/>
    </w:p>
    <w:p>
      <w:pPr>
        <w:pStyle w:val="Heading6"/>
        <w:numPr>
          <w:ilvl w:val="5"/>
          <w:numId w:val="1"/>
        </w:numPr>
        <w:rPr/>
      </w:pPr>
      <w:bookmarkStart w:id="490" w:name="__RefHeading___Toc10507080_73709187"/>
      <w:bookmarkStart w:id="491" w:name="_Toc188"/>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موجباته، وهي اُمور</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10507082_73709187"/>
      <w:bookmarkStart w:id="493" w:name="_Toc189"/>
      <w:bookmarkEnd w:id="492"/>
      <w:r>
        <w:rPr>
          <w:rtl w:val="true"/>
        </w:rPr>
        <w:t>الكلام غير العمدي</w:t>
      </w:r>
      <w:bookmarkEnd w:id="493"/>
    </w:p>
    <w:p>
      <w:pPr>
        <w:pStyle w:val="BookText"/>
        <w:rPr/>
      </w:pPr>
      <w:r>
        <w:rPr>
          <w:rFonts w:ascii="Amiri" w:hAnsi="Amiri" w:eastAsia="Amiri" w:cs="Amiri"/>
          <w:color w:val="111111"/>
          <w:sz w:val="28"/>
          <w:sz w:val="28"/>
          <w:szCs w:val="28"/>
          <w:rtl w:val="true"/>
          <w:lang w:bidi="ar-SA"/>
        </w:rPr>
        <w:t>الموجب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غير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الأصحاب</w:t>
      </w:r>
      <w:r>
        <w:rPr>
          <w:rStyle w:val="FootnoteAnchor"/>
          <w:rtl w:val="true"/>
        </w:rPr>
        <w:footnoteReference w:id="856"/>
      </w:r>
      <w:r>
        <w:rPr>
          <w:rFonts w:ascii="Amiri" w:hAnsi="Amiri" w:eastAsia="Amiri" w:cs="Amiri"/>
          <w:color w:val="111111"/>
          <w:sz w:val="28"/>
          <w:sz w:val="28"/>
          <w:szCs w:val="28"/>
          <w:rtl w:val="true"/>
          <w:lang w:bidi="ar-SA"/>
        </w:rPr>
        <w:t>كونه منها، وعن غير واحدٍ دعوى الإجماع عليه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المتضمّنة لما ادّعي من أنّ النبيّ صلى الله عليه و آله سهى يوماً وسَلّم في الرّكعة الخامسة، وسألوه عن ذلك، وتكلّم معهم، ثمّ سجد السّجدتين بعد إتمام الصَّلاة لمكان الكلام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مخالفة لاُصول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ولمادلّ‌على أنّه صلى الله عليه و آله لم يَسجُدسجدتي السَّهو، ولم يَسجدهما فقيه أي الإمام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استدلّ له بموثّق عمّار الآتي في الموجب الثاني حيث ورد فيه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بالتكلم فيه بقرينة ما ورد في صدره، هو الإتيان بشيء من أجزاء الصَّلاة لا الكلام الآدمي، ولا أقلّ من احتمال ذلك، فيتعيّن حمله على الاستحباب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يشهد بالوجوب صحيح ابن الحجّاج،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أنّه لا خصوصيّة للقول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ابن أبي يعفور، عنه عليه السلام في الشكّ بين الإثنين والثَّلاث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تكلّم فليسجد سجدتي السَّهو</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وبإزاء هذه النصوص أخبارٌ اُخرى تدلّ على عدم الوجوب، واستند إليها الصدوقان</w:t>
      </w:r>
      <w:r>
        <w:rPr>
          <w:rStyle w:val="FootnoteAnchor"/>
          <w:rtl w:val="true"/>
        </w:rPr>
        <w:footnoteReference w:id="863"/>
      </w:r>
      <w:r>
        <w:rPr>
          <w:rFonts w:ascii="Amiri" w:hAnsi="Amiri" w:eastAsia="Amiri" w:cs="Amiri"/>
          <w:color w:val="111111"/>
          <w:sz w:val="28"/>
          <w:sz w:val="28"/>
          <w:szCs w:val="28"/>
          <w:rtl w:val="true"/>
          <w:lang w:bidi="ar-SA"/>
        </w:rPr>
        <w:t>وغيرهما</w:t>
      </w:r>
      <w:r>
        <w:rPr>
          <w:rStyle w:val="FootnoteAnchor"/>
          <w:rtl w:val="true"/>
        </w:rPr>
        <w:footnoteReference w:id="864"/>
      </w:r>
      <w:r>
        <w:rPr>
          <w:rFonts w:ascii="Amiri" w:hAnsi="Amiri" w:eastAsia="Amiri" w:cs="Amiri"/>
          <w:color w:val="111111"/>
          <w:sz w:val="28"/>
          <w:sz w:val="28"/>
          <w:szCs w:val="28"/>
          <w:rtl w:val="true"/>
          <w:lang w:bidi="ar-SA"/>
        </w:rPr>
        <w:t>كصحيح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يسهو في الرّكعتين فيتكلّم‌؟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تكلّم أم لم يتكلّم، ولا شيء عليه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من المكتوبة، فسلَّم وهو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أنّه قد أتمّ الصَّلاة وتكلّم، ثمّ ذكر أنّه لم يُصلِّ غير ركعتين‌؟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ما بقي من صلاته ولا شيء عليه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الجمع بين الطائفتين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 حمل الثانية على نفي الإثم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مجال لتوهّم الإثم مع السَّهو، أنّ الحمل عليه يحتاج إلى قرينة 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حملها على نفي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يلزم الإلتزام بكونه تأكيداً للجملة السابقة، وهي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حمل المطلق على فرد خاص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ما ذكره المحقّق الهمداني رحمه الله</w:t>
      </w:r>
      <w:r>
        <w:rPr>
          <w:rStyle w:val="FootnoteAnchor"/>
          <w:rtl w:val="true"/>
        </w:rPr>
        <w:footnoteReference w:id="867"/>
      </w:r>
      <w:r>
        <w:rPr>
          <w:rFonts w:ascii="Amiri" w:hAnsi="Amiri" w:eastAsia="Amiri" w:cs="Amiri"/>
          <w:color w:val="111111"/>
          <w:sz w:val="28"/>
          <w:sz w:val="28"/>
          <w:szCs w:val="28"/>
          <w:rtl w:val="true"/>
          <w:lang w:bidi="ar-SA"/>
        </w:rPr>
        <w:t>وهو حمل الأُولى على التكلّم في الأثناء ساهياً كما هو موردها، وحمل الثانية على التكلّم خطأً بزعم الفراغ، كما هو صريح مورد صحيح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أحداً من الأصحاب لم يلتزم بهذا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صحيح زرارة أيضاً التكلّم في الأثناء ساهياً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حمل الأُولى على الاستحباب بقرينة الثانية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 من الثانية، فإنّها تدلّ على عدم وجوب شيء عليه أعمّ من الإعادة والسّجدة وغيرهما، والأُولى تدلّ على وجوب السّجدة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تكلَّم ساهياً أو</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وجوه الجمع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من تقييد إطلاق الثانية بالاُولى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869"/>
      </w:r>
      <w:r>
        <w:rPr>
          <w:rFonts w:ascii="Amiri" w:hAnsi="Amiri" w:eastAsia="Amiri" w:cs="Amiri"/>
          <w:color w:val="111111"/>
          <w:sz w:val="28"/>
          <w:sz w:val="28"/>
          <w:szCs w:val="28"/>
          <w:rtl w:val="true"/>
          <w:lang w:bidi="ar-SA"/>
        </w:rPr>
        <w:t>أنّ الفرد الواضح الذي يتوهّم ثبوته في مثل المقام، إنّما هو سجود السَّهو، فصَرْف عموم الشيء إلى ما عداه، ليس بأهون من حمل الأمر المتعلّق به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صيرورة ذلك فرداً واضحاً، إنّما هي في أمثال زماننا لا في عصر صدور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تكلّم جاهلاً بكونه كلاماً، بل يتخيّل أنّه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 دعاء، فقد يتوهّم أنّه لا يجب عليه سجود السَّهو، لاختصاص الأدلّة بالسهو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المستفاد من الأدلّة أنّ الكلام غير العمدي موجبٌ للسجود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ابن أبي يعفور مطلقٌ شاملٌ لصورة الجهل، فلاحظه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94" w:name="pg11801_108320"/>
    </w:p>
    <w:p>
      <w:pPr>
        <w:pStyle w:val="BookText"/>
        <w:rPr/>
      </w:pPr>
      <w:bookmarkEnd w:id="494"/>
      <w:r>
        <w:rPr>
          <w:rFonts w:ascii="Amiri" w:hAnsi="Amiri" w:eastAsia="Amiri" w:cs="Amiri"/>
          <w:color w:val="111111"/>
          <w:sz w:val="28"/>
          <w:sz w:val="28"/>
          <w:szCs w:val="28"/>
          <w:rtl w:val="true"/>
          <w:lang w:bidi="ar-SA"/>
        </w:rPr>
        <w:t>قام في حال القعود، أو قَعَد في حال القيام،</w:t>
      </w:r>
    </w:p>
    <w:p>
      <w:pPr>
        <w:pStyle w:val="Heading6"/>
        <w:numPr>
          <w:ilvl w:val="5"/>
          <w:numId w:val="1"/>
        </w:numPr>
        <w:rPr/>
      </w:pPr>
      <w:bookmarkStart w:id="495" w:name="__RefHeading___Toc10507084_73709187"/>
      <w:bookmarkStart w:id="496" w:name="_Toc190"/>
      <w:bookmarkEnd w:id="495"/>
      <w:r>
        <w:rPr>
          <w:rtl w:val="true"/>
        </w:rPr>
        <w:t>القعود في حال القيام والعكس</w:t>
      </w:r>
      <w:bookmarkEnd w:id="496"/>
    </w:p>
    <w:p>
      <w:pPr>
        <w:pStyle w:val="BookText"/>
        <w:rPr/>
      </w:pPr>
      <w:r>
        <w:rPr>
          <w:rFonts w:ascii="Amiri" w:hAnsi="Amiri" w:eastAsia="Amiri" w:cs="Amiri"/>
          <w:color w:val="111111"/>
          <w:sz w:val="28"/>
          <w:sz w:val="28"/>
          <w:szCs w:val="28"/>
          <w:rtl w:val="true"/>
          <w:lang w:bidi="ar-SA"/>
        </w:rPr>
        <w:t>الموجب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القيام في موضع القعود أو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 أكثر المحقّقين</w:t>
      </w:r>
      <w:r>
        <w:rPr>
          <w:rStyle w:val="FootnoteAnchor"/>
          <w:rtl w:val="true"/>
        </w:rPr>
        <w:footnoteReference w:id="870"/>
      </w:r>
      <w:r>
        <w:rPr>
          <w:rFonts w:ascii="Amiri" w:hAnsi="Amiri" w:eastAsia="Amiri" w:cs="Amiri"/>
          <w:color w:val="111111"/>
          <w:sz w:val="28"/>
          <w:sz w:val="28"/>
          <w:szCs w:val="28"/>
          <w:rtl w:val="true"/>
          <w:lang w:bidi="ar-SA"/>
        </w:rPr>
        <w:t xml:space="preserve">بأنّ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في حال القعود، أو قَعَد في حال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يسهو، فيقوم في حال قعودٍ أو يقعد في حال قيام‌؟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يسجدسجدتين بعدالتسليم، وهما المُرغمتان، تُرغمان الشيطان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السَّهو ما تجب فيه سجدتا السَّهو؟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تقعد فقُمت، أو أردت أن تقوم فقعدت، أو أردت أن تقرأ فسبّحت، أو أردت أن تُسبِّح فقرأت، فعليك سجدتا السَّهو، وليس في شيء ممّا يتمّ به الصَّلاة سهو</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الاستدلال بهما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ذيل الموثّق جملتين تعارضاهما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الرّجل إذا أراد أن يقعد فقام، ثمّ ذكر من قبل أن يُقدم شيئاً أو يحدث شيئاً؟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شيءٍ ممّا تتمّ به الصَّلاة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ظاهره أنّه مع </w:t>
      </w:r>
    </w:p>
    <w:p>
      <w:pPr>
        <w:pStyle w:val="BookText"/>
        <w:rPr/>
      </w:pPr>
      <w:r>
        <w:rPr>
          <w:rFonts w:ascii="Amiri" w:hAnsi="Amiri" w:eastAsia="Amiri" w:cs="Amiri"/>
          <w:color w:val="111111"/>
          <w:sz w:val="28"/>
          <w:sz w:val="28"/>
          <w:szCs w:val="28"/>
          <w:rtl w:val="true"/>
          <w:lang w:bidi="ar-SA"/>
        </w:rPr>
        <w:t>تدارك المنسيّ في الصَّلاة لا تجب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القيام في موضع القعود بحسب الطبع والغالب إمّا أنْ يكون بين السّجدتين أو بعدهما قبل الإتيان بالتشهّد، وفي هذين الموردين يلازم ذلك نسيان السّجدة الأخيرة أو التشهّد، وقد دلّت النصوص على أنّه لو نسي أحدهما فتذكّر قبل أن يركع ورجع، وتدارك المنسيّ لا تجب السّجدة، كما مرّ تقريب دلالتها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النصوص تعارض الخبرين، وتُقدّم عليهما لوجوه لا تُخفى‌، منها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 فإنّه قدس سره بعدما استشكل في الاستدلال بخبر عمّار، نظر إلى أنّه نادرٌ متفرّدٌ به، وهو فطحي،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ويعارضه ما رواه سماعة،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سهوه فأتمّه فليس عليه سجدتا السَّهو</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السّجدة في هذا المورد أيضاً، كما هو المحكيّ عن الشيخين</w:t>
      </w:r>
      <w:r>
        <w:rPr>
          <w:rStyle w:val="FootnoteAnchor"/>
          <w:rtl w:val="true"/>
        </w:rPr>
        <w:footnoteReference w:id="875"/>
      </w:r>
      <w:r>
        <w:rPr>
          <w:rFonts w:ascii="Amiri" w:hAnsi="Amiri" w:eastAsia="Amiri" w:cs="Amiri"/>
          <w:color w:val="111111"/>
          <w:sz w:val="28"/>
          <w:sz w:val="28"/>
          <w:szCs w:val="28"/>
          <w:rtl w:val="true"/>
          <w:lang w:bidi="ar-SA"/>
        </w:rPr>
        <w:t>، والكليني</w:t>
      </w:r>
      <w:r>
        <w:rPr>
          <w:rStyle w:val="FootnoteAnchor"/>
          <w:rtl w:val="true"/>
        </w:rPr>
        <w:footnoteReference w:id="876"/>
      </w:r>
      <w:r>
        <w:rPr>
          <w:rFonts w:ascii="Amiri" w:hAnsi="Amiri" w:eastAsia="Amiri" w:cs="Amiri"/>
          <w:color w:val="111111"/>
          <w:sz w:val="28"/>
          <w:sz w:val="28"/>
          <w:szCs w:val="28"/>
          <w:rtl w:val="true"/>
          <w:lang w:bidi="ar-SA"/>
        </w:rPr>
        <w:t>، وعلي بن بابويه</w:t>
      </w:r>
      <w:r>
        <w:rPr>
          <w:rStyle w:val="FootnoteAnchor"/>
          <w:rtl w:val="true"/>
        </w:rPr>
        <w:footnoteReference w:id="877"/>
      </w:r>
      <w:r>
        <w:rPr>
          <w:rFonts w:ascii="Amiri" w:hAnsi="Amiri" w:eastAsia="Amiri" w:cs="Amiri"/>
          <w:color w:val="111111"/>
          <w:sz w:val="28"/>
          <w:sz w:val="28"/>
          <w:szCs w:val="28"/>
          <w:rtl w:val="true"/>
          <w:lang w:bidi="ar-SA"/>
        </w:rPr>
        <w:t>، وابن أبي عقيل</w:t>
      </w:r>
      <w:r>
        <w:rPr>
          <w:rStyle w:val="FootnoteAnchor"/>
          <w:rtl w:val="true"/>
        </w:rPr>
        <w:footnoteReference w:id="878"/>
      </w:r>
      <w:r>
        <w:rPr>
          <w:rFonts w:ascii="Amiri" w:hAnsi="Amiri" w:eastAsia="Amiri" w:cs="Amiri"/>
          <w:color w:val="111111"/>
          <w:sz w:val="28"/>
          <w:sz w:val="28"/>
          <w:szCs w:val="28"/>
          <w:rtl w:val="true"/>
          <w:lang w:bidi="ar-SA"/>
        </w:rPr>
        <w:t>، وابن الجُنيد</w:t>
      </w:r>
      <w:r>
        <w:rPr>
          <w:rStyle w:val="FootnoteAnchor"/>
          <w:rtl w:val="true"/>
        </w:rPr>
        <w:footnoteReference w:id="87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والمحقّق</w:t>
      </w:r>
      <w:r>
        <w:rPr>
          <w:rStyle w:val="FootnoteAnchor"/>
          <w:rtl w:val="true"/>
        </w:rPr>
        <w:footnoteReference w:id="880"/>
      </w:r>
      <w:r>
        <w:rPr>
          <w:rFonts w:ascii="Amiri" w:hAnsi="Amiri" w:eastAsia="Amiri" w:cs="Amiri"/>
          <w:color w:val="111111"/>
          <w:sz w:val="28"/>
          <w:sz w:val="28"/>
          <w:szCs w:val="28"/>
          <w:rtl w:val="true"/>
          <w:lang w:bidi="ar-SA"/>
        </w:rPr>
        <w:t>، وابن عمّه</w:t>
      </w:r>
      <w:r>
        <w:rPr>
          <w:rStyle w:val="FootnoteAnchor"/>
          <w:rtl w:val="true"/>
        </w:rPr>
        <w:footnoteReference w:id="881"/>
      </w:r>
      <w:r>
        <w:rPr>
          <w:rFonts w:ascii="Amiri" w:hAnsi="Amiri" w:eastAsia="Amiri" w:cs="Amiri"/>
          <w:color w:val="111111"/>
          <w:sz w:val="28"/>
          <w:sz w:val="28"/>
          <w:szCs w:val="28"/>
          <w:rtl w:val="true"/>
          <w:lang w:bidi="ar-SA"/>
        </w:rPr>
        <w:t xml:space="preserve">، وهو اختيار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خلافاً لجماعةٍ آخرين كالصدوق</w:t>
      </w:r>
      <w:r>
        <w:rPr>
          <w:rStyle w:val="FootnoteAnchor"/>
          <w:rtl w:val="true"/>
        </w:rPr>
        <w:footnoteReference w:id="883"/>
      </w:r>
      <w:r>
        <w:rPr>
          <w:rFonts w:ascii="IRNazanin" w:hAnsi="IRNazanin" w:eastAsia="IRNazanin"/>
          <w:color w:val="111111"/>
          <w:sz w:val="28"/>
          <w:sz w:val="28"/>
          <w:szCs w:val="28"/>
          <w:rtl w:val="true"/>
          <w:lang w:bidi="fa-IR"/>
        </w:rPr>
        <w:t>، والمرتضى</w:t>
      </w:r>
      <w:r>
        <w:rPr>
          <w:rStyle w:val="FootnoteAnchor"/>
          <w:rtl w:val="true"/>
        </w:rPr>
        <w:footnoteReference w:id="884"/>
      </w:r>
      <w:r>
        <w:rPr>
          <w:rFonts w:ascii="Amiri" w:hAnsi="Amiri" w:eastAsia="Amiri" w:cs="Amiri"/>
          <w:color w:val="111111"/>
          <w:sz w:val="28"/>
          <w:sz w:val="28"/>
          <w:szCs w:val="28"/>
          <w:rtl w:val="true"/>
          <w:lang w:bidi="ar-SA"/>
        </w:rPr>
        <w:t>، وسلّار</w:t>
      </w:r>
      <w:r>
        <w:rPr>
          <w:rStyle w:val="FootnoteAnchor"/>
          <w:rtl w:val="true"/>
        </w:rPr>
        <w:footnoteReference w:id="885"/>
      </w:r>
      <w:r>
        <w:rPr>
          <w:rFonts w:ascii="Amiri" w:hAnsi="Amiri" w:eastAsia="Amiri" w:cs="Amiri"/>
          <w:color w:val="111111"/>
          <w:sz w:val="28"/>
          <w:sz w:val="28"/>
          <w:szCs w:val="28"/>
          <w:rtl w:val="true"/>
          <w:lang w:bidi="ar-SA"/>
        </w:rPr>
        <w:t>، وأبي الصّلاح</w:t>
      </w:r>
      <w:r>
        <w:rPr>
          <w:rStyle w:val="FootnoteAnchor"/>
          <w:rtl w:val="true"/>
        </w:rPr>
        <w:footnoteReference w:id="886"/>
      </w:r>
      <w:r>
        <w:rPr>
          <w:rFonts w:ascii="IRNazanin" w:hAnsi="IRNazanin" w:eastAsia="IRNazanin"/>
          <w:color w:val="111111"/>
          <w:sz w:val="28"/>
          <w:sz w:val="28"/>
          <w:szCs w:val="28"/>
          <w:rtl w:val="true"/>
          <w:lang w:bidi="fa-IR"/>
        </w:rPr>
        <w:t>، وابن البرّاج</w:t>
      </w:r>
      <w:r>
        <w:rPr>
          <w:rStyle w:val="FootnoteAnchor"/>
          <w:rtl w:val="true"/>
        </w:rPr>
        <w:footnoteReference w:id="887"/>
      </w:r>
      <w:r>
        <w:rPr>
          <w:rFonts w:ascii="Amiri" w:hAnsi="Amiri" w:eastAsia="Amiri" w:cs="Amiri"/>
          <w:color w:val="111111"/>
          <w:sz w:val="28"/>
          <w:sz w:val="28"/>
          <w:szCs w:val="28"/>
          <w:rtl w:val="true"/>
          <w:lang w:bidi="ar-SA"/>
        </w:rPr>
        <w:t>، وابن حمزة</w:t>
      </w:r>
      <w:r>
        <w:rPr>
          <w:rStyle w:val="FootnoteAnchor"/>
          <w:rtl w:val="true"/>
        </w:rPr>
        <w:footnoteReference w:id="888"/>
      </w:r>
      <w:r>
        <w:rPr>
          <w:rFonts w:ascii="Amiri" w:hAnsi="Amiri" w:eastAsia="Amiri" w:cs="Amiri"/>
          <w:color w:val="111111"/>
          <w:sz w:val="28"/>
          <w:sz w:val="28"/>
          <w:szCs w:val="28"/>
          <w:rtl w:val="true"/>
          <w:lang w:bidi="ar-SA"/>
        </w:rPr>
        <w:t>، وابن إدريس</w:t>
      </w:r>
      <w:r>
        <w:rPr>
          <w:rStyle w:val="FootnoteAnchor"/>
          <w:rtl w:val="true"/>
        </w:rPr>
        <w:footnoteReference w:id="889"/>
      </w:r>
      <w:r>
        <w:rPr>
          <w:rFonts w:ascii="IRNazanin" w:hAnsi="IRNazanin" w:eastAsia="IRNazanin"/>
          <w:color w:val="111111"/>
          <w:sz w:val="28"/>
          <w:sz w:val="28"/>
          <w:szCs w:val="28"/>
          <w:rtl w:val="true"/>
          <w:lang w:bidi="fa-IR"/>
        </w:rPr>
        <w:t>، والمصنّف رحمه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97" w:name="pg11801_108323"/>
    </w:p>
    <w:p>
      <w:pPr>
        <w:pStyle w:val="BookText"/>
        <w:rPr/>
      </w:pPr>
      <w:bookmarkEnd w:id="497"/>
      <w:r>
        <w:rPr>
          <w:rFonts w:ascii="Amiri" w:hAnsi="Amiri" w:eastAsia="Amiri" w:cs="Amiri"/>
          <w:color w:val="111111"/>
          <w:sz w:val="28"/>
          <w:sz w:val="28"/>
          <w:szCs w:val="28"/>
          <w:rtl w:val="true"/>
          <w:lang w:bidi="ar-SA"/>
        </w:rPr>
        <w:t>أو سَلَّم قبل الإكمال، وجب عليه سجدتا السَّهو</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0507086_73709187"/>
      <w:bookmarkStart w:id="499" w:name="_Toc191"/>
      <w:bookmarkEnd w:id="498"/>
      <w:r>
        <w:rPr>
          <w:rtl w:val="true"/>
        </w:rPr>
        <w:t>السَّلام في غير محلّه</w:t>
      </w:r>
      <w:bookmarkEnd w:id="499"/>
    </w:p>
    <w:p>
      <w:pPr>
        <w:pStyle w:val="BookText"/>
        <w:rPr/>
      </w:pPr>
      <w:r>
        <w:rPr>
          <w:rFonts w:ascii="Amiri" w:hAnsi="Amiri" w:eastAsia="Amiri" w:cs="Amiri"/>
          <w:color w:val="111111"/>
          <w:sz w:val="28"/>
          <w:sz w:val="28"/>
          <w:szCs w:val="28"/>
          <w:rtl w:val="true"/>
          <w:lang w:bidi="ar-SA"/>
        </w:rPr>
        <w:t>الموجب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شهرة عظيمة</w:t>
      </w:r>
      <w:r>
        <w:rPr>
          <w:rStyle w:val="FootnoteAnchor"/>
          <w:rtl w:val="true"/>
        </w:rPr>
        <w:footnoteReference w:id="890"/>
      </w:r>
      <w:r>
        <w:rPr>
          <w:rFonts w:ascii="Amiri" w:hAnsi="Amiri" w:eastAsia="Amiri" w:cs="Amiri"/>
          <w:color w:val="111111"/>
          <w:sz w:val="28"/>
          <w:sz w:val="28"/>
          <w:szCs w:val="28"/>
          <w:rtl w:val="true"/>
          <w:lang w:bidi="ar-SA"/>
        </w:rPr>
        <w:t>أنّه من الموجبات، 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سَلَّم قبل الإكمال، وَجَب عليه سجدتا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بأنّه يعدّ كلاماً غير مشروع صدر نسياناً من المُصلّي، فيدخل في مطلق الكلام، واحتجَّ على ذلك في بعض كتبه، بصحيح سعيد الأعرج، المتضمّن لسهو النبيّ صلى الله عليه و آله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المتبادر إلى الذهن ممّا دلّ على أنّ الكلام غير العمدي موجبٌ لسجدتي السَّهو، سيّما بضميمة ما فيه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صحيح ابن الحجّاج</w:t>
      </w:r>
      <w:r>
        <w:rPr>
          <w:rStyle w:val="FootnoteAnchor"/>
          <w:rtl w:val="true"/>
        </w:rPr>
        <w:footnoteReference w:id="893"/>
      </w:r>
      <w:r>
        <w:rPr>
          <w:rFonts w:ascii="Amiri" w:hAnsi="Amiri" w:eastAsia="Amiri" w:cs="Amiri"/>
          <w:color w:val="111111"/>
          <w:sz w:val="28"/>
          <w:sz w:val="28"/>
          <w:szCs w:val="28"/>
          <w:rtl w:val="true"/>
          <w:lang w:bidi="ar-SA"/>
        </w:rPr>
        <w:t>، وخبر ابن أبي يعفور</w:t>
      </w:r>
      <w:r>
        <w:rPr>
          <w:rStyle w:val="FootnoteAnchor"/>
          <w:rtl w:val="true"/>
        </w:rPr>
        <w:footnoteReference w:id="894"/>
      </w:r>
      <w:r>
        <w:rPr>
          <w:rFonts w:ascii="Amiri" w:hAnsi="Amiri" w:eastAsia="Amiri" w:cs="Amiri"/>
          <w:color w:val="111111"/>
          <w:sz w:val="28"/>
          <w:sz w:val="28"/>
          <w:szCs w:val="28"/>
          <w:rtl w:val="true"/>
          <w:lang w:bidi="ar-SA"/>
        </w:rPr>
        <w:t xml:space="preserve">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التكلّم بغير ما هو من سنخ أجزاء الصَّلاة، وأمّا صحيح سعيد فهو مخالفٌ لاُصول المذهب، ومعارَضٌ بصحيح زرارة الدالّ على أنّ النبيّ صلى الله عليه و آله لم يسجد سجدتي السَّهو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من الاستدلال بموثّق عمّار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ثلاث ركعات، وهو يظنّ أنّها أربع، فلمّا سَلَّم ذكر أنّها ثلاث‌؟</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متى ما ذكر، ويُصلّي ركعة، ويتشهّد ويُسلِّم ويسجد سجدتي السَّهود</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ظاهر في كون السّجدة للسّلام في غير موضعه، ولعلّها إنّما تكون للقعود في موضع القيام، أو للتشهّد،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وجوبها في تلك الموارد يصلح قرينةً لكونها للسّلام، لظهور الأمر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يصلح لذلك، يصلح قرينة لكون الأمر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فيه يدور بين حمل الأمر على الاستحباب، وبين حمل الموثّق على إرادة ثبوتها لخصوص السَّلام، ولو لم يكن الأوّل أظهر لا يكون الثاني كذلك، فلا يصحّ الاستدلال به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ركعة من صلاته حتّى فرغ منها، ثمّ ذكر أنّه لم يركع‌؟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فيركع ويسجد سجدتين</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ظاهرٍ في إرادة سجدتي السَّهو، بل لايبعد دعوى ظهوره في إرادة سجود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زيادة في الصَّلاة، وقد دلّ الدليل على أنّ كلّ زيادةٍ سهويّة في المكتوبة موجبة لسَّجدتي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محلّه من منع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من الأمر بها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حجّة،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وجوبها في هذا المورد، بل ومقتضى الأصل، وإطلاق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ركعتين من المكتوبة، فسلَّم وهو يرى أنّه قد أتمّ الصَّلاة وتكلّم، ثمّ ذكرَ أنّه لم يُصلِّ غير ركعتين‌؟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بقي من صلاته ولا شيء عليه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علي بن النعمان الرازي</w:t>
      </w:r>
      <w:r>
        <w:rPr>
          <w:rStyle w:val="FootnoteAnchor"/>
          <w:rtl w:val="true"/>
        </w:rPr>
        <w:footnoteReference w:id="900"/>
      </w:r>
      <w:r>
        <w:rPr>
          <w:rFonts w:ascii="Amiri" w:hAnsi="Amiri" w:eastAsia="Amiri" w:cs="Amiri"/>
          <w:color w:val="111111"/>
          <w:sz w:val="28"/>
          <w:sz w:val="28"/>
          <w:szCs w:val="28"/>
          <w:rtl w:val="true"/>
          <w:lang w:bidi="ar-SA"/>
        </w:rPr>
        <w:t>، وخبر زيد الشّحام</w:t>
      </w:r>
      <w:r>
        <w:rPr>
          <w:rStyle w:val="FootnoteAnchor"/>
          <w:rtl w:val="true"/>
        </w:rPr>
        <w:footnoteReference w:id="901"/>
      </w:r>
      <w:r>
        <w:rPr>
          <w:rFonts w:ascii="Amiri" w:hAnsi="Amiri" w:eastAsia="Amiri" w:cs="Amiri"/>
          <w:color w:val="111111"/>
          <w:sz w:val="28"/>
          <w:sz w:val="28"/>
          <w:szCs w:val="28"/>
          <w:rtl w:val="true"/>
          <w:lang w:bidi="ar-SA"/>
        </w:rPr>
        <w:t>، هو ما ذهب إليه الكليني</w:t>
      </w:r>
      <w:r>
        <w:rPr>
          <w:rStyle w:val="FootnoteAnchor"/>
          <w:rtl w:val="true"/>
        </w:rPr>
        <w:footnoteReference w:id="902"/>
      </w:r>
      <w:r>
        <w:rPr>
          <w:rFonts w:ascii="IRNazanin" w:hAnsi="IRNazanin" w:eastAsia="IRNazanin"/>
          <w:color w:val="111111"/>
          <w:sz w:val="28"/>
          <w:sz w:val="28"/>
          <w:szCs w:val="28"/>
          <w:rtl w:val="true"/>
          <w:lang w:bidi="fa-IR"/>
        </w:rPr>
        <w:t>والصدوقان</w:t>
      </w:r>
      <w:r>
        <w:rPr>
          <w:rStyle w:val="FootnoteAnchor"/>
          <w:rtl w:val="true"/>
        </w:rPr>
        <w:footnoteReference w:id="903"/>
      </w:r>
      <w:r>
        <w:rPr>
          <w:rFonts w:ascii="Amiri" w:hAnsi="Amiri" w:eastAsia="Amiri" w:cs="Amiri"/>
          <w:color w:val="111111"/>
          <w:sz w:val="28"/>
          <w:sz w:val="28"/>
          <w:szCs w:val="28"/>
          <w:rtl w:val="true"/>
          <w:lang w:bidi="ar-SA"/>
        </w:rPr>
        <w:t>، وظاهر غيرهم كالعُمّاني</w:t>
      </w:r>
      <w:r>
        <w:rPr>
          <w:rStyle w:val="FootnoteAnchor"/>
          <w:rtl w:val="true"/>
        </w:rPr>
        <w:footnoteReference w:id="904"/>
      </w:r>
      <w:r>
        <w:rPr>
          <w:rFonts w:ascii="Amiri" w:hAnsi="Amiri" w:eastAsia="Amiri" w:cs="Amiri"/>
          <w:color w:val="111111"/>
          <w:sz w:val="28"/>
          <w:sz w:val="28"/>
          <w:szCs w:val="28"/>
          <w:rtl w:val="true"/>
          <w:lang w:bidi="ar-SA"/>
        </w:rPr>
        <w:t>والسيّد</w:t>
      </w:r>
      <w:r>
        <w:rPr>
          <w:rStyle w:val="FootnoteAnchor"/>
          <w:rtl w:val="true"/>
        </w:rPr>
        <w:footnoteReference w:id="905"/>
      </w:r>
      <w:r>
        <w:rPr>
          <w:rFonts w:ascii="Amiri" w:hAnsi="Amiri" w:eastAsia="Amiri" w:cs="Amiri"/>
          <w:color w:val="111111"/>
          <w:sz w:val="28"/>
          <w:sz w:val="28"/>
          <w:szCs w:val="28"/>
          <w:rtl w:val="true"/>
          <w:lang w:bidi="ar-SA"/>
        </w:rPr>
        <w:t>والديلمي</w:t>
      </w:r>
      <w:r>
        <w:rPr>
          <w:rStyle w:val="FootnoteAnchor"/>
          <w:rtl w:val="true"/>
        </w:rPr>
        <w:footnoteReference w:id="906"/>
      </w:r>
      <w:r>
        <w:rPr>
          <w:rFonts w:ascii="Amiri" w:hAnsi="Amiri" w:eastAsia="Amiri" w:cs="Amiri"/>
          <w:color w:val="111111"/>
          <w:sz w:val="28"/>
          <w:sz w:val="28"/>
          <w:szCs w:val="28"/>
          <w:rtl w:val="true"/>
          <w:lang w:bidi="ar-SA"/>
        </w:rPr>
        <w:t>وابني حمزة وزُهرة</w:t>
      </w:r>
      <w:r>
        <w:rPr>
          <w:rStyle w:val="FootnoteAnchor"/>
          <w:rtl w:val="true"/>
        </w:rPr>
        <w:footnoteReference w:id="907"/>
      </w:r>
      <w:r>
        <w:rPr>
          <w:rFonts w:ascii="Amiri" w:hAnsi="Amiri" w:eastAsia="Amiri" w:cs="Amiri"/>
          <w:color w:val="111111"/>
          <w:sz w:val="28"/>
          <w:sz w:val="28"/>
          <w:szCs w:val="28"/>
          <w:rtl w:val="true"/>
          <w:lang w:bidi="ar-SA"/>
        </w:rPr>
        <w:t>وغيرهم، وهو عدم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500" w:name="pg11801_108326"/>
    </w:p>
    <w:p>
      <w:pPr>
        <w:pStyle w:val="BookText"/>
        <w:rPr/>
      </w:pPr>
      <w:bookmarkEnd w:id="500"/>
      <w:r>
        <w:rPr>
          <w:rFonts w:ascii="Amiri" w:hAnsi="Amiri" w:eastAsia="Amiri" w:cs="Amiri"/>
          <w:color w:val="111111"/>
          <w:sz w:val="28"/>
          <w:sz w:val="28"/>
          <w:szCs w:val="28"/>
          <w:rtl w:val="true"/>
          <w:lang w:bidi="ar-SA"/>
        </w:rPr>
        <w:t>وكذا تجبان عليمَن شكّ بين الأربع و الخمس، فإنّه يبني على الأربع ويسجدهما</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10507088_73709187"/>
      <w:bookmarkStart w:id="502" w:name="_Toc192"/>
      <w:bookmarkEnd w:id="501"/>
      <w:r>
        <w:rPr>
          <w:rtl w:val="true"/>
        </w:rPr>
        <w:t>الشكّ بين الأربع والخمس</w:t>
      </w:r>
      <w:bookmarkEnd w:id="502"/>
    </w:p>
    <w:p>
      <w:pPr>
        <w:pStyle w:val="BookText"/>
        <w:rPr/>
      </w:pPr>
      <w:r>
        <w:rPr>
          <w:rFonts w:ascii="Amiri" w:hAnsi="Amiri" w:eastAsia="Amiri" w:cs="Amiri"/>
          <w:color w:val="111111"/>
          <w:sz w:val="28"/>
          <w:sz w:val="28"/>
          <w:szCs w:val="28"/>
          <w:rtl w:val="true"/>
          <w:lang w:bidi="ar-SA"/>
        </w:rPr>
        <w:t>الموجب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البحث عن حكمه، وعرفت أنّ ما ذكره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تجبان على من شكّ بين الأربع والخمس فإنّه يبني على الأربع ويسجدهما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10507090_73709187"/>
      <w:bookmarkStart w:id="504" w:name="_Toc193"/>
      <w:bookmarkEnd w:id="503"/>
      <w:r>
        <w:rPr>
          <w:rtl w:val="true"/>
        </w:rPr>
        <w:t>نسيان السّجدة الواحدة</w:t>
      </w:r>
      <w:bookmarkEnd w:id="504"/>
    </w:p>
    <w:p>
      <w:pPr>
        <w:pStyle w:val="BookText"/>
        <w:rPr/>
      </w:pPr>
      <w:r>
        <w:rPr>
          <w:rFonts w:ascii="Amiri" w:hAnsi="Amiri" w:eastAsia="Amiri" w:cs="Amiri"/>
          <w:color w:val="111111"/>
          <w:sz w:val="28"/>
          <w:sz w:val="28"/>
          <w:szCs w:val="28"/>
          <w:rtl w:val="true"/>
          <w:lang w:bidi="ar-SA"/>
        </w:rPr>
        <w:t>الموجب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السّجدة الواحدة، وقد مرَّ عدم وجوبهما فيه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10507092_73709187"/>
      <w:bookmarkStart w:id="506" w:name="_Toc194"/>
      <w:bookmarkEnd w:id="505"/>
      <w:r>
        <w:rPr>
          <w:rtl w:val="true"/>
        </w:rPr>
        <w:t>نسيان التشهّد</w:t>
      </w:r>
      <w:bookmarkEnd w:id="50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 وقد مرَّ الكلام فيه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bookmarkStart w:id="507" w:name="pg11801_108327"/>
    </w:p>
    <w:p>
      <w:pPr>
        <w:pStyle w:val="Heading6"/>
        <w:numPr>
          <w:ilvl w:val="5"/>
          <w:numId w:val="1"/>
        </w:numPr>
        <w:rPr/>
      </w:pPr>
      <w:bookmarkStart w:id="508" w:name="__RefHeading___Toc10507094_73709187"/>
      <w:bookmarkStart w:id="509" w:name="_Toc195"/>
      <w:bookmarkEnd w:id="507"/>
      <w:bookmarkEnd w:id="508"/>
      <w:r>
        <w:rPr>
          <w:rtl w:val="true"/>
        </w:rPr>
        <w:t>الزيادة أو النقيصة غير المبطلة</w:t>
      </w:r>
      <w:bookmarkEnd w:id="5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بوجوب أداء سجدتي السَّهو في موارد، وعمل بها الأصحاب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تيقّن الزيادة أو النقيصة غير المبطلة، فقد التزم المصنّف رحمه الله</w:t>
      </w:r>
      <w:r>
        <w:rPr>
          <w:rStyle w:val="FootnoteAnchor"/>
          <w:rtl w:val="true"/>
        </w:rPr>
        <w:footnoteReference w:id="910"/>
      </w:r>
      <w:r>
        <w:rPr>
          <w:rFonts w:ascii="Amiri" w:hAnsi="Amiri" w:eastAsia="Amiri" w:cs="Amiri"/>
          <w:color w:val="111111"/>
          <w:sz w:val="28"/>
          <w:sz w:val="28"/>
          <w:szCs w:val="28"/>
          <w:rtl w:val="true"/>
          <w:lang w:bidi="ar-SA"/>
        </w:rPr>
        <w:t>وكثيرٌ من المتأخّرين وجوبهما فيه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 من تقدّم عليه إمّا لم يفتِ به، أو على فرض الإفتاء به القائلُ به شاذٌّ، إذ الشيخ قدس سره نسبه إلى بعض أصحابنا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913"/>
      </w:r>
      <w:r>
        <w:rPr>
          <w:rFonts w:ascii="Amiri" w:hAnsi="Amiri" w:eastAsia="Amiri" w:cs="Amiri"/>
          <w:color w:val="111111"/>
          <w:sz w:val="28"/>
          <w:sz w:val="28"/>
          <w:szCs w:val="28"/>
          <w:rtl w:val="true"/>
          <w:lang w:bidi="ar-SA"/>
        </w:rPr>
        <w:t>بعد نقل ذلك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نظفر بقائله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ابن أبي عمير، عن بعض أصحابنا، عن سفيان بن السَّمط،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لكلّ زيادةٍ تدخلُ عليك أو نقصان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ابن أبي عمير من أصحاب الإجماع، ومراسيله في حكم المسانيد، وكتابه كان يعتمد عليه في عصر الإمام الرضا عليه السلام، فهو من حيث السَّند لا إشكال فيه، وكذا من حيث الدلالة،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من </w:t>
      </w:r>
    </w:p>
    <w:p>
      <w:pPr>
        <w:pStyle w:val="BookText"/>
        <w:rPr/>
      </w:pPr>
      <w:r>
        <w:rPr>
          <w:rFonts w:ascii="Amiri" w:hAnsi="Amiri" w:eastAsia="Amiri" w:cs="Amiri"/>
          <w:color w:val="111111"/>
          <w:sz w:val="28"/>
          <w:sz w:val="28"/>
          <w:szCs w:val="28"/>
          <w:rtl w:val="true"/>
          <w:lang w:bidi="ar-SA"/>
        </w:rPr>
        <w:t>الزيادة والنقيصة غير العمديّتين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برغم أنّ هذه الرواية كانت بمرئى منهم ومنظر، لم يعملوا بها، وهو موهن لها، ومسقط إيّاها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النصوص في كثيرٍ من الموارد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السّجدة والتذكّر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التشهّد والتذكّر قبل أن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القراءة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في موضع الإخفات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ذكر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وقد تقدّمت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بالتخصيص مستلزمٌ لتخصيص الأكثر المستهجن، فعلى فرض صحّة السَّند يُحمل الخبر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خمساً، أم نقصت أم زدت، فتشهّد وسَلّم واسجد سجدتين بغير ركوع ولا قراءة، يتشهّد فيهما تشهّداً خفيفاً</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المعطوف عليه إمّا فعل الشرط أو معموله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المقام واضحة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حملناه على العلم الإجمالي فكذلك، إذ العلم الإجمالي إذا لم يكن طرفاه ذوي أثر، لما ترتّب عليه الأثر، وإنْ حملناه على الشكّ‌، فيثبت في صورة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العلم بأحدهما بالأولويّة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يكون عطفاً على فعل الشرط، إذ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متّصلة يشترط فيها وقوعها بعد همزة التسوية،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 أَنْذَرْتَهُمْ أَمْ لَمْ تُنْذِرْهُمْ‌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أو بعد همزة مُغنيةٍ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 زيدٌ أم عمرو، وعدم ثبوت هذا الشرط في المقام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بمعنى الإضراب، فإنّه لا سبيل لها في الفرض، فتكون عطفاً على المعمول أي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كانت متّصلة كان معنى الخبر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شككتَ أنّك صلّيت أربعاً أو خمساً أو أقلّ من الأربع أو أزيد من الخَمس، يجبُ عليك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أحداً من الأصحاب لم يفتِ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كانت منقطعة، كان معناه ثبوت سجدتي السَّهو في كلّ موردٍ شُكّ فيه في الزيادة والنقيصة، وهو بإطلاقه غير معمولٌ به، والالتزام بالتخصيص مستلزمٌ للالتزام بتخصيص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بقرينة السياق، أنّ المراد بالنقص والزيادة، نقصان الصّلاة وزيادتها بركعة، فيوافق الخبر مع مذهب العامّة، وأصحابنا غير ملتزمين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ممنوعة، لظهوره في أنّ الموضوع هو الشكّ لا الوصفين، فيكون نظير ما دلّ على وجوبها عند 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 عن رسول اللّه صلى الله عليه و آله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صلاته، فلم يدر زاد في صلاته أم نقص، فليسجد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سجدتين، وهو جالسٌ‌، وسمّاهما رسول اللّه صلى الله عليه و آله المُرغمتين</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أمّا الشكّ في التعيين مع العلم الإجمالي، وإمّا الشكّ في تحقّق الزيادة أو النقيصة، وعلى كلّ تقدير يدلّ على المطلوب، كما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يعمل به في مورده، كما سيأتي في المورد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الخبر إرادة زيادة الرّكعة أو نقصها،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 العلم الإجمالي، فالحكم فيه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الشكّ‌، فإطلاقه غير معمولٍ به عندنا،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السَّهو على مَن لم يدر أزاد في صلاته أم نقص منها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بمثل ما في سابقيه، كما ويرد عليه الإيرادان الأوّلان اللّذان أوردناهما على صحيح زرارة دون الأخير،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سجدتي السَّهو؟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فقبل التسليم، وإذا زدت فبعده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 سعد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10" w:name="pg11801_108331"/>
    </w:p>
    <w:p>
      <w:pPr>
        <w:pStyle w:val="BookText"/>
        <w:rPr/>
      </w:pPr>
      <w:bookmarkEnd w:id="510"/>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واردان في مقام بيان محلّ السّجدة، ولا يدلّان على أنّها واجبة أم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الوجوب، وإنْ كان الأحوط ذلك</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0507096_73709187"/>
      <w:bookmarkStart w:id="512" w:name="_Toc196"/>
      <w:bookmarkEnd w:id="511"/>
      <w:r>
        <w:rPr>
          <w:rtl w:val="true"/>
        </w:rPr>
        <w:t>الشكّ في الزّيادة والنقيصة</w:t>
      </w:r>
      <w:bookmarkEnd w:id="51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كلّ زيادةٍ ونقيصة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21"/>
      </w:r>
      <w:r>
        <w:rPr>
          <w:rFonts w:ascii="Amiri" w:hAnsi="Amiri" w:eastAsia="Amiri" w:cs="Amiri"/>
          <w:color w:val="111111"/>
          <w:sz w:val="28"/>
          <w:sz w:val="28"/>
          <w:szCs w:val="28"/>
          <w:rtl w:val="true"/>
          <w:lang w:bidi="ar-SA"/>
        </w:rPr>
        <w:t xml:space="preserve">وجوب سجدتي السّهو في هذا المورد، 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 وزرارة والفضيل، وموثّق سماعة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الشاملة للشكّ في عدد الرَّكعات والأفعال، في المحلّ وبعد مضيّه، لم يَعمل الأصحاب بما لها من العموم، بل الخارج عنها أكثر من الباقي قطعاً، إذ في كثيرٍ من موارد الشكّ لا يجبُ سجدة السَّهو، كالشكّ بعد التجاوز، والشكّ في عدد الرَّكعات، سواءٌ أكان من الشكوك الصحيحة أو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فحمل الأمر بها على الاستحباب أولى من إبقائه على ما هو ظاهرٌ فيه من الوجوب، وتخصيص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وجوبها في هذا المورد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الصدوقين</w:t>
      </w:r>
      <w:r>
        <w:rPr>
          <w:rStyle w:val="FootnoteAnchor"/>
          <w:rtl w:val="true"/>
        </w:rPr>
        <w:footnoteReference w:id="923"/>
      </w:r>
      <w:r>
        <w:rPr>
          <w:rFonts w:ascii="Amiri" w:hAnsi="Amiri" w:eastAsia="Amiri" w:cs="Amiri"/>
          <w:color w:val="111111"/>
          <w:sz w:val="28"/>
          <w:sz w:val="28"/>
          <w:szCs w:val="28"/>
          <w:rtl w:val="true"/>
          <w:lang w:bidi="ar-SA"/>
        </w:rPr>
        <w:t>من وجوبها لكلّ شكٍّ ظنّ بالأكثر وبنى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وَهمُك إلى التمام أبداً في كلّ صلاةٍ‌، فاسجد سجدتين بغير ركوع أفهمت‌؟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لإعراض الأصحاب عنه لا يُعتمد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13" w:name="pg11801_108333"/>
    </w:p>
    <w:p>
      <w:pPr>
        <w:pStyle w:val="Heading6"/>
        <w:numPr>
          <w:ilvl w:val="5"/>
          <w:numId w:val="1"/>
        </w:numPr>
        <w:rPr/>
      </w:pPr>
      <w:bookmarkStart w:id="514" w:name="__RefHeading___Toc10507098_73709187"/>
      <w:bookmarkStart w:id="515" w:name="_Toc197"/>
      <w:bookmarkEnd w:id="513"/>
      <w:bookmarkEnd w:id="514"/>
      <w:r>
        <w:rPr>
          <w:rtl w:val="true"/>
        </w:rPr>
        <w:t>بعض أحكام سجود السَّهو</w:t>
      </w:r>
      <w:bookmarkEnd w:id="515"/>
    </w:p>
    <w:p>
      <w:pPr>
        <w:pStyle w:val="Heading6"/>
        <w:numPr>
          <w:ilvl w:val="5"/>
          <w:numId w:val="1"/>
        </w:numPr>
        <w:rPr/>
      </w:pPr>
      <w:bookmarkStart w:id="516" w:name="__RefHeading___Toc10507100_73709187"/>
      <w:bookmarkStart w:id="517" w:name="_Toc198"/>
      <w:bookmarkEnd w:id="516"/>
      <w:r>
        <w:rPr>
          <w:rtl w:val="true"/>
        </w:rPr>
        <w:t>تداخل الأسباب</w:t>
      </w:r>
      <w:bookmarkEnd w:id="51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جملةٍ من أحكام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طيّ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تكرّر موجب سجدة السَّهو وأنّه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تكرار السّجود بتكرّر الموجب مطلقاً؟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يجب كذلك، بل يكفي سجدتا السَّهو، وإنْ تكرّر الموجب‌؟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ما إذا تكرّر الموجب من أنواع مختلفة فالأوّل، وبين ما إذا تكرّر من نوعٍ واحد فالثاني‌؟</w:t>
      </w:r>
    </w:p>
    <w:p>
      <w:pPr>
        <w:pStyle w:val="BookText"/>
        <w:rPr/>
      </w:pPr>
      <w:r>
        <w:rPr>
          <w:rFonts w:ascii="Amiri" w:hAnsi="Amiri" w:eastAsia="Amiri" w:cs="Amiri"/>
          <w:color w:val="111111"/>
          <w:sz w:val="28"/>
          <w:sz w:val="28"/>
          <w:szCs w:val="28"/>
          <w:rtl w:val="true"/>
          <w:lang w:bidi="ar-SA"/>
        </w:rPr>
        <w:t>وجوه مبنيّةٌ على الوجوه والأقوال في مسالة التداخل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عندنا هو التداخل مطلقاً، غاية الأمر التداخل المصطلح فيما إذا اختلفت الأسباب بحسب الأفراد، والتداخل بالالتزام بالوجوب الأكيد، فيما إذا اختلف بحسب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مع تعدّد السبب من جنس واحد، لم يوجد إلّاالسبب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المحقّق الخراساني رحمه الله</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بأنّ مقتضى إطلاق الشرط هو حدوث الوجوب عند كلّ مرّة تحقّق لو وجد مرّات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مايقتضيه الإطلاق، هو عدم خصوصيّة لفرد دون آخر، </w:t>
      </w:r>
    </w:p>
    <w:p>
      <w:pPr>
        <w:pStyle w:val="BookText"/>
        <w:rPr/>
      </w:pPr>
      <w:r>
        <w:rPr>
          <w:rFonts w:ascii="Amiri" w:hAnsi="Amiri" w:eastAsia="Amiri" w:cs="Amiri"/>
          <w:color w:val="111111"/>
          <w:sz w:val="28"/>
          <w:sz w:val="28"/>
          <w:szCs w:val="28"/>
          <w:rtl w:val="true"/>
          <w:lang w:bidi="ar-SA"/>
        </w:rPr>
        <w:t>وأمّا أنّ المأخوذ سبباً وشرطاً هل هي الطبيعة السّارية أم هو صرف الوجود؟ فهو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الذي هو رفض القيود، إنّما يقتضي كون الشرط والسبب هو صرف وجود الطبيعة، إذ ملاحظتها بنحو الطبيعة السارية تحتاج إلى عناية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الإطلاق في متعلّقات التكاليف، كون المطلوب صرف وجود الطبيعة، كذلك يكون مقتضاه كون السبب والشرط هو صرف الوجود في الأسباب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ما ذكره المحقّق النائيني رحمه الله</w:t>
      </w:r>
      <w:r>
        <w:rPr>
          <w:rStyle w:val="FootnoteAnchor"/>
          <w:rtl w:val="true"/>
        </w:rPr>
        <w:footnoteReference w:id="926"/>
      </w:r>
      <w:r>
        <w:rPr>
          <w:rFonts w:ascii="Amiri" w:hAnsi="Amiri" w:eastAsia="Amiri" w:cs="Amiri"/>
          <w:color w:val="111111"/>
          <w:sz w:val="28"/>
          <w:sz w:val="28"/>
          <w:szCs w:val="28"/>
          <w:rtl w:val="true"/>
          <w:lang w:bidi="ar-SA"/>
        </w:rPr>
        <w:t>من أنّ القضيّة الشرطيّة ترجع إلى القضيّة الحقيقيّة، فينحلّ الحكم فيها إلى أحكام عديدة حسب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يتوقّف على إثبات كون السبب مأخوذاً بنحو الطبيعة السارية، وإلّا فلا يتمّ‌، وقد عرفت ما في المبنى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تعدّد الشرط واتّحد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بحدوث الأثر عند وجود كلّ شرط، إلّاأنّه هو الحكم عند الشرط الأوّل، وتأكّده عند الشرط الثاني، مثلاً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المكلّف ثمّ نام، يكون المتحقّق عند البول وجوب الوضوء، وعند النوم تأكّد ذلك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التصرّف في شيءٍ من الظهورات، وهذا بخلاف الالتزام بتقييد إطلاق المادّة في كلٍّ من القضيّتين بفردٍ غير الفرد الذي اُريد من المادّة الواقعة في حيّز الخطاب الآخر الذي يكون لازمه عدم التداخل، فإنّه يتوقّف على تقييد إطلاق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المادّة في كلّ من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التصرّف في ظهور الحكم في كونه تأسيسيّاً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يستلزم كون شيءٍ من القضيّتين في غير مقام إنشاء الطلب وجعل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المجعول في كلٍّ منهما، إنْ حدث في محلٍّ فارغ عن مثله، يكون تأسيسيّاً، وإنْ حدث في محلٍّ مشغول بمثله، فهو تأكيد، وتمام الكلام في ذلك موكولٌ إلى محلّه في الاُصول</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فالأقوى في المقام عدم تكرّر السّجود بتكرّر الموجب مطلقاً، ويؤيّده بل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ثلاث ركعات، وهو يظنّ أنّها أربع، فلمّا سَلَّم ذكر أنّها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متى ما ذكر، ويُصلّي ركعة ويتشهّد ويُسلِّم ويسجد سجدتي السَّهو</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على قول كثيرٍ من الفقهاء في مفروض السؤال، يكون قد تحقّق له موجبات سجود السَّهو، لأنّه جلس في موضع القيام، وتشهّد وسَلَّم في غير موضعه، فهذه موجبات ثلاثة له، مع أنّه عليه السلام لم يأمره إلّابسجودٍ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الاختلاف، والكلام في كلّ واحدٍ من المواضع الثلاثة، فالعمدة ما ذكرناه من أنّه مقتضى القاعدة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يظهر أنّ ما أسّسه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العروة</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في المسائل المتعلّقة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18" w:name="pg11801_108336"/>
    </w:p>
    <w:p>
      <w:pPr>
        <w:pStyle w:val="BookText"/>
        <w:rPr/>
      </w:pPr>
      <w:bookmarkEnd w:id="518"/>
      <w:r>
        <w:rPr>
          <w:rFonts w:ascii="Amiri" w:hAnsi="Amiri" w:eastAsia="Amiri" w:cs="Amiri"/>
          <w:color w:val="111111"/>
          <w:sz w:val="28"/>
          <w:sz w:val="28"/>
          <w:szCs w:val="28"/>
          <w:rtl w:val="true"/>
          <w:lang w:bidi="ar-SA"/>
        </w:rPr>
        <w:t>بالعِدّة من أصالة التداخل في الأسباب، ينافي ما ذكره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النبوى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فلإرساله وعدم نقله من طرقنا لا يُعتمد عليه</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10507102_73709187"/>
      <w:bookmarkStart w:id="520" w:name="_Toc199"/>
      <w:bookmarkEnd w:id="519"/>
      <w:r>
        <w:rPr>
          <w:rtl w:val="true"/>
        </w:rPr>
        <w:t>الترتيب بين هذا السّجود وبين صلاة الاحتياط وقضاء الأجزاء</w:t>
      </w:r>
      <w:bookmarkEnd w:id="520"/>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 القوم في وجوب الترتيب بينه، وبين صلاة الاحتياط وقضاء الأجزاء المنسيّة، على أقوال، وحيثُ عرفت أنّ صلاة الاحتياط صلاةٌ مبتدأة، والأجزاء المنسيّة واجبة، لتدارك الأجزاء المنسيّة، لا أنّها أجزاءٌ أخّر مواضعها، ولهذا بنينا على التخيّير في تقديم صلاة الاحتياط على الأجزاء المنسيّة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في المقام هو التخيّير بين تقديم سجود السَّهو عليهما وتقديمهما عليه، وتقديم إحداهما عليه، وتأخير الاُخرى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النائيني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تقديم الأجزاء المنسيّة على سجدتي السَّهو،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 في قضاء الأجزاء المنسيّة والسّجود للسهو عنها، تدلّ على الترتيب بينها وبين السّجود لها، فيثبت ذلك في السّجود لغيرها بالقطع، بعدم التفاوت بينه وبين السّجود الواجب بسبب نسيان تلك الأجزاء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قضاء الأجزاء المنسيّة إنّما تكون واجبة بسبب فوات الأجزاء </w:t>
      </w:r>
      <w:bookmarkStart w:id="521" w:name="pg11801_108337"/>
    </w:p>
    <w:p>
      <w:pPr>
        <w:pStyle w:val="BookText"/>
        <w:rPr/>
      </w:pPr>
      <w:bookmarkEnd w:id="521"/>
      <w:r>
        <w:rPr>
          <w:rFonts w:ascii="Amiri" w:hAnsi="Amiri" w:eastAsia="Amiri" w:cs="Amiri"/>
          <w:color w:val="111111"/>
          <w:sz w:val="28"/>
          <w:sz w:val="28"/>
          <w:szCs w:val="28"/>
          <w:rtl w:val="true"/>
          <w:lang w:bidi="ar-SA"/>
        </w:rPr>
        <w:t>في محالّها، والسّجود إنّما يصبح واجباً بسبب السَّهو الواقع في الصَّلاة، فسبب الأوّل الجزء الداخل في الصَّلاة، وسبب الثاني أمرٌ أجنبيّ عنها، فالأوّل بحسب الاعتبار مقدّمٌ على الثاني، فيقدّم القضاء على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خبر علي بن حمزة المتقدّم في نسيان التشهّد، كون سجود السَّهو للتشهّد المنسيّ قبله لا بعده، والجمع يقتضي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اعتباري، وجعله مدركاً للحكم الشرعي من مثل هذا الفقيه المتضلّع يعدّ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هو التخيّير في الابتداء بأيّ واحدٍ منها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عدم وجوب المبادرة إلى واحد منها، أو وجوبها إلى جميعها، وإلّا فيجب تقديم ما يجبُ المبادرة إليه</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0507104_73709187"/>
      <w:bookmarkStart w:id="523" w:name="_Toc200"/>
      <w:bookmarkEnd w:id="522"/>
      <w:r>
        <w:rPr>
          <w:rtl w:val="true"/>
        </w:rPr>
        <w:t>يجب الإتيان به فوراً، ومع تركه لا تبطل الصَّلاة</w:t>
      </w:r>
      <w:bookmarkEnd w:id="523"/>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يجبُ الإتيان بسجدة السَّهو فوراً</w:t>
      </w:r>
      <w:r>
        <w:rPr>
          <w:rStyle w:val="FootnoteAnchor"/>
          <w:rtl w:val="true"/>
        </w:rPr>
        <w:footnoteReference w:id="931"/>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يُستدلّ له بالنصوص المتضمّنة للأمر بها وهو جالسٌ‌، كصحيح الفضيل،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يتكلّم</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كما في صحيحي ابن أبي </w:t>
      </w:r>
      <w:bookmarkStart w:id="524" w:name="pg11801_108338"/>
    </w:p>
    <w:p>
      <w:pPr>
        <w:pStyle w:val="BookText"/>
        <w:rPr/>
      </w:pPr>
      <w:bookmarkEnd w:id="524"/>
      <w:r>
        <w:rPr>
          <w:rFonts w:ascii="Amiri" w:hAnsi="Amiri" w:eastAsia="Amiri" w:cs="Amiri"/>
          <w:color w:val="111111"/>
          <w:sz w:val="28"/>
          <w:sz w:val="28"/>
          <w:szCs w:val="28"/>
          <w:rtl w:val="true"/>
          <w:lang w:bidi="ar-SA"/>
        </w:rPr>
        <w:t>يعفور</w:t>
      </w:r>
      <w:r>
        <w:rPr>
          <w:rStyle w:val="FootnoteAnchor"/>
          <w:rtl w:val="true"/>
        </w:rPr>
        <w:footnoteReference w:id="934"/>
      </w:r>
      <w:r>
        <w:rPr>
          <w:rFonts w:ascii="Amiri" w:hAnsi="Amiri" w:eastAsia="Amiri" w:cs="Amiri"/>
          <w:color w:val="111111"/>
          <w:sz w:val="28"/>
          <w:sz w:val="28"/>
          <w:szCs w:val="28"/>
          <w:rtl w:val="true"/>
          <w:lang w:bidi="ar-SA"/>
        </w:rPr>
        <w:t>، والحلبي</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القدّاح</w:t>
      </w:r>
      <w:r>
        <w:rPr>
          <w:rStyle w:val="FootnoteAnchor"/>
          <w:rtl w:val="true"/>
        </w:rPr>
        <w:footnoteReference w:id="936"/>
      </w:r>
      <w:r>
        <w:rPr>
          <w:rFonts w:ascii="Amiri" w:hAnsi="Amiri" w:eastAsia="Amiri" w:cs="Amiri"/>
          <w:color w:val="111111"/>
          <w:sz w:val="28"/>
          <w:sz w:val="28"/>
          <w:szCs w:val="28"/>
          <w:rtl w:val="true"/>
          <w:lang w:bidi="ar-SA"/>
        </w:rPr>
        <w:t xml:space="preserve">فإنّ الظاهر منها بحسب المتفاهم العرفي، ورودها في مقام بيان ضيق وقت هذه السّجدة، المستلزم للزوم الإتيان بها فوراً، وأنّ التحديد بذلك إنّما يكون للجري مجرى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بضميمة الإجماع المحكيّ‌، يكفي في الحكم بوجوب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يسهو في صلاته فلا يذكر ذلك حتّى يُصلّي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سجدتي السَّهو حتّى تطلع الشمس</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دالٌّ على عدم لزوم الفوريّة، فإعراض الأصحاب عنه، وعدم القائل به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بوجوب المبادرة، لو لم يكن أقوى‌، لا ريب في أنّه أحوط</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10507106_73709187"/>
      <w:bookmarkStart w:id="526" w:name="_Toc201"/>
      <w:bookmarkEnd w:id="525"/>
      <w:r>
        <w:rPr>
          <w:rtl w:val="true"/>
        </w:rPr>
        <w:t>في ما لو ترك المُصلّي سجدتي السّهو عمداً</w:t>
      </w:r>
      <w:bookmarkEnd w:id="526"/>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لو ترك المُصلّي سجدتي السّهو عمداً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تبطل الصَّلاة،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40"/>
      </w:r>
      <w:r>
        <w:rPr>
          <w:rFonts w:ascii="Amiri" w:hAnsi="Amiri" w:eastAsia="Amiri" w:cs="Amiri"/>
          <w:color w:val="111111"/>
          <w:sz w:val="28"/>
          <w:sz w:val="28"/>
          <w:szCs w:val="28"/>
          <w:rtl w:val="true"/>
          <w:lang w:bidi="ar-SA"/>
        </w:rPr>
        <w:t xml:space="preserve">، والوحيد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xml:space="preserve">، 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نسبته إلى </w:t>
      </w:r>
    </w:p>
    <w:p>
      <w:pPr>
        <w:pStyle w:val="BookText"/>
        <w:rPr/>
      </w:pPr>
      <w:r>
        <w:rPr>
          <w:rFonts w:ascii="Amiri" w:hAnsi="Amiri" w:eastAsia="Amiri" w:cs="Amiri"/>
          <w:color w:val="111111"/>
          <w:sz w:val="28"/>
          <w:sz w:val="28"/>
          <w:szCs w:val="28"/>
          <w:rtl w:val="true"/>
          <w:lang w:bidi="ar-SA"/>
        </w:rPr>
        <w:t>ظاهر غيره من الأصحاب</w:t>
      </w:r>
      <w:r>
        <w:rPr>
          <w:rStyle w:val="FootnoteAnchor"/>
          <w:rtl w:val="true"/>
        </w:rPr>
        <w:footnoteReference w:id="9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تبطل الصَّلاة، كما هو المشهور بين الأصحاب</w:t>
      </w:r>
      <w:r>
        <w:rPr>
          <w:rStyle w:val="FootnoteAnchor"/>
          <w:rtl w:val="true"/>
        </w:rPr>
        <w:footnoteReference w:id="94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ظاهر الأمر الوارد في مورد بيان الجزئيّة والشرطيّة هو ذلك لا النفسيّة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المتبادر من إيجاب شيء عند وقوع خلل، كونه تداركاً وعلاجاً، فإذا لم يأتِ بهما لم يكن آتياً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فرقٌ بين الأمر بشيء قبل المركّب أو في أثنائه، وبين الأمر به بعد الفراغ منه، لأنّ الأمر في المورد الأوّل ظاهرٌ في الجزئيّة أو الشرطيّة، ولا يكون ظاهراً فيها في المورد الثاني، فإنْ شئت فاختبر ذلك من الأمر بدعاءٍ مخصوص في السّجدة الأخيرة، والأمر به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دار أمر الواجب بين كونه نفسيّاً، وكونه كذلك وشرطاً لصحّة واجبٍ آخر أيضاً، تجري البراءة عن الشرطيّة، ولا مجال لجريان قاعدة الاشتغال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بشيء عند وقوع خَلل، لا يكون ظاهراً في دخله في ذلك الشيء، كي يوجب الإخلال به عدم إتيان المأمور به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27" w:name="pg11801_108340"/>
    </w:p>
    <w:p>
      <w:pPr>
        <w:pStyle w:val="BookText"/>
        <w:rPr/>
      </w:pPr>
      <w:bookmarkEnd w:id="527"/>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بطلان الصَّلاة بتركهما، ويؤيّده بعض</w:t>
      </w:r>
      <w:r>
        <w:rPr>
          <w:rStyle w:val="FootnoteAnchor"/>
          <w:rtl w:val="true"/>
        </w:rPr>
        <w:footnoteReference w:id="945"/>
      </w:r>
      <w:r>
        <w:rPr>
          <w:rFonts w:ascii="Amiri" w:hAnsi="Amiri" w:eastAsia="Amiri" w:cs="Amiri"/>
          <w:color w:val="111111"/>
          <w:sz w:val="28"/>
          <w:sz w:val="28"/>
          <w:szCs w:val="28"/>
          <w:rtl w:val="true"/>
          <w:lang w:bidi="ar-SA"/>
        </w:rPr>
        <w:t>النصوص المصرّح فيها أنّ الأمر بهما لمحض إرغام الشيطان، وأنّه مجازاةٌ له على إيقاعه المُصلّي في السَّهو</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10507108_73709187"/>
      <w:bookmarkStart w:id="529" w:name="_Toc202"/>
      <w:bookmarkEnd w:id="528"/>
      <w:r>
        <w:rPr>
          <w:rtl w:val="true"/>
        </w:rPr>
        <w:t>لو لم يأتي بهما فوراً، لم يسقط الأمر بهما بالعصيان</w:t>
      </w:r>
      <w:bookmarkEnd w:id="529"/>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يأتي بهما فوراً، لم يسقط الأمر بهما بالعصيان، بل يجب القيام بهما بعد ذلك، سواءٌ أكان عدم الإتيان عمديّاً أم سهويّاً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فلموثّق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إذا سهى في الصَّلاة، فينسى أن يسجد سجدتي السَّهو؟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يسجدهما متى ذكر</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الموثّق الوارد في صورة السَّهو، أنّ وجوب المبادرة إلى فعلهما إنّما يكون تكليفيّاً لا شرطيّاً، لبيان توقيتهما كما لا يخفى‌، مع أنّ دليل الفوريّة لا ظهور له في التوقيت في نفسه</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0507110_73709187"/>
      <w:bookmarkStart w:id="531" w:name="_Toc203"/>
      <w:bookmarkEnd w:id="530"/>
      <w:r>
        <w:rPr>
          <w:rtl w:val="true"/>
        </w:rPr>
        <w:t>هل يقدح فعل المنافي بينهما وبين الصَّلاة</w:t>
      </w:r>
      <w:bookmarkEnd w:id="531"/>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يقدح فعل المنافي بينهما وبين الصَّلاة، كما عن ظاهر جماعة، أم لا كما لعلّه المشهور؟ وجهان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بإيقاعهما قبل الكلام في بعض النصوص، بدعوى أنّ ذكر الكلام من جهة أنّه أحد الأفراد الغالبة للمنافي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هذه النصوص واردة في مقام بيان وجوب المبادرة إليهما، لا في مقام بيان قدح المنافي</w:t>
      </w:r>
      <w:r>
        <w:rPr>
          <w:rFonts w:eastAsia="Amiri" w:cs="Amiri" w:ascii="Amiri" w:hAnsi="Amiri"/>
          <w:color w:val="111111"/>
          <w:sz w:val="28"/>
          <w:szCs w:val="28"/>
          <w:rtl w:val="true"/>
          <w:lang w:bidi="ar-SA"/>
        </w:rPr>
        <w:t xml:space="preserve">. </w:t>
      </w:r>
      <w:bookmarkStart w:id="532" w:name="pg11801_108341"/>
    </w:p>
    <w:p>
      <w:pPr>
        <w:pStyle w:val="BookText"/>
        <w:rPr/>
      </w:pPr>
      <w:bookmarkEnd w:id="532"/>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 النهي عن الكلام قبل فعلهما، ظاهرٌ في قدحه في صحّتهما، إلّاأنّ الأمر بفعلهما قبل وجوده، لا يكون ظاهراً في ذلك، بل يكون ظاهراً في وجوب المبادرة والتوقيت بالمعنى المتقدّم، وعليه فالأظهر هو عدم القدح</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0507112_73709187"/>
      <w:bookmarkStart w:id="534" w:name="_Toc204"/>
      <w:bookmarkEnd w:id="533"/>
      <w:r>
        <w:rPr>
          <w:rtl w:val="true"/>
        </w:rPr>
        <w:t>لو سجد للكلام فبان أنّ الموجب غيره</w:t>
      </w:r>
      <w:bookmarkEnd w:id="534"/>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للكلام فبانَ أنّ الموجب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على وجه التقيّيد، وجبت الإعادة، وإنْ كان من باب الإشتباه في التطبيق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بعض المعاصرين</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على وجه التقيّيد بطل التعبّد به، لانتفاء المقيّد بانتفاء قيده، وإنْ كان من باب الاشتباه في التطبيق، تحقّق الامتثال بالأمر الواقعي، وإنْ أخطأ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الإجزاء في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الميزان في صحّة العبادة الإتيان بذات المأمور به بجميع قيوده، متقرّباً به إلى اللّه تعالى‌، ولا يعتبر فيها شيءآخر، ولو نقص من ذلك شيءٌ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صَلّى في أوّل الوقت بتخيّل أنّه آخر الوقت، صحّت صلاته، وإنْ كان ذلك على وجه التقييد، لأنّ قصده ذلك ليس من المبطلات، والمفروض إتيان الصَّلاة تامّة متقرِّباً إلى اللّه تعالى‌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صَلّى صلاة العصر بتخيّل أنّه صَلّى الظهر، لم تصحّ بحسب القاعدة، وإنْ كان قصد الأمر بالعصر من باب الاشتباه، لاختلاف حقيقة الصلاتين، وعلى ذلك </w:t>
      </w:r>
      <w:bookmarkStart w:id="535" w:name="pg11801_108342"/>
    </w:p>
    <w:p>
      <w:pPr>
        <w:pStyle w:val="BookText"/>
        <w:rPr/>
      </w:pPr>
      <w:bookmarkEnd w:id="535"/>
      <w:r>
        <w:rPr>
          <w:rFonts w:ascii="Amiri" w:hAnsi="Amiri" w:eastAsia="Amiri" w:cs="Amiri"/>
          <w:color w:val="111111"/>
          <w:sz w:val="28"/>
          <w:sz w:val="28"/>
          <w:szCs w:val="28"/>
          <w:rtl w:val="true"/>
          <w:lang w:bidi="ar-SA"/>
        </w:rPr>
        <w:t>ففي المقام بما أنّ سجود السَّهو حقيقة واحدة، ولا اختلاف فيه من حيث الموجب والسبب، فَمَن قَصَد سجود السَّهو للكلام، فبان أنّ الموجب غيره، فقد أتى بالمأمور به بجميع ما يعتبر فيه متقرّباً إلى اللّه تعالى‌، فيصحّ وإنْ كان على وجه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قيّد سجوده بما هو موجبُ الكلام، فسجوده المذكور لا يكون مقصوداً إذا لم يكن هو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يكن هذا العنوان دخيلاً في المأمور به كما عرفت، فمن قَصَد هذا العنوان، وتعلّقت إرادته بإيجاده، فقد انبعثت عنها إرادة اُخرى إلى معنونه، ويكون المعنون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قصد شخص الأمر بالسجود الذي أوجبه الكلام، وكان في الواقع فردٌ آخر من الأمر، فما قُصِد لم يكن له واقعٌ‌، وما له واقعٌ لم يكن قد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العبادة أزيد من الإضافة إلى المولى على غير وجه التشريع، ولم يدلّ دليلٌ على اعتبار أزيد من ذلك، وهذا متحقّقٌ في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الإجزاء مطلقاً</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10507114_73709187"/>
      <w:bookmarkStart w:id="537" w:name="_Toc205"/>
      <w:bookmarkEnd w:id="536"/>
      <w:r>
        <w:rPr>
          <w:rtl w:val="true"/>
        </w:rPr>
        <w:t>إذا شكّ في أنّه هل سَجَد سجدتين أو سجدَ سجدة واحدة</w:t>
      </w:r>
      <w:bookmarkEnd w:id="537"/>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أنّه هل سَجَد سجدتين أو سجدَ سجدة واحدة، بنى على الأقلّ إنْ كان في المحلّ‌، وعليه أن لا يعتني به فيما إذا كان بعد مُضيّ محلّها، كما إذا شكّ في ذلك وهو في التشهّد، وذلك لجريان قاعدة التجاوز، وقاعدة الشكّ في المحلّ المتقدّم تحقيق القول فيهما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يبني على الأكثر في المورد الأوّل،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ولكن عرفت اختصاصه بصلاة الاحتياط</w:t>
      </w:r>
      <w:r>
        <w:rPr>
          <w:rFonts w:eastAsia="Amiri" w:cs="Amiri" w:ascii="Amiri" w:hAnsi="Amiri"/>
          <w:color w:val="111111"/>
          <w:sz w:val="28"/>
          <w:szCs w:val="28"/>
          <w:rtl w:val="true"/>
          <w:lang w:bidi="ar-SA"/>
        </w:rPr>
        <w:t xml:space="preserve">. </w:t>
      </w:r>
      <w:bookmarkStart w:id="538" w:name="pg11801_108343"/>
    </w:p>
    <w:p>
      <w:pPr>
        <w:pStyle w:val="Heading6"/>
        <w:numPr>
          <w:ilvl w:val="5"/>
          <w:numId w:val="1"/>
        </w:numPr>
        <w:rPr/>
      </w:pPr>
      <w:bookmarkStart w:id="539" w:name="__RefHeading___Toc10507116_73709187"/>
      <w:bookmarkStart w:id="540" w:name="_Toc206"/>
      <w:bookmarkEnd w:id="538"/>
      <w:bookmarkEnd w:id="539"/>
      <w:r>
        <w:rPr>
          <w:rtl w:val="true"/>
        </w:rPr>
        <w:t>إذا شكّ في الإتيان بهما بعد العلم بوجوبهما</w:t>
      </w:r>
      <w:bookmarkEnd w:id="540"/>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الإتيان بهما بعد العلم بوجوبهما، من جهة احتمال عروض النسيان، وجب عليه الإتيان بهما وإنْطالت المدّة، للاستصحاب وقاعدة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بعد مُضيّ الوقت لم يلتفت، إلحاقاً لهما بالصّلاة، وهو كما ترى‌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لزوم الإتيان بهما مطلقاً</w:t>
      </w:r>
      <w:r>
        <w:rPr>
          <w:rFonts w:eastAsia="Amiri" w:cs="Amiri" w:ascii="Amiri" w:hAnsi="Amiri"/>
          <w:color w:val="111111"/>
          <w:sz w:val="28"/>
          <w:szCs w:val="28"/>
          <w:rtl w:val="true"/>
          <w:lang w:bidi="ar-SA"/>
        </w:rPr>
        <w:t>.</w:t>
      </w:r>
      <w:bookmarkStart w:id="541" w:name="pg11801_108344"/>
    </w:p>
    <w:p>
      <w:pPr>
        <w:pStyle w:val="Heading6"/>
        <w:numPr>
          <w:ilvl w:val="5"/>
          <w:numId w:val="1"/>
        </w:numPr>
        <w:rPr/>
      </w:pPr>
      <w:bookmarkStart w:id="542" w:name="__RefHeading___Toc10507118_73709187"/>
      <w:bookmarkStart w:id="543" w:name="_Toc207"/>
      <w:bookmarkEnd w:id="541"/>
      <w:bookmarkEnd w:id="542"/>
      <w:r>
        <w:rPr>
          <w:rtl w:val="true"/>
        </w:rPr>
        <w:t>شرائط سّجدة السّهو وموانعها</w:t>
      </w:r>
      <w:bookmarkEnd w:id="54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سجدة السّهو وموانعها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اعتبار ما يعتبر من الشرائط والموانع في سجود الصَّلاة كالسَّتر والطهارة، وعدم لبس الحرير، ونحو ذلك في هذا السّجود أقوال، ثالثها التفصيل بين ما كان لدليل اعتباره في سجود الصَّلاة إطلاقٌ يشمل كلّ سجودٍ، مثل ما دلَّ على لزوم وضع الجبهة على الأرض، لا سيّما ما اشتمل منه على التعليل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ما يأكلون ويلبسون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اعتباره في السّجود مطلقاً، وكذا ما دلَّ على أنّ السّجود على سبعة أعظُم، وكذا ما دلَّ على اعتبار عدم علوّ الجَبهة عن الموضع بأزيد من لَبِنة، فيعتبر فيه، وما ليس لدليله هذا الإطلاق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بانسباق اعتبارها من جهة أنّه مكمّلٌ للصّلاة وجابرٌ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يعتبر فيه الفوريّة، وهذا يناسب مع بقاء شرائط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جابراً للصّلاة ومكمّلاً لها، وإنّما وَجب لإرغام الشيطان، مع أنّ مكمّليّته لها لا توجب اعتبار ما يعتبر في الصَّلاة فيه، وبه يظهر ما في الثاني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حُقّق في محلّه أنّ المرجع عند الشكّ في اعتبار شيء في واجب </w:t>
      </w:r>
    </w:p>
    <w:p>
      <w:pPr>
        <w:pStyle w:val="BookText"/>
        <w:rPr/>
      </w:pPr>
      <w:r>
        <w:rPr>
          <w:rFonts w:ascii="Amiri" w:hAnsi="Amiri" w:eastAsia="Amiri" w:cs="Amiri"/>
          <w:color w:val="111111"/>
          <w:sz w:val="28"/>
          <w:sz w:val="28"/>
          <w:szCs w:val="28"/>
          <w:rtl w:val="true"/>
          <w:lang w:bidi="ar-SA"/>
        </w:rPr>
        <w:t>هو أصل البراءة لا قاعدة الاشتغال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الأظهر هو القول الأخير، وقد تقدّم وجهه، ولكن بما أنّ ظاهر بعض الفقهاء فرض جميع ما يعتبر في الصَّلاة فيه من المسلّمات بينهم، فالأحوط رعايتها</w:t>
      </w:r>
      <w:r>
        <w:rPr>
          <w:rFonts w:eastAsia="Amiri" w:cs="Amiri" w:ascii="Amiri" w:hAnsi="Amiri"/>
          <w:color w:val="111111"/>
          <w:sz w:val="28"/>
          <w:szCs w:val="28"/>
          <w:rtl w:val="true"/>
          <w:lang w:bidi="ar-SA"/>
        </w:rPr>
        <w:t>.</w:t>
      </w:r>
      <w:bookmarkStart w:id="544" w:name="pg11801_108346"/>
    </w:p>
    <w:p>
      <w:pPr>
        <w:pStyle w:val="BookText"/>
        <w:rPr/>
      </w:pPr>
      <w:bookmarkEnd w:id="544"/>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بعد الصَّلاة</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10507120_73709187"/>
      <w:bookmarkStart w:id="546" w:name="_Toc208"/>
      <w:bookmarkEnd w:id="545"/>
      <w:r>
        <w:rPr>
          <w:rtl w:val="true"/>
        </w:rPr>
        <w:t>محلّ سجدة السهو</w:t>
      </w:r>
      <w:bookmarkEnd w:id="546"/>
    </w:p>
    <w:p>
      <w:pPr>
        <w:pStyle w:val="Heading6"/>
        <w:numPr>
          <w:ilvl w:val="5"/>
          <w:numId w:val="1"/>
        </w:numPr>
        <w:rPr/>
      </w:pPr>
      <w:bookmarkStart w:id="547" w:name="__RefHeading___Toc10507122_73709187"/>
      <w:bookmarkStart w:id="548" w:name="_Toc209"/>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السّجود، وأجزائه،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شهرة عظيمة</w:t>
      </w:r>
      <w:r>
        <w:rPr>
          <w:rStyle w:val="FootnoteAnchor"/>
          <w:rtl w:val="true"/>
        </w:rPr>
        <w:footnoteReference w:id="950"/>
      </w:r>
      <w:r>
        <w:rPr>
          <w:rFonts w:ascii="Amiri" w:hAnsi="Amiri" w:eastAsia="Amiri" w:cs="Amiri"/>
          <w:color w:val="111111"/>
          <w:sz w:val="28"/>
          <w:sz w:val="28"/>
          <w:szCs w:val="28"/>
          <w:rtl w:val="true"/>
          <w:lang w:bidi="ar-SA"/>
        </w:rPr>
        <w:t>ما ذكره المصنّف بقوله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سَجدتا السَّهو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عددٌ من النصوص، كصحيح ابن الحجّاج،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قبل التسليم هما أم بعد؟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أبي الجارود،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أسجد سجدتي السَّهو؟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التسليم، فإنّك إذا سلّمت فقد ذهبت حرمة صلاتك</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فلايصلح للاعتمادعليه، لضعفه في نفسه لأبي الجارود، وإعراض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قومٍ من أصحابنا التفصيل</w:t>
      </w:r>
      <w:r>
        <w:rPr>
          <w:rStyle w:val="FootnoteAnchor"/>
          <w:rtl w:val="true"/>
        </w:rPr>
        <w:footnoteReference w:id="953"/>
      </w:r>
      <w:r>
        <w:rPr>
          <w:rFonts w:ascii="Amiri" w:hAnsi="Amiri" w:eastAsia="Amiri" w:cs="Amiri"/>
          <w:color w:val="111111"/>
          <w:sz w:val="28"/>
          <w:sz w:val="28"/>
          <w:szCs w:val="28"/>
          <w:rtl w:val="true"/>
          <w:lang w:bidi="ar-SA"/>
        </w:rPr>
        <w:t>، بين ما إذا كانتا للزيادة فقبل التسليم، وبين ما إذا كانتا للنقصان فبعده، ويشهد له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سعد بن سعد الأشعري، عن الإمام الرضا عليه السلام</w:t>
      </w:r>
      <w:r>
        <w:rPr>
          <w:rFonts w:eastAsia="Amiri" w:cs="Amiri" w:ascii="Amiri" w:hAnsi="Amiri"/>
          <w:color w:val="111111"/>
          <w:sz w:val="28"/>
          <w:szCs w:val="28"/>
          <w:rtl w:val="true"/>
          <w:lang w:bidi="ar-SA"/>
        </w:rPr>
        <w:t xml:space="preserve">: </w:t>
      </w:r>
      <w:bookmarkStart w:id="549" w:name="pg11801_108347"/>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سجدتي السَّهو، وإذا نقصتَ قبل التسليم، وإذا زدتَ فبعده</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صفوان الجمّال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معارضان مع ما ورد في ناسي التشهّد الذي هو في مورد النقص، المصرحّ بأنّهما بعد التسليم، والترجيح مع هذه النصوص لوجوهٍ غير خفيّة، والجمع بينهما بالقول بالتخيّير ليس جمعاً عرفيّاً، مع أنّه لا قائل به</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10507124_73709187"/>
      <w:bookmarkStart w:id="551" w:name="_Toc210"/>
      <w:bookmarkEnd w:id="550"/>
      <w:r>
        <w:rPr>
          <w:rtl w:val="true"/>
        </w:rPr>
        <w:t>أجزاء سجدة السَّهو</w:t>
      </w:r>
      <w:bookmarkEnd w:id="551"/>
    </w:p>
    <w:p>
      <w:pPr>
        <w:pStyle w:val="BookText"/>
        <w:rPr/>
      </w:pPr>
      <w:r>
        <w:rPr>
          <w:rFonts w:ascii="Amiri" w:hAnsi="Amiri" w:eastAsia="Amiri" w:cs="Amiri"/>
          <w:color w:val="111111"/>
          <w:sz w:val="28"/>
          <w:sz w:val="28"/>
          <w:szCs w:val="28"/>
          <w:rtl w:val="true"/>
          <w:lang w:bidi="ar-SA"/>
        </w:rPr>
        <w:t>أمّا سجدة السَّهو فهي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التكبيرة، والمشهور بين الأصحاب استحبابها مطلقاً</w:t>
      </w:r>
      <w:r>
        <w:rPr>
          <w:rStyle w:val="FootnoteAnchor"/>
          <w:rtl w:val="true"/>
        </w:rPr>
        <w:footnoteReference w:id="956"/>
      </w:r>
      <w:r>
        <w:rPr>
          <w:rFonts w:ascii="Amiri" w:hAnsi="Amiri" w:eastAsia="Amiri" w:cs="Amiri"/>
          <w:color w:val="111111"/>
          <w:sz w:val="28"/>
          <w:sz w:val="28"/>
          <w:szCs w:val="28"/>
          <w:rtl w:val="true"/>
          <w:lang w:bidi="ar-SA"/>
        </w:rPr>
        <w:t xml:space="preserve">، لكن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Style w:val="FootnoteAnchor"/>
          <w:rtl w:val="true"/>
        </w:rPr>
        <w:footnoteReference w:id="957"/>
      </w:r>
      <w:r>
        <w:rPr>
          <w:rFonts w:ascii="Amiri" w:hAnsi="Amiri" w:eastAsia="Amiri" w:cs="Amiri"/>
          <w:color w:val="111111"/>
          <w:sz w:val="28"/>
          <w:sz w:val="28"/>
          <w:szCs w:val="28"/>
          <w:rtl w:val="true"/>
          <w:lang w:bidi="ar-SA"/>
        </w:rPr>
        <w:t>، لخبر عمرو بن خالد، عن زيد، عن آبائه، عن أمير المؤمنين عليهم السلام المتضمّن لسهو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 القبلة وكبَّر وهو جالس ثمّ 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اشتماله على سهو النبيّ صلى الله عليه و آله الذي لا نقول به، إنّه حكاية فعل لا تدلّ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موثّق عمَّار المرويّ عن أبي عبد اللّه عليه السلام، قال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سجدتي السَّهو، هل فيهما تسبيحٌ أو تكبير؟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هما </w:t>
      </w:r>
      <w:bookmarkStart w:id="552" w:name="pg11801_108348"/>
    </w:p>
    <w:p>
      <w:pPr>
        <w:pStyle w:val="BookText"/>
        <w:rPr/>
      </w:pPr>
      <w:bookmarkEnd w:id="552"/>
      <w:r>
        <w:rPr>
          <w:rFonts w:ascii="Amiri" w:hAnsi="Amiri" w:eastAsia="Amiri" w:cs="Amiri"/>
          <w:color w:val="111111"/>
          <w:sz w:val="28"/>
          <w:sz w:val="28"/>
          <w:szCs w:val="28"/>
          <w:rtl w:val="true"/>
          <w:lang w:bidi="ar-SA"/>
        </w:rPr>
        <w:t>سجدتان فقط، فإنْ كان الذي سها هو الإمام كبّر إذا سجد، وإذا رفع رأسه ليعلم من خلفه أنّه قد سها، وليس عليه أن يُسبِّح فيهما، ولا فيهما تشهّدٌ بعد السّجدتين</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عدم مطلوبيّتها حتّى للإمام، لظهوره في أنّ الأمر بالتكبير إنّما هو لإعلام المأمومين، لا أنّه من وظائف الساجد في سجدته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يدلّ على عدم مطلوبيّتها لغير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فالقول بالاستحباب أيضاً لا شاهد له، فالمتعيّن الإتيان بها برجاء المطلوبيّة أو تركها</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10507126_73709187"/>
      <w:bookmarkStart w:id="554" w:name="_Toc211"/>
      <w:bookmarkEnd w:id="553"/>
      <w:r>
        <w:rPr>
          <w:rtl w:val="true"/>
        </w:rPr>
        <w:t>النيّة</w:t>
      </w:r>
      <w:bookmarkEnd w:id="55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ولا شبهة في اعتبارها فيه، لأنّه عبادة، ولا ريب في أنّه يعتبر فيها النيّة</w:t>
      </w:r>
      <w:r>
        <w:rPr>
          <w:rFonts w:eastAsia="Amiri" w:cs="Amiri" w:ascii="Amiri" w:hAnsi="Amiri"/>
          <w:color w:val="111111"/>
          <w:sz w:val="28"/>
          <w:szCs w:val="28"/>
          <w:rtl w:val="true"/>
          <w:lang w:bidi="ar-SA"/>
        </w:rPr>
        <w:t>.</w:t>
      </w:r>
    </w:p>
    <w:p>
      <w:pPr>
        <w:pStyle w:val="Heading6"/>
        <w:numPr>
          <w:ilvl w:val="5"/>
          <w:numId w:val="1"/>
        </w:numPr>
        <w:rPr/>
      </w:pPr>
      <w:bookmarkStart w:id="555" w:name="__RefHeading___Toc10507128_73709187"/>
      <w:bookmarkStart w:id="556" w:name="_Toc212"/>
      <w:bookmarkEnd w:id="555"/>
      <w:r>
        <w:rPr>
          <w:rtl w:val="true"/>
        </w:rPr>
        <w:t>كيفيّة السَّجدتين</w:t>
      </w:r>
      <w:bookmarkEnd w:id="55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كيفيّة أداء السجدتين، 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فيهما الذّكر كما هو المشهور بين الأصحاب</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لا يجب، كما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61"/>
      </w:r>
      <w:r>
        <w:rPr>
          <w:rFonts w:ascii="IRNazanin" w:hAnsi="IRNazanin" w:eastAsia="IRNazanin"/>
          <w:color w:val="111111"/>
          <w:sz w:val="28"/>
          <w:sz w:val="28"/>
          <w:szCs w:val="28"/>
          <w:rtl w:val="true"/>
          <w:lang w:bidi="fa-IR"/>
        </w:rPr>
        <w:t>والنافع</w:t>
      </w:r>
      <w:r>
        <w:rPr>
          <w:rStyle w:val="FootnoteAnchor"/>
          <w:rtl w:val="true"/>
        </w:rPr>
        <w:footnoteReference w:id="9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أقواهما الثاني، لموثّق عمّار</w:t>
      </w:r>
      <w:r>
        <w:rPr>
          <w:rStyle w:val="FootnoteAnchor"/>
          <w:rtl w:val="true"/>
        </w:rPr>
        <w:footnoteReference w:id="965"/>
      </w:r>
      <w:r>
        <w:rPr>
          <w:rFonts w:ascii="Amiri" w:hAnsi="Amiri" w:eastAsia="Amiri" w:cs="Amiri"/>
          <w:color w:val="111111"/>
          <w:sz w:val="28"/>
          <w:sz w:val="28"/>
          <w:szCs w:val="28"/>
          <w:rtl w:val="true"/>
          <w:lang w:bidi="ar-SA"/>
        </w:rPr>
        <w:t>المتقدّم، الصريح في 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لإعراض المشهورعنه، من جهة إفتائهم بوجوب الذّكر لا يعتمدعليه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إفتاءهم به لعلّه لأجل ترجيح ما أمر به فيهما عليه، لاإعراضاًعنه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المشائخ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سجدتى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 مرّة 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 في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وصلّ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 مرّة اُخرى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والسَّلام عليك أيّها النبيّ ورحمة اللّه وبركاته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 مرّة 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عن بعض النسخ</w:t>
      </w:r>
      <w:r>
        <w:rPr>
          <w:rStyle w:val="FootnoteAnchor"/>
          <w:rtl w:val="true"/>
        </w:rPr>
        <w:footnoteReference w:id="969"/>
      </w:r>
      <w:r>
        <w:rPr>
          <w:rFonts w:ascii="Amiri" w:hAnsi="Amiri" w:eastAsia="Amiri" w:cs="Amiri"/>
          <w:color w:val="111111"/>
          <w:sz w:val="28"/>
          <w:sz w:val="28"/>
          <w:szCs w:val="28"/>
          <w:rtl w:val="true"/>
          <w:lang w:bidi="ar-SA"/>
        </w:rPr>
        <w:t>تبديل الظاهر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بالضمير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أنسب بقول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وسمعته مرّةً اُخرى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فهو في نفسه لا يدلّ على الوجوب، لكونه حكاية فعل،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ظهوره في الوجوب، لابدَّ من حمله على الاستحباب، جمعاً بينه وبين الموثّق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المزبور ليس عرفيّاً، لوضوح التعارض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سجدتي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أن يُسبّح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الموثّق لوروده في مقام بيان ما يجب فيهما، لا يكون ظاهراً في أزيد من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بينه وبين الحسن يكون 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في الموثّق إنّما هو التسبيح، فلا يشمل الذّكرالمخصوص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سجدتان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دعوى التعارض بينهما، بنحوٍ لا يمكن الجمع العرفي بينهما غير بعيدة، والترجيح مع الحسن، فالأحوط عدم ترك الذّكر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القول بالوجوب، هل يتعيّن الذّكر المخصوص، كما عن جماعة</w:t>
      </w:r>
      <w:r>
        <w:rPr>
          <w:rStyle w:val="FootnoteAnchor"/>
          <w:rtl w:val="true"/>
        </w:rPr>
        <w:footnoteReference w:id="970"/>
      </w:r>
      <w:r>
        <w:rPr>
          <w:rFonts w:ascii="Amiri" w:hAnsi="Amiri" w:eastAsia="Amiri" w:cs="Amiri"/>
          <w:color w:val="111111"/>
          <w:sz w:val="28"/>
          <w:sz w:val="28"/>
          <w:szCs w:val="28"/>
          <w:rtl w:val="true"/>
          <w:lang w:bidi="ar-SA"/>
        </w:rPr>
        <w:t xml:space="preserve">، أم يكفي مطلق الذّكر،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971"/>
      </w:r>
      <w:r>
        <w:rPr>
          <w:rFonts w:ascii="IRNazanin" w:hAnsi="IRNazanin" w:eastAsia="IRNazanin"/>
          <w:color w:val="111111"/>
          <w:sz w:val="28"/>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أقواهما الأوّل، إذ دليل اعتبار الذّكر، مختصٌّ بما اشتمل على الذِّكر المخصوص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التخيّير بين الصيغتين، بمعنى أنّ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خبر الحلبي المتضمّن للكيفيّتين يدلّ على التخيّير، وكان ما رواه في الموردين نُقل فعله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أمره بالكيفيّتين، أو كان أحدهما نقل فعلٍ والآخر نقلُ قولٍ‌،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في بعض الكلمات من الجمع بين الكيفيّتين، فلم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 الصيغة الأُولى‌، لابدَّ له من الجمع بين المحتملات الستّة المتقدّمة، فإنّ كلّ واحدٍ من المشايخ نقلها بكيفيّة خاصّة، ولو اُضيف إليها ما عن بعض النسخ من تبديل الظاهر بالضمير، تصبح المحتملات ستّة، وحيث أنّ اختلاف النسخ ليس بمنزلة الروايات المتعدّدة في الحكم بالترجيح أو التخيّير، بل من قبيل اشتباه الحُجّة باللّا حجّة، فيتعيّن الجمع بين المحتملات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عن بعض النسخ من التبديل بالضمير لا يعتمد عليه، في مقابل النسخ المتعدّدة المشهورة، كما أنّ تصدير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حتّى مع عدم وجودها في الأصل، سيّما مع أصالة عدم الزيادة المعوّل بها عند التعارض بينها وبين النقيصة، وعليه فيكفي الجمع بين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bookmarkStart w:id="557" w:name="pg11801_108352"/>
    </w:p>
    <w:p>
      <w:pPr>
        <w:pStyle w:val="BookText"/>
        <w:rPr/>
      </w:pPr>
      <w:bookmarkEnd w:id="557"/>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مخالفٌ للاحتياط من جهة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قدحها، فلا محذور في الجمع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اختار الصيغة الثانية، فقد يُقال إنّ الأظهر جواز الإتيان بها 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الكليني أضبط من الشيخ، ولكن يعارض ذلك ما اُسّس في محلّه من تقدّم أصاله عدم الزيادة، وعليه فالمتعيّن هو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الصيغة الأُولى من عدم إضرار الزيادة، يلزم منه البناء على كفاية الإتيان بها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تلك الصيغة من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حذف شيءٍ آخر، بخلاف هذه الصيغة، حيث يلزم من إضافتها، إلغاء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قراءتها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10507130_73709187"/>
      <w:bookmarkStart w:id="559" w:name="_Toc213"/>
      <w:bookmarkEnd w:id="558"/>
      <w:r>
        <w:rPr>
          <w:rtl w:val="true"/>
        </w:rPr>
        <w:t>حكم التشهّد وكيفيّته</w:t>
      </w:r>
      <w:bookmarkEnd w:id="55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فإنّه لا كلام ولا خلاف في جزئيّته واعتباره، إنّما الكلام فيه في أنّه هل هو واجبٌ كما هو المشهور شهرة عظيمة</w:t>
      </w:r>
      <w:r>
        <w:rPr>
          <w:rStyle w:val="FootnoteAnchor"/>
          <w:rtl w:val="true"/>
        </w:rPr>
        <w:footnoteReference w:id="972"/>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974"/>
      </w:r>
      <w:r>
        <w:rPr>
          <w:rFonts w:ascii="Amiri" w:hAnsi="Amiri" w:eastAsia="Amiri" w:cs="Amiri"/>
          <w:color w:val="111111"/>
          <w:sz w:val="28"/>
          <w:sz w:val="28"/>
          <w:szCs w:val="28"/>
          <w:rtl w:val="true"/>
          <w:lang w:bidi="ar-SA"/>
        </w:rPr>
        <w:t>الإجماع عليه، أم أنّه مستحبٌّ؟</w:t>
      </w:r>
    </w:p>
    <w:p>
      <w:pPr>
        <w:pStyle w:val="BookText"/>
        <w:rPr/>
      </w:pPr>
      <w:r>
        <w:rPr>
          <w:rFonts w:ascii="Amiri" w:hAnsi="Amiri" w:eastAsia="Amiri" w:cs="Amiri"/>
          <w:color w:val="111111"/>
          <w:sz w:val="28"/>
          <w:sz w:val="28"/>
          <w:szCs w:val="28"/>
          <w:rtl w:val="true"/>
          <w:lang w:bidi="ar-SA"/>
        </w:rPr>
        <w:t>ظاهر جملة من النصوص هو الأوّل،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أبي بصير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سجدتين يتشهّد فيهما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الصيقل،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قلتَ في </w:t>
      </w:r>
    </w:p>
    <w:p>
      <w:pPr>
        <w:pStyle w:val="BookText"/>
        <w:rPr/>
      </w:pPr>
      <w:r>
        <w:rPr>
          <w:rFonts w:ascii="Amiri" w:hAnsi="Amiri" w:eastAsia="Amiri" w:cs="Amiri"/>
          <w:color w:val="111111"/>
          <w:sz w:val="28"/>
          <w:sz w:val="28"/>
          <w:szCs w:val="28"/>
          <w:rtl w:val="true"/>
          <w:lang w:bidi="ar-SA"/>
        </w:rPr>
        <w:t>الفريضة إذا ذكره بعدما رَكَع مضى في صلاته، ثمّ سجد سجدتي السَّهو بعدما ينصرف يتشهّد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النافلة مثل الفريضة</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 سجدتين بغير ركوع ولا قراءة، يتشهّد فيهما تشهّداً خفيفاً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يتعيّن صرفها عن ظاهرها، وحملها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خَمْساً صلّيت أم أربعاً، فاسجد سَجدتي السَّهو بعد تسليمك وأنتَ جالس، ثمّ سَلّم بعدهما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عدم ذكر التشهّد، مع التعرّض للسّلام، دليلُ عدم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علي بن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ناسي التشهّد، فإذا انصرفتَ سَجدت سَجدتين لا ركوع فيهما، ثمّ تتشهّد التشهّد الذي فاتك</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أمره فيه بالتشهّد فيهما التشهّد الذي 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عمّار المتقدّم</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أبي بصير، وإنْ كان مُشعِراً بعدم الوجوب، لكنّه لا يصلح معارضاً لما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خبر علي بن حمزة فلم يُعمل بظاهره، كما أنّ موثّق عمّار قد مرّ حاله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الأحوط البناء عملاً على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يتشهّد خفيفاً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كلام في أنّ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نصوص الباب جملة منها مقيّدة بالخفيف، ومقتضى حمل المطلق على المقيّد البناء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بيان المراد من التشهّد الخفيف، وأنّه هل يكون عبارة عن التشهّد المعهود في الصَّلاة، وإطلاق الخفيف عليه إنّما هو في قِبال التشهّدات المفصّلة‌؟</w:t>
      </w:r>
    </w:p>
    <w:p>
      <w:pPr>
        <w:pStyle w:val="BookText"/>
        <w:rPr/>
      </w:pPr>
      <w:r>
        <w:rPr>
          <w:rFonts w:ascii="Amiri" w:hAnsi="Amiri" w:eastAsia="Amiri" w:cs="Amiri"/>
          <w:color w:val="111111"/>
          <w:sz w:val="28"/>
          <w:sz w:val="28"/>
          <w:szCs w:val="28"/>
          <w:rtl w:val="true"/>
          <w:lang w:bidi="ar-SA"/>
        </w:rPr>
        <w:t>أم أنّ المراد منه قراءة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وأشهدُ أنّ محمّداً رسول اللّه، اللّهُمَّ صلِّ على محمّدٍ وآل محمّد؟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الأوّل، إذ لا كلام في أنّه ليس للشارع الأقدس اصطلاحٌ خاص في الخفيف في المقام، وحيثُ أنّ الظاهر من النصوص إنّما هو الإلزام بالمشروع، لا تشريع كيفيّة خاصّة فيه، وما هو مشروعٌ في الصَّلاة من التشهّد الخفيف،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وحده لا شريك له، وأشهدُ أنّ محمّداً عبده ورسوله، اللّهُمَّ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أخفّ من ذلك مشروعاً كما تقدّم، فيتعيّن البناء على وجوب المعهود في الصَّلاة في المقام، مع أنّه أحوط، لأنّ المراد من النصوص وإنْ كان هو الخفيف بالمعنى الآخر، إلّاأنّها إنّما تدلّ على عدم مشروعيّة الزيادة على الخفيف، لا على مانعيّة الزيادة، وعليه فالإتيان بالمعهود بقصد أنّه المأمور به أو مشتملٌ عليه يكون مجزئاً قطعاً، بعد فرض عدم مبطليّة الزيادة فيهما، كما تقدّم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البناء على لزوم التشهّد المتعارف في الصَّلاة، لو لم يكن أظهر، </w:t>
      </w:r>
    </w:p>
    <w:p>
      <w:pPr>
        <w:pStyle w:val="BookText"/>
        <w:rPr/>
      </w:pPr>
      <w:r>
        <w:rPr>
          <w:rFonts w:ascii="Amiri" w:hAnsi="Amiri" w:eastAsia="Amiri" w:cs="Amiri"/>
          <w:color w:val="111111"/>
          <w:sz w:val="28"/>
          <w:sz w:val="28"/>
          <w:szCs w:val="28"/>
          <w:rtl w:val="true"/>
          <w:lang w:bidi="ar-SA"/>
        </w:rPr>
        <w:t>لا شبهة في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كلام في أنّ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 صحيح ابن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موثّق أبي بصير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معارضتهما مع موثّق عمّار على ما تقدّم في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الأحوط الوجوب، وهما وإنْ وردا في مورد خاص، إلّاأنّه يثبت في سائر الموارد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السَّلام فقد تقدّم في سلام الصَّلاة، لأنّ الظاهر من الأمر به، مع عدم بيان كيفيّة خاصّة فيه، هو السَّلام المعهود في الصَّلاة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60" w:name="pg11801_108356"/>
    </w:p>
    <w:p>
      <w:pPr>
        <w:pStyle w:val="Heading6"/>
        <w:numPr>
          <w:ilvl w:val="5"/>
          <w:numId w:val="1"/>
        </w:numPr>
        <w:rPr/>
      </w:pPr>
      <w:bookmarkStart w:id="561" w:name="__RefHeading___Toc10507132_73709187"/>
      <w:bookmarkStart w:id="562" w:name="_Toc214"/>
      <w:bookmarkEnd w:id="560"/>
      <w:bookmarkEnd w:id="561"/>
      <w:r>
        <w:rPr>
          <w:rtl w:val="true"/>
        </w:rPr>
        <w:t>فصل</w:t>
      </w:r>
      <w:r>
        <w:rPr>
          <w:rtl w:val="true"/>
        </w:rPr>
        <w:t xml:space="preserve">: </w:t>
      </w:r>
      <w:r>
        <w:rPr>
          <w:rtl w:val="true"/>
        </w:rPr>
        <w:t>في صلاة القضاء</w:t>
      </w:r>
      <w:bookmarkEnd w:id="562"/>
    </w:p>
    <w:p>
      <w:pPr>
        <w:pStyle w:val="Heading6"/>
        <w:numPr>
          <w:ilvl w:val="5"/>
          <w:numId w:val="1"/>
        </w:numPr>
        <w:rPr/>
      </w:pPr>
      <w:bookmarkStart w:id="563" w:name="__RefHeading___Toc10507134_73709187"/>
      <w:bookmarkStart w:id="564" w:name="_Toc215"/>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يدور البحث في هذا المقام في أنّه هل القضاء بالأمر الأوّل أو بأمرٍ جديد؟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خلاف في وجوب قضاء الفائتة اليوميّة، بل هو من الضروريّات في الجملة، وتنقيح الكلام في المقام، يقتضي البحث في مسائل</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10507136_73709187"/>
      <w:bookmarkStart w:id="566" w:name="_Toc216"/>
      <w:bookmarkEnd w:id="565"/>
      <w:r>
        <w:rPr>
          <w:rtl w:val="true"/>
        </w:rPr>
        <w:t>هل يكون القضاء بالأمر الأوّل أو بأمرٍ جديد؟</w:t>
      </w:r>
      <w:bookmarkEnd w:id="566"/>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يكون القضاء بالأمر الأوّل أو بأمرٍ جديد؟</w:t>
      </w:r>
    </w:p>
    <w:p>
      <w:pPr>
        <w:pStyle w:val="BookText"/>
        <w:rPr/>
      </w:pPr>
      <w:r>
        <w:rPr>
          <w:rFonts w:ascii="Amiri" w:hAnsi="Amiri" w:eastAsia="Amiri" w:cs="Amiri"/>
          <w:color w:val="111111"/>
          <w:sz w:val="28"/>
          <w:sz w:val="28"/>
          <w:szCs w:val="28"/>
          <w:rtl w:val="true"/>
          <w:lang w:bidi="ar-SA"/>
        </w:rPr>
        <w:t>والكلام في هذه المسألة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المعقولة فيه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هناك مصلحتان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مترتّبة على الفعل، والثانية مترتّبة على إيقاعه في الوقت، وبتبع ذلك يكون هناك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بالفعل، والآخر بإيقاعه في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المصلحة المترتّبة على الفعل في الوقت واحدة، والأمر المتعلّق به واحداً، ولكن بعد مُضيّ الوقت توجد مصلحة اُخرى في الفعل موجبة للأمر به في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هذه الصورة مع كون المصلحة المترتّبة عليه في خارج الوقت مرتبةً ضعيفة من المترتّبة على الفعل في الوقت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المصلحة واحدة مع عدم المصلحة في الفعل في خارج الوقت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الصورة الأُولى يكون القضاء واجباً بالأمر الأوّل، وفي الصورة الثانية والثالثة يكون واجباً بأمرٍ جديد، وفي الصورة الرابعة لا يجب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الاُصول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 الواجب يكون بنحو وحدة المطلوب لا تعدّده، ولكن شكّ في أنّه هل يجب القضاء لأجل حدوث مصلحة اُخرى‌، أم لا؟ فإنّه لا سبيل إلى جريان الاستصحاب،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به استصحاب شخص الوجوب، الثابت له في الوقت، فهو متيقّن الارتفاع بتبع ارتفاع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استصحاب بقاء الكلّي، فهو من قبيل القسم الثالث من أقسام الكلّي، والمختار عدم جريان الاستصحاب فيه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أنّه بنحو تعدّد المطلوب أو وحدته، فقد يُقال إنّه يجري الاستصحاب فيه، لأنّه من قبيل القسم الثاني من أقسام الاستصحاب الكلّي، إذ لو كان بنحو تعدّد المطلوب، يكون الوجوب المتعلّق بالفعل باقياً بعد الوقت، ولو كان بنحو وحدة المطلوب كان أمده آخر الوقت، فيكون الحادث مردّداً بين الطويل والقصير، وعليه فيجري الاستصحاب فيه بناءً على جريانه في القسم الثاني من أقسام الكلّي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عدم جريان الاستصحاب في الأحكام مطلقاً، لكونه محكوماً لاستصحاب عدم الجعل، فلا يجري هذا الأصل</w:t>
      </w:r>
      <w:r>
        <w:rPr>
          <w:rFonts w:eastAsia="Amiri" w:cs="Amiri" w:ascii="Amiri" w:hAnsi="Amiri"/>
          <w:color w:val="111111"/>
          <w:sz w:val="28"/>
          <w:szCs w:val="28"/>
          <w:rtl w:val="true"/>
          <w:lang w:bidi="ar-SA"/>
        </w:rPr>
        <w:t xml:space="preserve">. </w:t>
      </w:r>
      <w:bookmarkStart w:id="567" w:name="pg11801_108358"/>
    </w:p>
    <w:p>
      <w:pPr>
        <w:pStyle w:val="BookText"/>
        <w:rPr/>
      </w:pPr>
      <w:bookmarkEnd w:id="567"/>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محلّه جريان استصحاب عدم حدوث الفرد الطويل، غير المعارض بأصالة عدم الفرد القصير في الأحكام والمجعولات الشرعيّة، ويترتّب عليه ارتفاع الكلّي وعدم بقائه، وليس باب المجعولات الشرعيّة من قبيل الموجودات الخارجيّة، حتّى يكون الأصل المزبور بالنسبة إلى ارتفاع الكلّي مثبتاً، وتمام الكلام في محلّه، فيتعيّن الرجوع في جميع الموارد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ورد أمرٌ بالمقيّد دون أن يكون ظهور له ولا إطلاق في ثبوت الوجوب بعد الوقت، بل كان ظاهره دالّاً على عدم بقائه، وإنْ كان التوقيت بدليلٍ 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لدليل التوقيت إطلاقٌ‌، فلا محالة يقيّد إطلاق الدليل الأوّل، وتكون النتيجة ثبوت الوجوب للمؤقّت مطلقاً، ولازم ذلك ارتفاعه بمضيّ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له إطلاق، فحيث أنّ المتيقّن من دليل التوقيت، هو تقيّيد الإطلاق في صورة التمكّن من إتيان العمل في الوقت، أمّا العاجز فإطلاق الدليل بالنسبة إليه يكون بلا مقيّدٍ، فيؤخذ به، ويثبت وجوب القضاء في حقّه بالإطلاق، ثمّ يلحق به المتمكّن العاصي بضميمة عدم الفصل</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10507138_73709187"/>
      <w:bookmarkStart w:id="569" w:name="_Toc217"/>
      <w:bookmarkEnd w:id="568"/>
      <w:r>
        <w:rPr>
          <w:rtl w:val="true"/>
        </w:rPr>
        <w:t>وجوب قضاء الفائت مطلقاً</w:t>
      </w:r>
      <w:bookmarkEnd w:id="569"/>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ثبت أنّ وجوب قضاء الفوائت اليوميّة في الجملة يعدّ من الضروريّات، يقع الكلام في أنّه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يكون دليلٌ ثانوي يدلّ على وجوب قضاء الفائت مطلقاً إلّاما خرج بالدليل أم لا؟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للوجوب بوجوه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Style w:val="FootnoteAnchor"/>
          <w:rtl w:val="true"/>
        </w:rPr>
        <w:footnoteReference w:id="984"/>
      </w:r>
      <w:r>
        <w:rPr>
          <w:rFonts w:ascii="IRNazanin" w:hAnsi="IRNazanin" w:eastAsia="IRNazanin"/>
          <w:color w:val="111111"/>
          <w:sz w:val="28"/>
          <w:sz w:val="28"/>
          <w:szCs w:val="28"/>
          <w:rtl w:val="true"/>
          <w:lang w:bidi="fa-IR"/>
        </w:rPr>
        <w:t>فإنّ الظاهر أنّ هذا من المسلّمات عندهم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استفادة ذلك من النصوص الخاصّة الواردة في موارد خاصّة، من الحائض الّتي طَهُرت قبل خروج الوقت، والناسي والنائم وغيرهما، التي ستمرّ عليك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النصوص، كصحيح زرارة والفضيل أو حسنهما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وقتها أنّك لم تُصلّها أو في وقت فوتها أنّك لم تُصلّها صَلّيتها، وإنْ شككت بعدما خَرَج وقت الفوت، وقد دخل حائلٌ‌، فلا إعادة عليك من شكّ حتّى تستيقن، فإن استيقنت فعليك أن تُصلّيها في أيّ حالةٍ كُنت</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الفضيلة،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الخبر الحسن أنّ من تيقّن ترك الصَّلاة في وقت الفضيلة أو الإجزاء أو شكّ فيه، أتى به، ومَن شَكّ فيه بعد الوقت لا شيء عليه، ومن تيقّن ذلك وجب عليه القضاء، فيدلّ هذا الخبر الحسن على وجوب قضاء الفائت من اليوميّة مطلقاً، خرج ما خرج</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986"/>
      </w:r>
      <w:r>
        <w:rPr>
          <w:rFonts w:ascii="Amiri" w:hAnsi="Amiri" w:eastAsia="Amiri" w:cs="Amiri"/>
          <w:color w:val="111111"/>
          <w:sz w:val="28"/>
          <w:sz w:val="28"/>
          <w:szCs w:val="28"/>
          <w:rtl w:val="true"/>
          <w:lang w:bidi="ar-SA"/>
        </w:rPr>
        <w:t>أنّ الخبر الحسن واردٌ في مقام بيان عدم الاعتناء بالشكّ بعدالوقت، وأنّ المعيار اليقين بالترك، وليس في مقام تشريع القضاء، كي يتمسّك بإطلاقه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70" w:name="pg11801_108360"/>
    </w:p>
    <w:p>
      <w:pPr>
        <w:pStyle w:val="BookText"/>
        <w:rPr/>
      </w:pPr>
      <w:bookmarkEnd w:id="570"/>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عليه السلام بعد بيان هذا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استيقنت فعليك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وظهور هذه الجملة في الإطلاق لا ينبغي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الموضوع فيدور البحث فيه عن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الفريضة الواجبة في وقتها؟</w:t>
      </w:r>
    </w:p>
    <w:p>
      <w:pPr>
        <w:pStyle w:val="BookText"/>
        <w:rPr/>
      </w:pPr>
      <w:r>
        <w:rPr>
          <w:rFonts w:ascii="Amiri" w:hAnsi="Amiri" w:eastAsia="Amiri" w:cs="Amiri"/>
          <w:color w:val="111111"/>
          <w:sz w:val="28"/>
          <w:sz w:val="28"/>
          <w:szCs w:val="28"/>
          <w:rtl w:val="true"/>
          <w:lang w:bidi="ar-SA"/>
        </w:rPr>
        <w:t>أم ما كان فيها ملاك الوجوب، وإنْ لم يكن هناك طلبٌ في الوقت، لفقد ما يتوقّف فعليَّة الطلب عليه عقلاً كالقدرة‌؟</w:t>
      </w:r>
    </w:p>
    <w:p>
      <w:pPr>
        <w:pStyle w:val="BookText"/>
        <w:rPr/>
      </w:pPr>
      <w:r>
        <w:rPr>
          <w:rFonts w:ascii="Amiri" w:hAnsi="Amiri" w:eastAsia="Amiri" w:cs="Amiri"/>
          <w:color w:val="111111"/>
          <w:sz w:val="28"/>
          <w:sz w:val="28"/>
          <w:szCs w:val="28"/>
          <w:rtl w:val="true"/>
          <w:lang w:bidi="ar-SA"/>
        </w:rPr>
        <w:t>أم الصَّلاة وإنْ لم يكن فيها ملاك الوجوب أصلاً من جهة فقد القيود المعتبرة فيه شرعاً؟</w:t>
      </w:r>
    </w:p>
    <w:p>
      <w:pPr>
        <w:pStyle w:val="BookText"/>
        <w:rPr/>
      </w:pPr>
      <w:r>
        <w:rPr>
          <w:rFonts w:ascii="Amiri" w:hAnsi="Amiri" w:eastAsia="Amiri" w:cs="Amiri"/>
          <w:color w:val="111111"/>
          <w:sz w:val="28"/>
          <w:sz w:val="28"/>
          <w:szCs w:val="28"/>
          <w:rtl w:val="true"/>
          <w:lang w:bidi="ar-SA"/>
        </w:rPr>
        <w:t>ظاهر الخبر الحسن هو الأخير، فإنّ متعلّق اليقين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وإنْ‌استيقنت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ما تقدّم كونه ترك الصَّلاة، وعدم الإتيان بها، سواءٌ أكان ذلك لعذرٍ شرعي أم عقلي، أو لا عن عذرٍ، فمقتضى إطلاق الخبر الحسن وجوب قضاء الصَّلاة اليوميّة إذا تُركت مطلقاً، غاية الأمر خرج عن ذلك موارد ستمرّعليك، وستعرف الجامع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لذلك بجملة من النصوص الاُخر، وهي ما بين ضعيف السَّند وقاصر الدلالة</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10507140_73709187"/>
      <w:bookmarkStart w:id="572" w:name="_Toc218"/>
      <w:bookmarkEnd w:id="571"/>
      <w:r>
        <w:rPr>
          <w:rtl w:val="true"/>
        </w:rPr>
        <w:t>الإخلال بما يعتبر في الصَّلاة</w:t>
      </w:r>
      <w:bookmarkEnd w:id="57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القضاء بين ترك الصَّلاة رأساً أو الإخلال بشيءٍ من أجزائها أو شرائطها الموجب لبطلان الصَّلاة، إذ المعيار ترك الصَّلاة المأمور بها، وهو كما يكون بتركها رأساً كذلك يكون بالإخلال بما يُعتبر فيها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بعضهم في الإخلال بالاُمور المعتبرة في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ما ثبت اعتباره بدليل 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ثبت اعتباره بقاعدة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القضاء في الأوّل لما مرّ، دون الثاني، من جهة أنّ القضاء إنّما يكون بأمرٍ جديد، فلا يتنجّز التكليف به إلّابعد إحراز الفوت الذي اُنيط به التكليف، وهو في هذا المورد مشكوك فيه، لأنّ الإخلال بما يؤتى به من باب الاحتياط، لا يوجبُ الجزم بحصول الفوت، واستصحاب عدم الإتيان بالمأمور به في الوقت، لا يثبت عنوان الفوت، مع أنّه من قبيل الاستصحاب في المفهوم المردّد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ليس عنواناً وجوديّاً، بل ترك المأمور به كما تقدّم، فاستصحابه لا يكون مثبتاً، وقد عرفت في هذا الشرح مراراً أنّ الأظهر جريان الاستصحاب في الشبهات المفهوميّة</w:t>
      </w:r>
      <w:r>
        <w:rPr>
          <w:rFonts w:eastAsia="Amiri" w:cs="Amiri" w:ascii="Amiri" w:hAnsi="Amiri"/>
          <w:color w:val="111111"/>
          <w:sz w:val="28"/>
          <w:szCs w:val="28"/>
          <w:rtl w:val="true"/>
          <w:lang w:bidi="ar-SA"/>
        </w:rPr>
        <w:t>.</w:t>
      </w:r>
      <w:bookmarkStart w:id="573" w:name="pg11801_108362"/>
    </w:p>
    <w:p>
      <w:pPr>
        <w:pStyle w:val="Heading6"/>
        <w:numPr>
          <w:ilvl w:val="5"/>
          <w:numId w:val="1"/>
        </w:numPr>
        <w:rPr/>
      </w:pPr>
      <w:bookmarkStart w:id="574" w:name="__RefHeading___Toc10507142_73709187"/>
      <w:bookmarkStart w:id="575" w:name="_Toc219"/>
      <w:bookmarkEnd w:id="573"/>
      <w:bookmarkEnd w:id="574"/>
      <w:r>
        <w:rPr>
          <w:rtl w:val="true"/>
        </w:rPr>
        <w:t>في بيان موارد ثبوت وجوب القضاء، وموارد ثبوت عدمه</w:t>
      </w:r>
      <w:bookmarkEnd w:id="575"/>
    </w:p>
    <w:p>
      <w:pPr>
        <w:pStyle w:val="Heading6"/>
        <w:numPr>
          <w:ilvl w:val="5"/>
          <w:numId w:val="1"/>
        </w:numPr>
        <w:rPr/>
      </w:pPr>
      <w:bookmarkStart w:id="576" w:name="__RefHeading___Toc10507144_73709187"/>
      <w:bookmarkStart w:id="577" w:name="_Toc220"/>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إذا أخلَّ بالصّلاة عمداً أو سهواً، أو فاتته بنومٍ‌، أو سكرٍ وكان مُسلماً قضى، وإنْ كان مُغمىً عليه جميع الوقت، أو كان كافراً فلا قضاءَ‌، والمرتدّ يقضي، ولو لم يجد ما يتطهّر به من الماء والتّراب سقطت، أداءً وقضاءً‌</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10507146_73709187"/>
      <w:bookmarkStart w:id="579" w:name="_Toc221"/>
      <w:bookmarkEnd w:id="578"/>
      <w:r>
        <w:rPr>
          <w:rtl w:val="true"/>
        </w:rPr>
        <w:t>موارد ثبوت وجوب القضاء بدليل خاص</w:t>
      </w:r>
      <w:bookmarkEnd w:id="579"/>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ثبوت وجوب القضاء، وموارد ثبوت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المكلّف إذا أخلَّ بالصّلاة عمداً أو سهواً، أو فاتته بنومٍ أو سكرٍ، وكان مُسلِماً قضى، وإنْ كان مغمىً عليه جميع الوقت، أو كان كافراً فلا قضاء، والمرتدّ يقضي، ولو لم يجد ما يتطهّر به من الماء والتّراب سقطت، أداءً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التكلّم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ثبوت وجوب القضاء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ثبوت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 فقد دل الدليل على ذلك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تركها عمداً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وجوبه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Style w:val="FootnoteAnchor"/>
          <w:rtl w:val="true"/>
        </w:rPr>
        <w:footnoteReference w:id="987"/>
      </w:r>
      <w:r>
        <w:rPr>
          <w:rFonts w:ascii="Amiri" w:hAnsi="Amiri" w:eastAsia="Amiri" w:cs="Amiri"/>
          <w:color w:val="111111"/>
          <w:sz w:val="28"/>
          <w:sz w:val="28"/>
          <w:szCs w:val="28"/>
          <w:rtl w:val="true"/>
          <w:lang w:bidi="ar-SA"/>
        </w:rPr>
        <w:t xml:space="preserve">، بل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الحائض الّتي طَهُرت في آخر الوقت، الدالّ على وجوب القضاء عليها لو أخّرت الصَّلاة مسامحةً‌</w:t>
      </w:r>
      <w:r>
        <w:rPr>
          <w:rStyle w:val="FootnoteAnchor"/>
          <w:rtl w:val="true"/>
        </w:rPr>
        <w:footnoteReference w:id="988"/>
      </w:r>
      <w:r>
        <w:rPr>
          <w:rFonts w:ascii="Amiri" w:hAnsi="Amiri" w:eastAsia="Amiri" w:cs="Amiri"/>
          <w:color w:val="111111"/>
          <w:sz w:val="28"/>
          <w:sz w:val="28"/>
          <w:szCs w:val="28"/>
          <w:rtl w:val="true"/>
          <w:lang w:bidi="ar-SA"/>
        </w:rPr>
        <w:t xml:space="preserve">، فإنّ المستفاد منه أنّ تضيّيع الصَّلاة موجبٌ لوجوب </w:t>
      </w:r>
    </w:p>
    <w:p>
      <w:pPr>
        <w:pStyle w:val="BookText"/>
        <w:rPr/>
      </w:pPr>
      <w:r>
        <w:rPr>
          <w:rFonts w:ascii="Amiri" w:hAnsi="Amiri" w:eastAsia="Amiri" w:cs="Amiri"/>
          <w:color w:val="111111"/>
          <w:sz w:val="28"/>
          <w:sz w:val="28"/>
          <w:szCs w:val="28"/>
          <w:rtl w:val="true"/>
          <w:lang w:bidi="ar-SA"/>
        </w:rPr>
        <w:t>القضاء من غير فرقٍ بين الرّجل والمرأة، وصلاة الظهر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تركها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لوجوبه الخبر الحسن المتقدّم الذي رواه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بغير طهور، أو نَسي صلواتٍ لم يُصلّها، أو نام عنها؟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 من ليلٍ أو نهار</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نام عن الصَّلاة حتّى انقضى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لوجوبه الخبرين الحسنين المتقدّمين وغيرهما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9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الميسيّة</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النوم على خلاف العادة، فالظاهر التحاقه بالإغماء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النصوص إلى النوم العادي، وعدم ثبوت إطلاق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وجود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لا توجب انصرافاً يؤدّي إلى تقييد الإطلاق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يُستدلّ على عدم وجوب القضاء للنوم الغالب، بما ورد في جملةٍ من نصوص المُغمى عليه الآتية،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سيأتي تعيّن الأخذ بعموم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خصوص المقام، لا يمكن التمسّك بالعموم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القائل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النوم من الأعذار العاديّة الجارية على مقتضى الطبع، وظاهرُ التعليل إرادة الأعذار الطارئة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نوم النبيّ صلى الله عليه و آله المختصّة بتنويمه من قِبل اللّه تعالى‌، كما وقع التصريح به في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فالقول بوجوب القضاء مطلقاً هو الحكم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جماعة تبعاً للشيخ قدس سره أنّه يجب أن يصوم</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نام في العُتَمة فلم يقم إلى بعد انتصاف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خبر عبد اللّه بن المغيرة، عمّن حدّثه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نام عن العُتَمة فلم يقم إلى انتصاف اللّيل‌؟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ويصبح صائماً</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لجهالة عبد اللّه وإرسال الخبر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من القول باستحبابه، كما هو المشهور لأخبار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اندفاع ما يتوهّم من أنّ الأصحاب أفتوا بمطلوبيّة الصوم، فضعف الخبر ينجبر بعمل الأصحاب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أفتوا بالاستحباب لقاعدة التسامح، لا للاعتماد على الخبر،</w:t>
      </w:r>
      <w:r>
        <w:rPr>
          <w:rFonts w:eastAsia="Amiri" w:cs="Amiri" w:ascii="Amiri" w:hAnsi="Amiri"/>
          <w:color w:val="111111"/>
          <w:sz w:val="28"/>
          <w:szCs w:val="28"/>
          <w:rtl w:val="true"/>
          <w:lang w:bidi="ar-SA"/>
        </w:rPr>
        <w:t xml:space="preserve">). </w:t>
      </w:r>
      <w:bookmarkStart w:id="580" w:name="pg11801_108365"/>
    </w:p>
    <w:p>
      <w:pPr>
        <w:pStyle w:val="BookText"/>
        <w:rPr/>
      </w:pPr>
      <w:bookmarkEnd w:id="580"/>
      <w:r>
        <w:rPr>
          <w:rFonts w:ascii="IRNazanin" w:hAnsi="IRNazanin" w:eastAsia="IRNazanin"/>
          <w:color w:val="111111"/>
          <w:sz w:val="28"/>
          <w:sz w:val="28"/>
          <w:szCs w:val="28"/>
          <w:rtl w:val="true"/>
          <w:lang w:bidi="fa-IR"/>
        </w:rPr>
        <w:t>وإلّا لأفتوا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صَلّى بغير 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لوجوب القضاء في هذا المورد جملةٌ من النصوص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السكران والمرتدّ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الفقهاء بوجوب القضاء على من فاتته الصَّلاة بسُكرٍ ولارتدادٍ، ولكن لا خصوصيّة فيهما، وإنّما يجب القضاء للعموم المتقدّم، وستعرف القول بعدم وجوبه على من شرب المسكر مُكرَهاً أو مضطرّاً أو نحو ذلك من الأعذار، فانتظر</w:t>
      </w:r>
      <w:r>
        <w:rPr>
          <w:rFonts w:eastAsia="Amiri" w:cs="Amiri" w:ascii="Amiri" w:hAnsi="Amiri"/>
          <w:color w:val="111111"/>
          <w:sz w:val="28"/>
          <w:szCs w:val="28"/>
          <w:rtl w:val="true"/>
          <w:lang w:bidi="ar-SA"/>
        </w:rPr>
        <w:t>.</w:t>
      </w:r>
    </w:p>
    <w:p>
      <w:pPr>
        <w:pStyle w:val="Heading6"/>
        <w:numPr>
          <w:ilvl w:val="5"/>
          <w:numId w:val="1"/>
        </w:numPr>
        <w:rPr/>
      </w:pPr>
      <w:bookmarkStart w:id="581" w:name="__RefHeading___Toc10507148_73709187"/>
      <w:bookmarkStart w:id="582" w:name="_Toc222"/>
      <w:bookmarkEnd w:id="581"/>
      <w:r>
        <w:rPr>
          <w:rtl w:val="true"/>
        </w:rPr>
        <w:t>الصَّلاة التي تُركت في حال الجنون</w:t>
      </w:r>
      <w:bookmarkEnd w:id="582"/>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الموارد التي ثبت عدم وجوب القضاء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تُركت في حال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تُركت في حال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في الموردين مُجمعٌ عليه بين الأصحاب</w:t>
      </w:r>
      <w:r>
        <w:rPr>
          <w:rStyle w:val="FootnoteAnchor"/>
          <w:rtl w:val="true"/>
        </w:rPr>
        <w:footnoteReference w:id="996"/>
      </w:r>
      <w:r>
        <w:rPr>
          <w:rFonts w:ascii="Amiri" w:hAnsi="Amiri" w:eastAsia="Amiri" w:cs="Amiri"/>
          <w:color w:val="111111"/>
          <w:sz w:val="28"/>
          <w:sz w:val="28"/>
          <w:szCs w:val="28"/>
          <w:rtl w:val="true"/>
          <w:lang w:bidi="ar-SA"/>
        </w:rPr>
        <w:t>، بل لعلّه من الضروريّات، وهذا ممّا لا كلام فيه، إنّما الكلام في ما إذا كان الجنون بفعله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الشهيدين</w:t>
      </w:r>
      <w:r>
        <w:rPr>
          <w:rStyle w:val="FootnoteAnchor"/>
          <w:rtl w:val="true"/>
        </w:rPr>
        <w:footnoteReference w:id="997"/>
      </w:r>
      <w:r>
        <w:rPr>
          <w:rFonts w:ascii="Amiri" w:hAnsi="Amiri" w:eastAsia="Amiri" w:cs="Amiri"/>
          <w:color w:val="111111"/>
          <w:sz w:val="28"/>
          <w:sz w:val="28"/>
          <w:szCs w:val="28"/>
          <w:rtl w:val="true"/>
          <w:lang w:bidi="ar-SA"/>
        </w:rPr>
        <w:t>، وجماعة وجوب القضاء عليه</w:t>
      </w:r>
      <w:r>
        <w:rPr>
          <w:rStyle w:val="FootnoteAnchor"/>
          <w:rtl w:val="true"/>
        </w:rPr>
        <w:footnoteReference w:id="998"/>
      </w:r>
      <w:r>
        <w:rPr>
          <w:rFonts w:ascii="Amiri" w:hAnsi="Amiri" w:eastAsia="Amiri" w:cs="Amiri"/>
          <w:color w:val="111111"/>
          <w:sz w:val="28"/>
          <w:sz w:val="28"/>
          <w:szCs w:val="28"/>
          <w:rtl w:val="true"/>
          <w:lang w:bidi="ar-SA"/>
        </w:rPr>
        <w:t>، وادّعى الشهيد قدس سره الإجماع عليه</w:t>
      </w:r>
      <w:r>
        <w:rPr>
          <w:rStyle w:val="FootnoteAnchor"/>
          <w:rtl w:val="true"/>
        </w:rPr>
        <w:footnoteReference w:id="999"/>
      </w:r>
      <w:r>
        <w:rPr>
          <w:rFonts w:ascii="Amiri" w:hAnsi="Amiri" w:eastAsia="Amiri" w:cs="Amiri"/>
          <w:color w:val="111111"/>
          <w:sz w:val="28"/>
          <w:sz w:val="28"/>
          <w:szCs w:val="28"/>
          <w:rtl w:val="true"/>
          <w:lang w:bidi="ar-SA"/>
        </w:rPr>
        <w:t>، واستدلّ له 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محلّه من أنّه لا مفهوم له، فالأولى الاستدلال له بالعموم المتقدّم، خرج عنه ما إذا كان الجنون بآفةٍ سماويّة،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معاقد الإجماعات المُدّعاة على عدم وجوبه على المجنون يشمل هذا الجنون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سبيل إلى هذه الدعوى، بعد تصريح جماعةٍ منهم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القول بعدم وجوب القضاء على المجنون، إنّما هو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مختصّ بما إذا كان الجنون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حديث رفع القلم عن المجنون</w:t>
      </w:r>
      <w:r>
        <w:rPr>
          <w:rStyle w:val="FootnoteAnchor"/>
          <w:rtl w:val="true"/>
        </w:rPr>
        <w:footnoteReference w:id="1001"/>
      </w:r>
      <w:r>
        <w:rPr>
          <w:rFonts w:ascii="Amiri" w:hAnsi="Amiri" w:eastAsia="Amiri" w:cs="Amiri"/>
          <w:color w:val="111111"/>
          <w:sz w:val="28"/>
          <w:sz w:val="28"/>
          <w:szCs w:val="28"/>
          <w:rtl w:val="true"/>
          <w:lang w:bidi="ar-SA"/>
        </w:rPr>
        <w:t>، عدم وجوب الأداء عليه، وبتبعه لا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القضاء ليس تابعاً لوجوب الأداء بالفعل، ولذا يجب على النائم القضاء، ولا يجب عليه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وجوب القضاء عليه إذا كان الجنون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تُركت للإغماء المستوعب للوقت، كما هو المشهور</w:t>
      </w:r>
      <w:r>
        <w:rPr>
          <w:rStyle w:val="FootnoteAnchor"/>
          <w:rtl w:val="true"/>
        </w:rPr>
        <w:footnoteReference w:id="100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عن المُغمى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يوماً أو أكثر، هل يقضي ما فاته من الصَّلاة أم لا؟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ولا يقضي الصَّلاة</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الفضل بن شاذان، عن الإمام الرضا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كلّما غَلَب اللّه عليه مثل المُغمى عليه يُغمى عليه في يومٍ وليلة، فلا يجب عليه قضاء الصَّلوات كما 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على العبد فهو أعذرُ له</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موسى بن بكر الذي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يُغمى عليه اليوم أو اليومين أو الثلاثة أو الأربعة أو أكثر من ذلك، كم يقضي من صلاته‌؟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بما يجمع لك هذا وأشباهه، كلّما غَلَب اللّه عزّ وجلّ من أمر فاللّه أعذر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الأبواب التي يفتح من كلّ بابٍ منها ألف باب</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فليس على صاحبه شيء</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ونحوها غيرها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وبإزاء هذه النصوص طوائف من الأخبار</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وجوب القضاء عليه مطلقاً، كحسن محمّد بن مسلم،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يُغمى عليه، ثمّ يفيق‌؟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صحاح ابن حازم ورفاعة وابن سنان وغيرها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وجوب القضاء، إذا كان الإغماء ثلاثة أيّام، كموثّق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المريض يُغمى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عليه ثلاثة أيّام، فليس عليه قضاءٌ‌، وإذا اُغمي عليه ثلاثة أيّام، فعليه قضاء الصَّلاة فيهنّ‌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وجوب قضاء ثلاثة أيّام فيما لو جازها، كخبر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اُغمي عليه شهراً، أيقضي شيئاً من صلاته‌؟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يقضي منها ثلاثة أيّام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يقضي صلاة يوم واحدٍ، كصحيح حفص،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صلاة يومٍ‌</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لا تمنع من العمل بتلك النصوص، لصراحتها في عدم الوجوب في جميع الموارد الّتي تكون هذه النصوص ظاهرة في الوجوب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الطائفة الثانية صريحة في عدم وجوب القضاء، إذا جاز ثلاثة أيّام، وقد دلَّت الطائفة الثالثة على وجوبه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فالجمع العرفي بينها يقتضي حمل هذه النصوص بأجمعها على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الاستحباب، ويُحمل ما فيها من الإختلال على اختلاف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إليه خبر أبي كهمس،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عن المُغمى عليه أيقضي ما تركه من الصَّلاة‌؟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وولدي وأهلي فنفعل ذلك</w:t>
      </w:r>
      <w:r>
        <w:rPr>
          <w:rFonts w:eastAsia="Amiri" w:cs="Amiri" w:ascii="Amiri" w:hAnsi="Amiri"/>
          <w:color w:val="111111"/>
          <w:sz w:val="28"/>
          <w:szCs w:val="28"/>
          <w:rtl w:val="true"/>
          <w:lang w:bidi="ar-SA"/>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 منصور</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بعض النصوص والفتاوى، كصريح بعضٍ‌، عدم الفرق في المُغمى عليه بين كون الإغماء باختياره أو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وجوب القضاء عليه فيما كان الإغماء باختياره، ونَسَبه إلى الأصحاب، ووافقه بعض المتأخّرين</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بانصراف النصوص إلى الغالب المتعارف، وهو ما إذا كان الإغماء بآفةٍ 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وبالتعليل في النصوص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فهو أولى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اختصاص الحكم بمورد ثبوت العلّة، وهو كون العذر الموجب لفوات الصَّلاة مِن قِبل اللّه تعالى دون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الإنصراف الناشيء عن قلّة وجود فردٍ لا يصلح لتقييد الإطلاق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وإنْ كانت تُعمّم وتخصّص، إلّاأنّ الجملة المُشار إليها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 علّة مصرّحة، بل هي كبرى كليّة شاملة للمورد، يستفاد منها العلّية، نظير 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السؤال عن حكم الخمر، أو بعد بيان حكمها، فإنّه وإنْ كان يستفاد منه حكم كلّ مسكرٍ، إلّاأنّه لا يدلّ على عدم حرمة غير المسكر، وإنْ كان خمراً، ففي المقام وإنْ يستفاد من تلك الفقرة أنّ كلّ عُذرٍ إذا كان من قِبل اللّه تعالى لا يجبُ فيه القضاء، إلّاأنّه لا يستفاد منها وجوب القضاء إذا كان العُذر بفعله، كي توجبُ تقيّيد إطلاق النصوص الدالّة على عدم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عموم هذه الجملة، أنّ كلّ عذرٍ مانعٌ عن أداء الصَّلاة في وقتها إذا لم يكن من قِبَله وباختياره، كما إذا شرب المُسكر بغير اختياره، فأصبح سكراناً ففات منه الصَّلاة، فإنّه لا يجب معه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المعاصرين</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من أنّه لا إطلاق لذلك بنحو يكون قاعدة كليّة في مقابل عموم القضاء، إذ ليس ما يقتضي العموم من قرينة لفظيّة أو حاليّة أو عقليّة، لعدم ورود الكلام لبيان ذلك، بل هو في مقام الإشارة إليها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مضافاً إلى صلاحيّة 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لذلك، أنّ بعض نصوص الباب مسوقٌ لبيان هذه الكليّة، لتكون قانوناً كليّاً، وينفتح منه ألف باب، راجع خبر موسى بن بكر</w:t>
      </w:r>
      <w:r>
        <w:rPr>
          <w:rStyle w:val="FootnoteAnchor"/>
          <w:rtl w:val="true"/>
        </w:rPr>
        <w:footnoteReference w:id="1018"/>
      </w:r>
      <w:r>
        <w:rPr>
          <w:rFonts w:ascii="Amiri" w:hAnsi="Amiri" w:eastAsia="Amiri" w:cs="Amiri"/>
          <w:color w:val="111111"/>
          <w:sz w:val="28"/>
          <w:sz w:val="28"/>
          <w:szCs w:val="28"/>
          <w:rtl w:val="true"/>
          <w:lang w:bidi="ar-SA"/>
        </w:rPr>
        <w:t>، وصحيح الفضل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في مواردَ لم يدلّ دليلٌ بإطلاقه على وجوب القضاء، ولا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يتمّ في ما ثبت فيه ذلك، فإنّ النسبة حينئذٍ عمومٌ من وجه، فلا وجه لتقديم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المحقّق في محلّه أنّه عند تعارض العامين من وجه إذا كانت دلالة أحدهما على حكم المجمع بالعموم ودلالة الآخر بالإطلاق، يكون الأوّل مقدّماً، وعليه فهذه تقدّم على إطلاق دليل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وقد تقدّم الكلام فيهما، وفي الفروع المتعلّقة بهما في هذا الشرح</w:t>
      </w:r>
      <w:r>
        <w:rPr>
          <w:rStyle w:val="FootnoteAnchor"/>
          <w:rtl w:val="true"/>
        </w:rPr>
        <w:footnoteReference w:id="1020"/>
      </w:r>
      <w:r>
        <w:rPr>
          <w:rFonts w:ascii="Amiri" w:hAnsi="Amiri" w:eastAsia="Amiri" w:cs="Amiri"/>
          <w:color w:val="111111"/>
          <w:sz w:val="28"/>
          <w:sz w:val="28"/>
          <w:szCs w:val="28"/>
          <w:rtl w:val="true"/>
          <w:lang w:bidi="ar-SA"/>
        </w:rPr>
        <w:t>في مبحث الحيض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المقام في أنّه إذا كان حصول الحيض باختياره وبفعله، فهل يجب عليها القضاء، كما عن بعض المحقّقين رحمه الله</w:t>
      </w:r>
      <w:r>
        <w:rPr>
          <w:rStyle w:val="FootnoteAnchor"/>
          <w:rtl w:val="true"/>
        </w:rPr>
        <w:footnoteReference w:id="1021"/>
      </w:r>
      <w:r>
        <w:rPr>
          <w:rFonts w:ascii="Amiri" w:hAnsi="Amiri" w:eastAsia="Amiri" w:cs="Amiri"/>
          <w:color w:val="111111"/>
          <w:sz w:val="28"/>
          <w:sz w:val="28"/>
          <w:szCs w:val="28"/>
          <w:rtl w:val="true"/>
          <w:lang w:bidi="ar-SA"/>
        </w:rPr>
        <w:t>أم لا يجب ذلك عليها؟</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مفهوم له، لعدم كونه من قبيل العلّة كي يُدّعى ظهوره في الانحصار، فراجع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كونه علّة منحصرة، لا وجه لتقيّيد إطلاق نصوص الباب به، وذلك لأنّ التعدّي عن عموم العلّة إنّما يصحّ بالإضافة إلى منطوقها دون المفهوم، 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الرمّان لأنّه حامض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عن مورد العلّة في المنطوق، ويُقال إنّه لا يجوز أكل كلّ حامض، ولكنّه لا يتعدّى عن مفهومها، ولا يحكم بجواز أكل فاكهة اُخرى إذا لم تكن حامضة، فلا يصحّ في المقام التعدّي عن مورد مفهوم العلّة المزبورة، والحكم بوجوب القضاء على الحائض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83" w:name="pg11801_108372"/>
    </w:p>
    <w:p>
      <w:pPr>
        <w:pStyle w:val="Heading6"/>
        <w:numPr>
          <w:ilvl w:val="5"/>
          <w:numId w:val="1"/>
        </w:numPr>
        <w:rPr/>
      </w:pPr>
      <w:bookmarkStart w:id="584" w:name="__RefHeading___Toc10507150_73709187"/>
      <w:bookmarkStart w:id="585" w:name="_Toc223"/>
      <w:bookmarkEnd w:id="583"/>
      <w:bookmarkEnd w:id="584"/>
      <w:r>
        <w:rPr>
          <w:rtl w:val="true"/>
        </w:rPr>
        <w:t>عدم وجوب القضاء على الكافر</w:t>
      </w:r>
      <w:bookmarkEnd w:id="58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تُركت في حال الكفر الأصلي، فلا يجب على مثل هذا الكافر القضاء لو أسلم إجماعاً، حكاه جماعة</w:t>
      </w:r>
      <w:r>
        <w:rPr>
          <w:rStyle w:val="FootnoteAnchor"/>
          <w:rtl w:val="true"/>
        </w:rPr>
        <w:footnoteReference w:id="1023"/>
      </w:r>
      <w:r>
        <w:rPr>
          <w:rFonts w:ascii="Amiri" w:hAnsi="Amiri" w:eastAsia="Amiri" w:cs="Amiri"/>
          <w:color w:val="111111"/>
          <w:sz w:val="28"/>
          <w:sz w:val="28"/>
          <w:szCs w:val="28"/>
          <w:rtl w:val="true"/>
          <w:lang w:bidi="ar-SA"/>
        </w:rPr>
        <w:t>، بل قيل إنّه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بالنبوي المشهور</w:t>
      </w:r>
      <w:r>
        <w:rPr>
          <w:rStyle w:val="FootnoteAnchor"/>
          <w:rtl w:val="true"/>
        </w:rPr>
        <w:footnoteReference w:id="10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رواه أبو الفرج الأصبهاني، وابن هشام في سيرته في حكاية إسلام مغيرة بن شُعبة، كما رواه ابن سعد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قصة إسلام المُغيرة وغدره برفقائه، ورواه أيضاً عليّ بن ابراهيم في تفسيره</w:t>
      </w:r>
      <w:r>
        <w:rPr>
          <w:rStyle w:val="FootnoteAnchor"/>
          <w:rtl w:val="true"/>
        </w:rPr>
        <w:footnoteReference w:id="1025"/>
      </w:r>
      <w:r>
        <w:rPr>
          <w:rFonts w:ascii="Amiri" w:hAnsi="Amiri" w:eastAsia="Amiri" w:cs="Amiri"/>
          <w:color w:val="111111"/>
          <w:sz w:val="28"/>
          <w:sz w:val="28"/>
          <w:szCs w:val="28"/>
          <w:rtl w:val="true"/>
          <w:lang w:bidi="ar-SA"/>
        </w:rPr>
        <w:t>ذيل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في قصّة إسلام عبد اللّه أخي اُمّ سلمة، 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في قصّة إسلام أخي عثمان، وفيها أيضاً عن إسلام هبّار</w:t>
      </w:r>
      <w:r>
        <w:rPr>
          <w:rStyle w:val="FootnoteAnchor"/>
          <w:rtl w:val="true"/>
        </w:rPr>
        <w:footnoteReference w:id="1028"/>
      </w:r>
      <w:r>
        <w:rPr>
          <w:rFonts w:ascii="Amiri" w:hAnsi="Amiri" w:eastAsia="Amiri" w:cs="Amiri"/>
          <w:color w:val="111111"/>
          <w:sz w:val="28"/>
          <w:sz w:val="28"/>
          <w:szCs w:val="28"/>
          <w:rtl w:val="true"/>
          <w:lang w:bidi="ar-SA"/>
        </w:rPr>
        <w:t xml:space="preserve">، كما أنّه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ورواه الطبراني مع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والهجرة تجبُّقبلها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والتوبة تجبُّ ما قبلها من الكفر والمعاصي والذنوب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لا سيّما بعد ملاحظة ذيله، أنّ الإسلام يَجُبُّ الكفر ويقطعه، </w:t>
      </w:r>
    </w:p>
    <w:p>
      <w:pPr>
        <w:pStyle w:val="BookText"/>
        <w:rPr/>
      </w:pPr>
      <w:r>
        <w:rPr>
          <w:rFonts w:ascii="Amiri" w:hAnsi="Amiri" w:eastAsia="Amiri" w:cs="Amiri"/>
          <w:color w:val="111111"/>
          <w:sz w:val="28"/>
          <w:sz w:val="28"/>
          <w:szCs w:val="28"/>
          <w:rtl w:val="true"/>
          <w:lang w:bidi="ar-SA"/>
        </w:rPr>
        <w:t>لا أنّه يَجبُّ ماثبت في حال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الاستدلال له بما في المرتضوي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في باب قضايا أمير المؤمنين عليه السلام، من قوله عليه السلام في مَن طلّق امرأته في الشرك تطليقة وفي الإسلام تطليقتين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 الإسلام ما كان قبله، هي عندك على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طلّق زوجته في الشرك تطليقة، وفي الإسلام تطليقة‌؟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الإسلام ما كان قبله، هي عندك على واحدة</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بالارسال في غير محلّه، بعد كونه مشهوراً بين الأصحاب، فلا إشكال في الحكم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الإشكال في تصوير تكليف الكافر بالقضاء، وسقوطه عنه بالإسلام، وذلك لأنّه في حال الكفر لا تصحّ الصَّلاة منه، بل لو أراد أن يأتي بالصّلاة لابدَّ له من الإسلام، ولو أسلم سقط عنه التكليف، فالأمر بالقضاء بالنسبة إليه لا يصلح للداعوية، ولذا اختار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32"/>
      </w:r>
      <w:r>
        <w:rPr>
          <w:rFonts w:ascii="Amiri" w:hAnsi="Amiri" w:eastAsia="Amiri" w:cs="Amiri"/>
          <w:color w:val="111111"/>
          <w:sz w:val="28"/>
          <w:sz w:val="28"/>
          <w:szCs w:val="28"/>
          <w:rtl w:val="true"/>
          <w:lang w:bidi="ar-SA"/>
        </w:rPr>
        <w:t>أنّه غير مخاطبٍ بالقضاء، وإنْ كان مخاطبا بغيره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يعدّ معاقباً على ترك قضاء الصَّلاة إلّاإذا أسلم، ولكن لا يكون مكلّفاً بتكليف فعليّ متوجّه إليه حال الكفر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الصَّلاة الأدائيّة بالنسبة إليه مصلحة ملزمة داعية إلى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586" w:name="pg11801_108374"/>
    </w:p>
    <w:p>
      <w:pPr>
        <w:pStyle w:val="BookText"/>
        <w:rPr/>
      </w:pPr>
      <w:bookmarkEnd w:id="586"/>
      <w:r>
        <w:rPr>
          <w:rFonts w:ascii="Amiri" w:hAnsi="Amiri" w:eastAsia="Amiri" w:cs="Amiri"/>
          <w:color w:val="111111"/>
          <w:sz w:val="28"/>
          <w:sz w:val="28"/>
          <w:szCs w:val="28"/>
          <w:rtl w:val="true"/>
          <w:lang w:bidi="ar-SA"/>
        </w:rPr>
        <w:t>إيجابها، وفي القضاء أيضاً مصلحة ملزمة على تقدير عدم الأداء كالمسلم، وهو يتمكّن في الوقت من أن يَسلم ويأتي بالأداء، أو على فرض تركها في الوقت، يأتي بها في خارج الوقت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لم يُسْلم في الوقت ومضى‌، فبعده وإنْ كان لا يتمكّن من القضاء، إلّا أنّ ذلك إنّما يكون بسوء اختياره، وقد ثبت في محلّه أنّ الامتناع بالاختيار لا ينافي الاختيار عقاباً، وإنْ نافاه خطاباً، فيُعاقب على عدم القضاء، وإنْ أسلم فلا يُعاقب على ذلك، لأنّ الإسلام يهدم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ذكرناه هو مراد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التزم بأنّ الكافر غير مكلّف بالقضاء فلا 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أنّه لا فائدة في تكليف الكافر بالقضاء، ففيه أنّ فائدته العقاب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امتناعه في نفسه، ففيه أنّه يتمّ لو كُلّف بالقضاء بشرط بقائه على الكفر، لكنّه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ليس أثر التكليف والغرض الدّاعي إليه، بل الغرض من التكليف هو صيرورته داعياً إلى الفعل أو زاجراً عنه، فمع عدم التمكّن من الفعل لا معنى لجعله</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10507152_73709187"/>
      <w:bookmarkStart w:id="588" w:name="_Toc224"/>
      <w:bookmarkEnd w:id="587"/>
      <w:r>
        <w:rPr>
          <w:rtl w:val="true"/>
        </w:rPr>
        <w:t>أقول</w:t>
      </w:r>
      <w:r>
        <w:rPr>
          <w:rtl w:val="true"/>
        </w:rPr>
        <w:t xml:space="preserve">: </w:t>
      </w:r>
      <w:r>
        <w:rPr>
          <w:rtl w:val="true"/>
        </w:rPr>
        <w:t>بقي الكلام في أمرين</w:t>
      </w:r>
      <w:r>
        <w:rPr>
          <w:rtl w:val="true"/>
        </w:rPr>
        <w:t>:</w:t>
      </w:r>
      <w:bookmarkEnd w:id="588"/>
    </w:p>
    <w:p>
      <w:pPr>
        <w:pStyle w:val="Heading6"/>
        <w:numPr>
          <w:ilvl w:val="5"/>
          <w:numId w:val="1"/>
        </w:numPr>
        <w:rPr/>
      </w:pPr>
      <w:bookmarkStart w:id="589" w:name="__RefHeading___Toc10507154_73709187"/>
      <w:bookmarkStart w:id="590" w:name="_Toc225"/>
      <w:bookmarkEnd w:id="589"/>
      <w:r>
        <w:rPr>
          <w:rtl w:val="true"/>
        </w:rPr>
        <w:t>هل يجب على المرتدّ قضاء ما فات منه حال رِدّته</w:t>
      </w:r>
      <w:bookmarkEnd w:id="59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على المرتدّ قضاء ما فات منه حال رِدّته بعد عوده إلى الإسلام، أم لا، أم يجب التفصيل بين المرتدّ المِلّي فيجب، والفطري فلا يجب‌؟ وجوهٌ‌، بل أقوال</w:t>
      </w:r>
      <w:r>
        <w:rPr>
          <w:rFonts w:eastAsia="Amiri" w:cs="Amiri" w:ascii="Amiri" w:hAnsi="Amiri"/>
          <w:color w:val="111111"/>
          <w:sz w:val="28"/>
          <w:szCs w:val="28"/>
          <w:rtl w:val="true"/>
          <w:lang w:bidi="ar-SA"/>
        </w:rPr>
        <w:t xml:space="preserve">. </w:t>
      </w:r>
      <w:bookmarkStart w:id="591" w:name="pg11801_108375"/>
    </w:p>
    <w:p>
      <w:pPr>
        <w:pStyle w:val="BookText"/>
        <w:rPr/>
      </w:pPr>
      <w:bookmarkEnd w:id="591"/>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دليل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كافرٌ فيشمله ما دلَّ على عدم الوجوب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المدرك لنفي القضاء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 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هَدَم الإسلام 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شموله للمرتدّ واضحٌ‌، لذهاب جمع</w:t>
      </w:r>
      <w:r>
        <w:rPr>
          <w:rStyle w:val="FootnoteAnchor"/>
          <w:rtl w:val="true"/>
        </w:rPr>
        <w:footnoteReference w:id="1033"/>
      </w:r>
      <w:r>
        <w:rPr>
          <w:rFonts w:ascii="IRNazanin" w:hAnsi="IRNazanin" w:eastAsia="IRNazanin"/>
          <w:color w:val="111111"/>
          <w:sz w:val="28"/>
          <w:sz w:val="28"/>
          <w:szCs w:val="28"/>
          <w:rtl w:val="true"/>
          <w:lang w:bidi="fa-IR"/>
        </w:rPr>
        <w:t>إلى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ظاهره أنّ الهادم إسلام من كان كافراً قبله بقول مطلق، ولا يشمل من كان مسلماً ثمّ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المرتدّ الفطري لا يقبل إسلامه، كما دلّت النصوص عليه، فهو لا يتمكّن من القضاء، لأنّ شرط صحّته الإسلام، فلا يكون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الجزء الأوّل من هذا الشرح في مطهريّة الإسلام من إمكان قبول إسلام المرتدّ الفطري، فراجع</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 المرتدّ بعد إسلامه يقضي ما فات منه زمان ردّته، وتصحّ الصَّلاة منه</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0507156_73709187"/>
      <w:bookmarkStart w:id="593" w:name="_Toc226"/>
      <w:bookmarkEnd w:id="592"/>
      <w:r>
        <w:rPr>
          <w:rtl w:val="true"/>
        </w:rPr>
        <w:t>قضاء الصَّلاة على المخالف</w:t>
      </w:r>
      <w:bookmarkEnd w:id="593"/>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المخالف قضاء الصَّلاة بعد استبصاره أم لا؟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بالصّلاة أصلاً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على وجهٍ يوافق مذهبه ومذهبنا من غير جهة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على وجهٍ يخالف مذهبه ومذهبنا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على وجهٍ يخالف مذهبنا ويوافق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قضاء ما أتى به على وفق مذهبه، ووجوب قضاء ما سوى ذلك، وهناك أقوالٌ اُخر</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أنّه لا يقضي لو صَلّى على وجهٍ يوافق مذهبه أو مذهبنا، ويجبُ القضاء عليه، لو لم يُصلِّ أو صَلّى على وجهٍ يخالف مذهبه أو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الفضلاء، عن الصادقين عليهما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في بعض هذه الأهواء؛ الحروريّة والمُرجئة والعثمانيّة والقَدَريّة ثمّ يتوب ويعرف هذا الأمر، ويَحسُن رأيه، أيُعيد كلّ صلاةٍ صلّاها أو زكاةٍ أو حَجٍّ‌، أو ليس عليه إعادة شيء من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إعادة شي من ذلك غير الزكاة، فإنّه لابدّ وأن يؤدّيها، لأنّه وضع الزكاة في غير موضعها، وإنّما موضعها أهل الولاية</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العِجلي، عن الإمام الصادق عليه السلام في حديثٍ قال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عَمِله وهو في حال نَصبه وضلالته، ثمّ مَنَّ اللّه تعالى عليه وعرَّفه الولاية، فإنّه يؤجَر عليه إلّاالزكاة، فإنّه يُعيدها، لأنّه وضعها في غير مواضعها،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لأنّها لأهل الولاية، وأمّا الصَّلاة والحجّ والصيام فليس عليه قضاء</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النصوص لأجل غلبة مخالفة صلاة المخالف للمذهب، تشمل ما لو كان صلاته على وفق مذهبه، ومن جهة ترك الاستفصال تشمل ما لو كان على وفق المذهب، ولكنّها لاتشمل ما لو كان عليخلاف مذهبنا ومذهبه، لانصرافهاعن ذلك، فيكون المرجع عموم ما دلَّ على وجوب القضاء، وكذلك الأمر لو تركها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خبر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سليمان بن خالد لأبي عبد اللّه عليه السلام وأنا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في كلّ يوم صلاتين، أقضي ما فاتني قبل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الحال التي كنتَ عليها أعظم من ترك ما تركت من الصَّلاة</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يدلّ على عدم وجوب القضاء عليه مطلقاً، كما توهم، لأنّ من الجائز أن يكون المراد من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فاتني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ما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الصحيحة الواقعيّة، إذ من المستبعد جدّاً ترك الصَّلاة رأساً من سليمان مع جلالة قدره، حتّى قبل الاستبصار، فينطبق مفاده على سائر الروايات، مع 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بسقوط القضاء مطلقاً فشاذٌّ</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صحيح الفضلاء وغيره، أنّه لو صلّى واستبصر في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يجب الإعادة، ولا ينافيها قوله عليه السلام في صحيح العجلي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دلالته على اختصاص نصوص الإجزاء بالقضاء، فالقول بوجوب الإعادة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فاقد الطهورين، وقد تقدّم الكلام فيه في مبحث التيمّم، فراجع</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طرأت إحدى الأعذار الموجبة لعدم وجوب الصَّلاة أداءً وقضاءً‌، كالحيض والجنون وغيرهما، وقد مضى من الوقت مقدار أداء الصَّلاة، ولم يُصلِّ فهل يجب القضاء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ذلك، وفيما إذا زال وقد بقي من الوقت مقدار الصَّلاة مذكورٌ في مبحث أحكام الحيض</w:t>
      </w:r>
      <w:r>
        <w:rPr>
          <w:rStyle w:val="FootnoteAnchor"/>
          <w:rtl w:val="true"/>
        </w:rPr>
        <w:footnoteReference w:id="1041"/>
      </w:r>
      <w:r>
        <w:rPr>
          <w:rFonts w:ascii="Amiri" w:hAnsi="Amiri" w:eastAsia="Amiri" w:cs="Amiri"/>
          <w:color w:val="111111"/>
          <w:sz w:val="28"/>
          <w:sz w:val="28"/>
          <w:szCs w:val="28"/>
          <w:rtl w:val="true"/>
          <w:lang w:bidi="ar-SA"/>
        </w:rPr>
        <w:t>من كتابنا هذا، وقد أشبعنا الكلام في الموردين، فلا وجه للإعادة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594" w:name="pg11801_108379"/>
    </w:p>
    <w:p>
      <w:pPr>
        <w:pStyle w:val="BookText"/>
        <w:rPr/>
      </w:pPr>
      <w:bookmarkEnd w:id="594"/>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وعليه فائتة، تخيّر بينهما</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10507158_73709187"/>
      <w:bookmarkStart w:id="596" w:name="_Toc227"/>
      <w:bookmarkEnd w:id="595"/>
      <w:r>
        <w:rPr>
          <w:rtl w:val="true"/>
        </w:rPr>
        <w:t>المواسعة والمضايقة</w:t>
      </w:r>
      <w:bookmarkEnd w:id="596"/>
    </w:p>
    <w:p>
      <w:pPr>
        <w:pStyle w:val="Heading6"/>
        <w:numPr>
          <w:ilvl w:val="5"/>
          <w:numId w:val="1"/>
        </w:numPr>
        <w:rPr/>
      </w:pPr>
      <w:bookmarkStart w:id="597" w:name="__RefHeading___Toc10507160_73709187"/>
      <w:bookmarkStart w:id="598" w:name="_Toc228"/>
      <w:bookmarkEnd w:id="597"/>
      <w:r>
        <w:rPr>
          <w:rtl w:val="true"/>
        </w:rPr>
        <w:t>اشارة</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وعليه فائتة، تخيّر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تقديم الفائته على الحاضرة، سواءٌ أكانت ليومٍ حاضر أم فائت، كما لعلّه المشهور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بأس بالتعرّض لمسألة اُخرى قبل هذه المسألة التي توهم ابتناء هذه المسألة عليها، وهي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تجبُ المبادرة إلى فعل القضاء، أي الإتيان به فوراً أم لا؟</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بالقضاء مبنيٌّ على المضايقة أو المواسعة‌؟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فالمحكي عن جماعة من الفقهاء الأساطين</w:t>
      </w:r>
      <w:r>
        <w:rPr>
          <w:rStyle w:val="FootnoteAnchor"/>
          <w:rtl w:val="true"/>
        </w:rPr>
        <w:footnoteReference w:id="1042"/>
      </w:r>
      <w:r>
        <w:rPr>
          <w:rFonts w:ascii="Amiri" w:hAnsi="Amiri" w:eastAsia="Amiri" w:cs="Amiri"/>
          <w:color w:val="111111"/>
          <w:sz w:val="28"/>
          <w:sz w:val="28"/>
          <w:szCs w:val="28"/>
          <w:rtl w:val="true"/>
          <w:lang w:bidi="ar-SA"/>
        </w:rPr>
        <w:t>، كالسيّد</w:t>
      </w:r>
      <w:r>
        <w:rPr>
          <w:rStyle w:val="FootnoteAnchor"/>
          <w:rtl w:val="true"/>
        </w:rPr>
        <w:footnoteReference w:id="1043"/>
      </w:r>
      <w:r>
        <w:rPr>
          <w:rFonts w:ascii="Amiri" w:hAnsi="Amiri" w:eastAsia="Amiri" w:cs="Amiri"/>
          <w:color w:val="111111"/>
          <w:sz w:val="28"/>
          <w:sz w:val="28"/>
          <w:szCs w:val="28"/>
          <w:rtl w:val="true"/>
          <w:lang w:bidi="ar-SA"/>
        </w:rPr>
        <w:t>، والحِلّي</w:t>
      </w:r>
      <w:r>
        <w:rPr>
          <w:rStyle w:val="FootnoteAnchor"/>
          <w:rtl w:val="true"/>
        </w:rPr>
        <w:footnoteReference w:id="1044"/>
      </w:r>
      <w:r>
        <w:rPr>
          <w:rFonts w:ascii="Amiri" w:hAnsi="Amiri" w:eastAsia="Amiri" w:cs="Amiri"/>
          <w:color w:val="111111"/>
          <w:sz w:val="28"/>
          <w:sz w:val="28"/>
          <w:szCs w:val="28"/>
          <w:rtl w:val="true"/>
          <w:lang w:bidi="ar-SA"/>
        </w:rPr>
        <w:t>، والحلبي</w:t>
      </w:r>
      <w:r>
        <w:rPr>
          <w:rStyle w:val="FootnoteAnchor"/>
          <w:rtl w:val="true"/>
        </w:rPr>
        <w:footnoteReference w:id="1045"/>
      </w:r>
      <w:r>
        <w:rPr>
          <w:rFonts w:ascii="Amiri" w:hAnsi="Amiri" w:eastAsia="Amiri" w:cs="Amiri"/>
          <w:color w:val="111111"/>
          <w:sz w:val="28"/>
          <w:sz w:val="28"/>
          <w:szCs w:val="28"/>
          <w:rtl w:val="true"/>
          <w:lang w:bidi="ar-SA"/>
        </w:rPr>
        <w:t>، وظاهر المفيد</w:t>
      </w:r>
      <w:r>
        <w:rPr>
          <w:rStyle w:val="FootnoteAnchor"/>
          <w:rtl w:val="true"/>
        </w:rPr>
        <w:footnoteReference w:id="1046"/>
      </w:r>
      <w:r>
        <w:rPr>
          <w:rFonts w:ascii="Amiri" w:hAnsi="Amiri" w:eastAsia="Amiri" w:cs="Amiri"/>
          <w:color w:val="111111"/>
          <w:sz w:val="28"/>
          <w:sz w:val="28"/>
          <w:szCs w:val="28"/>
          <w:rtl w:val="true"/>
          <w:lang w:bidi="ar-SA"/>
        </w:rPr>
        <w:t>، والديلمي</w:t>
      </w:r>
      <w:r>
        <w:rPr>
          <w:rStyle w:val="FootnoteAnchor"/>
          <w:rtl w:val="true"/>
        </w:rPr>
        <w:footnoteReference w:id="1047"/>
      </w:r>
      <w:r>
        <w:rPr>
          <w:rFonts w:ascii="Amiri" w:hAnsi="Amiri" w:eastAsia="Amiri" w:cs="Amiri"/>
          <w:color w:val="111111"/>
          <w:sz w:val="28"/>
          <w:sz w:val="28"/>
          <w:szCs w:val="28"/>
          <w:rtl w:val="true"/>
          <w:lang w:bidi="ar-SA"/>
        </w:rPr>
        <w:t>وغيرهم، القول بوجوب قضاء الفائتة فوراً، وعدم جواز التأخير، حتّى حُكي عن بعضهم</w:t>
      </w:r>
      <w:r>
        <w:rPr>
          <w:rStyle w:val="FootnoteAnchor"/>
          <w:rtl w:val="true"/>
        </w:rPr>
        <w:footnoteReference w:id="1048"/>
      </w:r>
      <w:r>
        <w:rPr>
          <w:rFonts w:ascii="Amiri" w:hAnsi="Amiri" w:eastAsia="Amiri" w:cs="Amiri"/>
          <w:color w:val="111111"/>
          <w:sz w:val="28"/>
          <w:sz w:val="28"/>
          <w:szCs w:val="28"/>
          <w:rtl w:val="true"/>
          <w:lang w:bidi="ar-SA"/>
        </w:rPr>
        <w:t xml:space="preserve">المنع من الأكل والشرب إلّابمقدار </w:t>
      </w:r>
    </w:p>
    <w:p>
      <w:pPr>
        <w:pStyle w:val="BookText"/>
        <w:rPr/>
      </w:pPr>
      <w:r>
        <w:rPr>
          <w:rFonts w:ascii="Amiri" w:hAnsi="Amiri" w:eastAsia="Amiri" w:cs="Amiri"/>
          <w:color w:val="111111"/>
          <w:sz w:val="28"/>
          <w:sz w:val="28"/>
          <w:szCs w:val="28"/>
          <w:rtl w:val="true"/>
          <w:lang w:bidi="ar-SA"/>
        </w:rPr>
        <w:t>الضرورة، وعن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w:t>
      </w:r>
      <w:r>
        <w:rPr>
          <w:rStyle w:val="FootnoteAnchor"/>
          <w:rtl w:val="true"/>
        </w:rPr>
        <w:footnoteReference w:id="1049"/>
      </w:r>
      <w:r>
        <w:rPr>
          <w:rFonts w:ascii="Amiri" w:hAnsi="Amiri" w:eastAsia="Amiri" w:cs="Amiri"/>
          <w:color w:val="111111"/>
          <w:sz w:val="28"/>
          <w:sz w:val="28"/>
          <w:szCs w:val="28"/>
          <w:rtl w:val="true"/>
          <w:lang w:bidi="ar-SA"/>
        </w:rPr>
        <w:t>في كلّ طبقةٍ من طبقات فقهائنا من المتقدّمين والمتأخّرين، عدم وجوب فعل القضاء فوراً وجواز التأخير، وفيهم مَنْ كَثُر أتباعه، ومَنْ هو من أجلّاء أصحاب الأئمّة عليهم السلام، ولا يصدرون إلّابأمرهم، وبينهم مَن أدرك الغيبتين كما يظهر لمن راجع الكتب المصنّفة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اُخر</w:t>
      </w:r>
      <w:r>
        <w:rPr>
          <w:rStyle w:val="FootnoteAnchor"/>
          <w:rtl w:val="true"/>
        </w:rPr>
        <w:footnoteReference w:id="1050"/>
      </w:r>
      <w:r>
        <w:rPr>
          <w:rFonts w:ascii="Amiri" w:hAnsi="Amiri" w:eastAsia="Amiri" w:cs="Amiri"/>
          <w:color w:val="111111"/>
          <w:sz w:val="28"/>
          <w:sz w:val="28"/>
          <w:szCs w:val="28"/>
          <w:rtl w:val="true"/>
          <w:lang w:bidi="ar-SA"/>
        </w:rPr>
        <w:t>، ومع ذلك فدعوى شهرة القول بالمضايقة، بل دعوى الإجماع عليها من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للقول بالمضايقة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والمراد به أصالة الاحتياط، إذ مع المبادرة يكون مأموناً من المؤأخذة والعقاب، ولو أخّر لا يأمن ذلك، خصوصاً مع احتمال طروّ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في محلّه، المتّفق عليه بين المجتهدين والأخباريّين، عدم وجوب الاحتياط في الشُّبهة الوجوبيّة، بل المرجع فيها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أوامر القضاء بناءً على أنّها للفور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Style w:val="FootnoteAnchor"/>
          <w:rtl w:val="true"/>
        </w:rPr>
        <w:footnoteReference w:id="1051"/>
      </w:r>
      <w:r>
        <w:rPr>
          <w:rFonts w:ascii="Amiri" w:hAnsi="Amiri" w:eastAsia="Amiri" w:cs="Amiri"/>
          <w:color w:val="111111"/>
          <w:sz w:val="28"/>
          <w:sz w:val="28"/>
          <w:szCs w:val="28"/>
          <w:rtl w:val="true"/>
          <w:lang w:bidi="ar-SA"/>
        </w:rPr>
        <w:t>وجماعة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في محلّه في الاُصول،</w:t>
      </w:r>
      <w:r>
        <w:rPr>
          <w:rStyle w:val="FootnoteAnchor"/>
          <w:rtl w:val="true"/>
        </w:rPr>
        <w:footnoteReference w:id="1055"/>
      </w:r>
      <w:r>
        <w:rPr>
          <w:rFonts w:ascii="Amiri" w:hAnsi="Amiri" w:eastAsia="Amiri" w:cs="Amiri"/>
          <w:color w:val="111111"/>
          <w:sz w:val="28"/>
          <w:sz w:val="28"/>
          <w:szCs w:val="28"/>
          <w:rtl w:val="true"/>
          <w:lang w:bidi="ar-SA"/>
        </w:rPr>
        <w:t>عدم دلالة الأمر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Style w:val="FootnoteAnchor"/>
          <w:rtl w:val="true"/>
        </w:rPr>
        <w:footnoteReference w:id="1056"/>
      </w:r>
      <w:r>
        <w:rPr>
          <w:rFonts w:ascii="IRNazanin" w:hAnsi="IRNazanin" w:eastAsia="IRNazanin"/>
          <w:color w:val="111111"/>
          <w:sz w:val="28"/>
          <w:sz w:val="28"/>
          <w:szCs w:val="28"/>
          <w:rtl w:val="true"/>
          <w:lang w:bidi="fa-IR"/>
        </w:rPr>
        <w:t>فعن بعض الفقهاء</w:t>
      </w:r>
      <w:r>
        <w:rPr>
          <w:rStyle w:val="FootnoteAnchor"/>
          <w:rtl w:val="true"/>
        </w:rPr>
        <w:footnoteReference w:id="1057"/>
      </w:r>
      <w:r>
        <w:rPr>
          <w:rFonts w:ascii="Amiri" w:hAnsi="Amiri" w:eastAsia="Amiri" w:cs="Amiri"/>
          <w:color w:val="111111"/>
          <w:sz w:val="28"/>
          <w:sz w:val="28"/>
          <w:szCs w:val="28"/>
          <w:rtl w:val="true"/>
          <w:lang w:bidi="ar-SA"/>
        </w:rPr>
        <w:t>، والزمخشري</w:t>
      </w:r>
      <w:r>
        <w:rPr>
          <w:rStyle w:val="FootnoteAnchor"/>
          <w:rtl w:val="true"/>
        </w:rPr>
        <w:footnoteReference w:id="1058"/>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لذكر الصَّلاة بعد نسيانها،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عن صلاةٍ أو نسيها فليصلّها إذا ذكرها</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لأنّه إذا ذَكر الصَّلاة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لحذف المضاف، أي لذكر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خلق الذِّكر والنسيان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والطبرسي رحمه الله</w:t>
      </w:r>
      <w:r>
        <w:rPr>
          <w:rStyle w:val="FootnoteAnchor"/>
          <w:rtl w:val="true"/>
        </w:rPr>
        <w:footnoteReference w:id="1060"/>
      </w:r>
      <w:r>
        <w:rPr>
          <w:rFonts w:ascii="Amiri" w:hAnsi="Amiri" w:eastAsia="Amiri" w:cs="Amiri"/>
          <w:color w:val="111111"/>
          <w:sz w:val="28"/>
          <w:sz w:val="28"/>
          <w:szCs w:val="28"/>
          <w:rtl w:val="true"/>
          <w:lang w:bidi="ar-SA"/>
        </w:rPr>
        <w:t>بعد نقل جملةٍ من معاني الآية، نقل هذا المعنى، ونسبه إلى أكثر المفسّرين،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المرويّ عن أبي جعفر عليه 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0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كثيرٌ من المفسّرين أنّها في الفائتة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الاستدلال بالآية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ظهورها في ذلك، سيّما بعد ملاحظة كون الخطاب متوجّهاً إلى موسى على نبيّنا وآله وعليه السَّلام، في أوّل نيله إلى مقام النبوّة، بعد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الأصل عدم التقدير، وكونه إذا ذكر الصَّلاة وإنْ كان يذكر اللّه تعالى، إلّا أنّ الكلام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الأقرب، سيّما بعد ملاحظة عطف الأمر بها على الأمر بعبادته، كون اللّام للتعليل، ومتعلّقاً بأحد الفعلين،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فاعبدني وأقم الصَّلاة، على طريق التنازع، أي تجب العبادة والصَّلاة لوجوب ذكري، لاستلزامهما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قريباً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لذكري خاصّة لا يشوبه ذكر غيري، أو أمر بإقامة الصَّلاة لتكون ذاكراً لي غير ناسٍ‌،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الاستدلال بالنصوص المفسّرة فسيأتي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تفسير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الوارد في نوم النبيّ صلى الله عليه و آله عن صلاة الصبح، وفيه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نسي شيئاً من الصَّلوات فليصلّها إذا ذكرها،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اُخرى لزرارة،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صلاة فذكرتها في وقتٍ اُخرى‌، فإنْ كنت تعلم أنّك إذا صلّيت الّتي فاتتك كنتَ من الاُخرى في وقتٍ‌، فابدأ بالّتي فاتتكَ‌،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فليصلّها إذا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في مقام توقيت القضاء بحدوث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التذكّر شرطاً لوجوبه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في مقام بيان أنّه لا يشترط في القضاء شيءٌ سوى رفع العذر، وأنّه إنّما يصير التكليف به منجّزاً عند ارتفاعه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في مقام بيان وجوب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في نفسه ظاهراً في المعنى الثالث، ولا بضميمة صدره المتضمّن لتقديمه صلى الله عليه و آله النافلة على قضاء صلاة الفجر، وارتحاله عن مقامه، وغير ذلك ممّا ينافي الفوريّة، لا ريب في عدم ظهوره في الرابع، فلا يصحّ الاستدلال به، مضافاً إلى اشتماله على نوم النبيّ صلى الله عليه و آله عن الصَّلاة الواجبة المنافي لمرتبة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النبويّ‌، مضافاً إلى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 تمّت دلالته، لدلّ على لزوم الترتيب بين الفائتة والحاضرة، لا المضايقة ووجوب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الأمر بالقضاء عند ذكره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المُجمع عليه بين جميع الاُمَّة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صلاةٍ أو نسيها فوقتها حين يذكرها</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النعمان،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فاته شيءٌ من الصَّلاة، فذكر عند طلوع الشمس وعند غروبها؟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حين ذكره</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منهما صحيحا زرارة</w:t>
      </w:r>
      <w:r>
        <w:rPr>
          <w:rStyle w:val="FootnoteAnchor"/>
          <w:rtl w:val="true"/>
        </w:rPr>
        <w:footnoteReference w:id="1067"/>
      </w:r>
      <w:r>
        <w:rPr>
          <w:rFonts w:ascii="Amiri" w:hAnsi="Amiri" w:eastAsia="Amiri" w:cs="Amiri"/>
          <w:color w:val="111111"/>
          <w:sz w:val="28"/>
          <w:sz w:val="28"/>
          <w:szCs w:val="28"/>
          <w:rtl w:val="true"/>
          <w:lang w:bidi="ar-SA"/>
        </w:rPr>
        <w:t>، ومعاوية بن عمّار</w:t>
      </w:r>
      <w:r>
        <w:rPr>
          <w:rStyle w:val="FootnoteAnchor"/>
          <w:rtl w:val="true"/>
        </w:rPr>
        <w:footnoteReference w:id="1068"/>
      </w:r>
      <w:r>
        <w:rPr>
          <w:rFonts w:ascii="Amiri" w:hAnsi="Amiri" w:eastAsia="Amiri" w:cs="Amiri"/>
          <w:color w:val="111111"/>
          <w:sz w:val="28"/>
          <w:sz w:val="28"/>
          <w:szCs w:val="28"/>
          <w:rtl w:val="true"/>
          <w:lang w:bidi="ar-SA"/>
        </w:rPr>
        <w:t>، وموثّقة سماعة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يعقوب بن شُعيب،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عن الغداة حتّى تبزغ الشمس، أيُصلّي حين يستيقظ، أو ينتظر حتّى تنبسط الشمس‌؟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يستيقظ</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غير الأخير منها ما تقدّم في صحيح زرارة،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ورودها في مقام بيان وجوب الإتيان بالقضاء بعد زوال العُذر، ولا وجه لحملها على الفوريّة بالمعنى الذي يقول به أهل المضايقة، لكونه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أنّه لا مانع من القضاء في الأوقات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الاشتغال بغير القضاء</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ولّاد، الوارد فيمَن رجع عن قصد السّفر بعدما صَلّى قصراً، 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لم تَسِر في يومك الذي خرجت فيه بريداً، فإنّ عليك أن تقضي كلّ صلاة صلّيتها في يومك ذلك بالتقصير بتمام من قبل تَؤم من مكانك ذلك</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بغير طهور، أو نسي صلوات لم يُصلّها، أو نام عنها؟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إذا ذكرها في أيّ ساعةٍ ذكرها من ليل أو نهار، فإذا دخل وقت صلاةٍ ولم يتمّ ما قد فاته، فليقض ما لم يتخوّف أن يذهب وقت هذه الصَّلاة التي قد حضرت، وهذه أحقّ بوقتها فليصلّها، فإذا قضاها فليصلِّ ما قد فاته ممّا قد مضى‌، ولا يتطوّع بركعةٍ حتّى يقضي الفريضة كلّها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صحيح أبي ولّاد، أنّه لابدَّ من حمله على الاستحباب أو طرحه، إذ لم ينقل القول بوجوب القضاء في الفرض عن أحدٍ، بل ورد النص على عدم الوجوب، والاجتزاء بالصّلاة قصراً التي أتى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فمواضع الإستدلال به فقراتٌ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إذا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عمّا تضمّن ذلك، فراجع</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ساعةٍ ذكرها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الفقرة مسوقة لبيان عدم توقيت القضاء بوقتٍ معيّن، وأنّه يجوز قضاء الفرائض في كلّ وقتٍ من ليل أو نهار أو سفر أو حضر، ولا يدلّ على وجوب المبادرة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وقت صلاةٍ ولم يتمّ ما فاته، فليقض ما لم يتخوّف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الفقرة في مقام بيان الترتيب بين الفائتة والحاضرة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يتطوّع بركعةٍ حتّى يقضي الفريضة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عدم جواز التطوّع لمن عليه فائتة، وقد تقدّم الكلام في هذه المسألة في البحث عن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التطوّع لمن عليه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في هذه النصوص، ظهر ما في بعض نصوص اُخر الذي استدلّ به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لها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وقرّره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074"/>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وجوب العدول عليه، لو كان الذّكر في الأثناء، وجواز فعلها قبل التذكّر، ويتمّ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 عن التعجيل، لأنّه تكليفٌ زائدٌ على أصل الوجوب والصحّة، المتيقّن ثبوتهما على القولين، لأنّ القائل بالتضيّيق لا ينكرهما في ثاني الأوقات، مع الترك في أوّلهما وإن 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يُقال بأنّه لا يثبت بهذا الأصل التوسعة المقوّمة للوجوب، مقابل الفوريّة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نفي التكليف بالفوريّة، لا إثبات التوسعة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بعض الأساطين</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بأنّ توجّه التكليف بالقضاء عند فوت الفريضة في وقتها معلومٌ‌، واللّازم على المكلّف الخروج عن عهدة ذلك، وحيث يحتمل أن لا يبقى على القدرة من الإتيان به لو أخّره عن أوّل أوقات الإمكان، فلا يجري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المكلّف، وعدم زوال تمكّنه بعروض موتٍ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المستصحب حكماً شرعيّاً، ولا مترتّباً عليه شيءٌ من الآثار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بالواجبات الموسّعة كصلاة الظهر، فإنّ مقتضى هذا البرهان عدم جواز تأخيرها عن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وهو أنّ بقاء المكلّف تمكّنه فيما بعد من الأزمنة المتأخّرة جزء للموضوع، ودخيل في الحكم بجواز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تماميّة هذا الوجه، لكنّها تتوقّف على عدم دليل على 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المنفيّين في الشريعة، بل التكليف بما لا يطاق عادةً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ففيما إذا كان الفوائت كثيرة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لزوم المبادرة ما لم يطرأ هذا العنوان، إذ المنفيّ هو العُسر والحرج الشخصيّين لا النوعيّين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من الخَلَف إلى السَّلَف، إذ قلَّ من يتّفق 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ذمّته من الفائتة، ولو لأجل ترك التقليد، أو الإخلال بقيدٍ من القيود، ومع ذلك ينامون ويجلسون ويُصلّون في أوّل الأوقات، مع أنّ المشهور</w:t>
      </w:r>
      <w:r>
        <w:rPr>
          <w:rStyle w:val="FootnoteAnchor"/>
          <w:rtl w:val="true"/>
        </w:rPr>
        <w:footnoteReference w:id="1076"/>
      </w:r>
      <w:r>
        <w:rPr>
          <w:rFonts w:ascii="Amiri" w:hAnsi="Amiri" w:eastAsia="Amiri" w:cs="Amiri"/>
          <w:color w:val="111111"/>
          <w:sz w:val="28"/>
          <w:sz w:val="28"/>
          <w:szCs w:val="28"/>
          <w:rtl w:val="true"/>
          <w:lang w:bidi="ar-SA"/>
        </w:rPr>
        <w:t>بينهم أنّ الأمر بالشيء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العوام الناشئة عن قلّة المبالاة بالدِّين لا تفيد، وسيرة العلماء سيّما الملتزمين بأنّ الأمر بالشيء يقتضي النهي عن ضدّه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وهي كثيرة، وقد سَرَد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77"/>
      </w:r>
      <w:r>
        <w:rPr>
          <w:rFonts w:ascii="Amiri" w:hAnsi="Amiri" w:eastAsia="Amiri" w:cs="Amiri"/>
          <w:color w:val="111111"/>
          <w:sz w:val="28"/>
          <w:sz w:val="28"/>
          <w:szCs w:val="28"/>
          <w:rtl w:val="true"/>
          <w:lang w:bidi="ar-SA"/>
        </w:rPr>
        <w:t>أكثرها، وهي على طوائف من ناحية اختلاف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بالقضاء مع كلّ صلاةٍ صلاة، كخبر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كيف أقضي‌؟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 كلّ صلاةٍ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قبلُ أم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إسماعيل بن جابر</w:t>
      </w:r>
      <w:r>
        <w:rPr>
          <w:rStyle w:val="FootnoteAnchor"/>
          <w:rtl w:val="true"/>
        </w:rPr>
        <w:footnoteReference w:id="1079"/>
      </w:r>
      <w:r>
        <w:rPr>
          <w:rFonts w:ascii="Amiri" w:hAnsi="Amiri" w:eastAsia="Amiri" w:cs="Amiri"/>
          <w:color w:val="111111"/>
          <w:sz w:val="28"/>
          <w:sz w:val="28"/>
          <w:szCs w:val="28"/>
          <w:rtl w:val="true"/>
          <w:lang w:bidi="ar-SA"/>
        </w:rPr>
        <w:t>، وخبر عمّار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يقضيها أيّ ساعةٍ شاء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فاتته صلاة النهار متى يقضيها؟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إنْ شاء بعد المغرب، وإنْ شاء بعد العشاء</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الحسين بن أبي العلاء،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صلاة النهار أيّ ساعةٍ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شئت من ليلٍ أو نهار، وكلّ ذلك سواء</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صحيح محمّد بن مسلم</w:t>
      </w:r>
      <w:r>
        <w:rPr>
          <w:rStyle w:val="FootnoteAnchor"/>
          <w:rtl w:val="true"/>
        </w:rPr>
        <w:footnoteReference w:id="1083"/>
      </w:r>
      <w:r>
        <w:rPr>
          <w:rFonts w:ascii="Amiri" w:hAnsi="Amiri" w:eastAsia="Amiri" w:cs="Amiri"/>
          <w:color w:val="111111"/>
          <w:sz w:val="28"/>
          <w:sz w:val="28"/>
          <w:szCs w:val="28"/>
          <w:rtl w:val="true"/>
          <w:lang w:bidi="ar-SA"/>
        </w:rPr>
        <w:t>، وصحيح ابن أبي يعفور</w:t>
      </w:r>
      <w:r>
        <w:rPr>
          <w:rStyle w:val="FootnoteAnchor"/>
          <w:rtl w:val="true"/>
        </w:rPr>
        <w:footnoteReference w:id="10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وخبر عنبسة العابد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التعريس كصحيح زرارة المتقدّم، وصحيح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رقد فَغَلَبتهُ عيناه فلم يستيقظ حتّى آذاه حَرُّ الشمس، ثمّ استيقظ، فعاد ناديه ساعةً وركع ركعتين، ثمّ صَلّى الصبح</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فيما أُورد على هذه النصوص من منافاتها للمذهب، والجواب عنها فراجع</w:t>
      </w:r>
      <w:r>
        <w:rPr>
          <w:rFonts w:eastAsia="Amiri" w:cs="Amiri" w:ascii="Amiri" w:hAnsi="Amiri"/>
          <w:color w:val="111111"/>
          <w:sz w:val="28"/>
          <w:szCs w:val="28"/>
          <w:rtl w:val="true"/>
          <w:lang w:bidi="ar-SA"/>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تقديم الحاضرة على الفائتة في السِّعة، كخبر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نام ولم يُصلِّ المغرب والعشاء؟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استيقظ بعد الفجر فليبدأ فليصلِّ الفجر، ثمّ المغرب ثم العشاء الآخرة قبل طلوع الشمس</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صحيحا ابني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رسالة السيّد ابن طاووس عن كتاب الحسين بن سعيد</w:t>
      </w:r>
      <w:r>
        <w:rPr>
          <w:rStyle w:val="FootnoteAnchor"/>
          <w:rtl w:val="true"/>
        </w:rPr>
        <w:footnoteReference w:id="1088"/>
      </w:r>
      <w:r>
        <w:rPr>
          <w:rFonts w:ascii="Amiri" w:hAnsi="Amiri" w:eastAsia="Amiri" w:cs="Amiri"/>
          <w:color w:val="111111"/>
          <w:sz w:val="28"/>
          <w:sz w:val="28"/>
          <w:szCs w:val="28"/>
          <w:rtl w:val="true"/>
          <w:lang w:bidi="ar-SA"/>
        </w:rPr>
        <w:t>، وما عن أصل الحلبي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ودلالتها على المطلوب واضحة، إذ الأمر بتقديم الفجر في السِّعة، يدلّ على جواز تأخير القضاء عن الحاضرة في الوقت الموسّع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التطوّع لمن عليه فائتة في الموارد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 بن موسى‌،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عن الفجر حتّى تطلع الشمس، وهو في سفرٍ، كيف يصنع، أيجوز له أن يقضي بالنهار؟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صلاة نافلة ولا فريضة بالنهار، ولا تجوز له ولا تثبت له، ولكن يؤخّرها فيقضيها باللّيل</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النهي عن قضائها بالنهار إنّما هو لأجل كون المسافر في النهار على الرّاحلة دون اللّيل، ولو كان القضاء مضيّقاً لم يجز التأخير إلى اللّيل، ولأمرَ عليه السلام بالقضاء بأن يستقرّ ويقضي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ذيل صحيح زرارة الطويل الآتي في المسألة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بتأخير العشاءين لو خاف فوت الغداة إن قدّمهما، وسؤال الراوي عن علّة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لست تخاف فوتهما</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التوقّف في الحكم بالمواسعة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99" w:name="pg11801_108391"/>
    </w:p>
    <w:p>
      <w:pPr>
        <w:pStyle w:val="Heading6"/>
        <w:numPr>
          <w:ilvl w:val="5"/>
          <w:numId w:val="1"/>
        </w:numPr>
        <w:rPr/>
      </w:pPr>
      <w:bookmarkStart w:id="600" w:name="__RefHeading___Toc10507162_73709187"/>
      <w:bookmarkStart w:id="601" w:name="_Toc229"/>
      <w:bookmarkEnd w:id="599"/>
      <w:bookmarkEnd w:id="600"/>
      <w:r>
        <w:rPr>
          <w:rtl w:val="true"/>
        </w:rPr>
        <w:t>عدم وجوب تقديم الفائتة على الحاضرة</w:t>
      </w:r>
      <w:bookmarkEnd w:id="6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حكم هذه المسألة يصل الدور إلى البحث عن أنّه هل يجوز لمَن عليه فائتة تقديم الحاضرة، أم يجب عليه تقديم الفائتة ما لم يتضيّق وقت الحاضرة‌؟</w:t>
      </w:r>
    </w:p>
    <w:p>
      <w:pPr>
        <w:pStyle w:val="BookText"/>
        <w:rPr/>
      </w:pPr>
      <w:r>
        <w:rPr>
          <w:rFonts w:ascii="Amiri" w:hAnsi="Amiri" w:eastAsia="Amiri" w:cs="Amiri"/>
          <w:color w:val="111111"/>
          <w:sz w:val="28"/>
          <w:sz w:val="28"/>
          <w:szCs w:val="28"/>
          <w:rtl w:val="true"/>
          <w:lang w:bidi="ar-SA"/>
        </w:rPr>
        <w:t>فعن كثيرٍ من القدماء والمتأخّرين</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عنهم الشيخ الأعظم في الرسائل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الوجوب، بل هو المنسوب إلى المشهور، وهؤلاء بعد اتّفاقهم على ذلك بين من ظاهره وجوب تقديم الحاضرة، كما عن ظاهر جماعة من 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ما يظهر منه استحبابه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عن أبي عليّ الصوري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من نصّ على استحباب تقديم الفائتة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وبين من يظهر منه التخيّير المحض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1093"/>
      </w:r>
      <w:r>
        <w:rPr>
          <w:rFonts w:ascii="Amiri" w:hAnsi="Amiri" w:eastAsia="Amiri" w:cs="Amiri"/>
          <w:color w:val="111111"/>
          <w:sz w:val="28"/>
          <w:sz w:val="28"/>
          <w:szCs w:val="28"/>
          <w:rtl w:val="true"/>
          <w:lang w:bidi="ar-SA"/>
        </w:rPr>
        <w:t>، والإسكافي</w:t>
      </w:r>
      <w:r>
        <w:rPr>
          <w:rStyle w:val="FootnoteAnchor"/>
          <w:rtl w:val="true"/>
        </w:rPr>
        <w:footnoteReference w:id="1094"/>
      </w:r>
      <w:r>
        <w:rPr>
          <w:rFonts w:ascii="Amiri" w:hAnsi="Amiri" w:eastAsia="Amiri" w:cs="Amiri"/>
          <w:color w:val="111111"/>
          <w:sz w:val="28"/>
          <w:sz w:val="28"/>
          <w:szCs w:val="28"/>
          <w:rtl w:val="true"/>
          <w:lang w:bidi="ar-SA"/>
        </w:rPr>
        <w:t>، والسيّدين</w:t>
      </w:r>
      <w:r>
        <w:rPr>
          <w:rStyle w:val="FootnoteAnchor"/>
          <w:rtl w:val="true"/>
        </w:rPr>
        <w:footnoteReference w:id="1095"/>
      </w:r>
      <w:r>
        <w:rPr>
          <w:rFonts w:ascii="Amiri" w:hAnsi="Amiri" w:eastAsia="Amiri" w:cs="Amiri"/>
          <w:color w:val="111111"/>
          <w:sz w:val="28"/>
          <w:sz w:val="28"/>
          <w:szCs w:val="28"/>
          <w:rtl w:val="true"/>
          <w:lang w:bidi="ar-SA"/>
        </w:rPr>
        <w:t>، والحلبي</w:t>
      </w:r>
      <w:r>
        <w:rPr>
          <w:rStyle w:val="FootnoteAnchor"/>
          <w:rtl w:val="true"/>
        </w:rPr>
        <w:footnoteReference w:id="1096"/>
      </w:r>
      <w:r>
        <w:rPr>
          <w:rFonts w:ascii="Amiri" w:hAnsi="Amiri" w:eastAsia="Amiri" w:cs="Amiri"/>
          <w:color w:val="111111"/>
          <w:sz w:val="28"/>
          <w:sz w:val="28"/>
          <w:szCs w:val="28"/>
          <w:rtl w:val="true"/>
          <w:lang w:bidi="ar-SA"/>
        </w:rPr>
        <w:t>، والحِلّي</w:t>
      </w:r>
      <w:r>
        <w:rPr>
          <w:rStyle w:val="FootnoteAnchor"/>
          <w:rtl w:val="true"/>
        </w:rPr>
        <w:footnoteReference w:id="1097"/>
      </w:r>
      <w:r>
        <w:rPr>
          <w:rFonts w:ascii="IRNazanin" w:hAnsi="IRNazanin" w:eastAsia="IRNazanin"/>
          <w:color w:val="111111"/>
          <w:sz w:val="28"/>
          <w:sz w:val="28"/>
          <w:szCs w:val="28"/>
          <w:rtl w:val="true"/>
          <w:lang w:bidi="fa-IR"/>
        </w:rPr>
        <w:t xml:space="preserve">وجوب </w:t>
      </w:r>
    </w:p>
    <w:p>
      <w:pPr>
        <w:pStyle w:val="BookText"/>
        <w:rPr/>
      </w:pPr>
      <w:r>
        <w:rPr>
          <w:rFonts w:ascii="Amiri" w:hAnsi="Amiri" w:eastAsia="Amiri" w:cs="Amiri"/>
          <w:color w:val="111111"/>
          <w:sz w:val="28"/>
          <w:sz w:val="28"/>
          <w:szCs w:val="28"/>
          <w:rtl w:val="true"/>
          <w:lang w:bidi="ar-SA"/>
        </w:rPr>
        <w:t>تقديم الفائتة على الحاضرة مطلقاً، ما لم يتضيّق وقت الحاضرة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نُسب هذا القول إلى المشهور</w:t>
      </w:r>
      <w:r>
        <w:rPr>
          <w:rStyle w:val="FootnoteAnchor"/>
          <w:rtl w:val="true"/>
        </w:rPr>
        <w:footnoteReference w:id="1098"/>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ودعوى الإجماع عليه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وغيره</w:t>
      </w:r>
      <w:r>
        <w:rPr>
          <w:rStyle w:val="FootnoteAnchor"/>
          <w:rtl w:val="true"/>
        </w:rPr>
        <w:footnoteReference w:id="1101"/>
      </w:r>
      <w:r>
        <w:rPr>
          <w:rFonts w:ascii="Amiri" w:hAnsi="Amiri" w:eastAsia="Amiri" w:cs="Amiri"/>
          <w:color w:val="111111"/>
          <w:sz w:val="28"/>
          <w:sz w:val="28"/>
          <w:szCs w:val="28"/>
          <w:rtl w:val="true"/>
          <w:lang w:bidi="ar-SA"/>
        </w:rPr>
        <w:t>التفصيل بين فائتة واحدة وفوائت متعدّدة، فاعتبر الترتيب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التفصيل بين ما إذا ذَكر الفائتة في يوم الفوات، وبين ما لو لم يذكرها حتّى يمضي ذلك اليوم، فأوجب تقديم الفائتة في الأوّل، وجوّز تأخيرها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أقوالٌ اُخر لا يهمُّنا ذكرها، بل المهمّ بيان ما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بحسبها هو التخيّير، وعدم وجوب تقديم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وإطلاق دليل الحاضرة النافي لاعتبار ما شكّ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أخبار أبي بصير وابني مسكان وسنان، وما عن رسالة السيّد ابن طاووس، وما عن أصل الحلبي المتضمّنة للأمر بتقديم الفجر على المغرب والعشاء في سعة الوقت، المحمول على غير اللّزوم للنصوص المتقدّمة</w:t>
      </w:r>
      <w:r>
        <w:rPr>
          <w:rFonts w:eastAsia="Amiri" w:cs="Amiri" w:ascii="Amiri" w:hAnsi="Amiri"/>
          <w:color w:val="111111"/>
          <w:sz w:val="28"/>
          <w:szCs w:val="28"/>
          <w:rtl w:val="true"/>
          <w:lang w:bidi="ar-SA"/>
        </w:rPr>
        <w:t xml:space="preserve">.). </w:t>
      </w:r>
      <w:bookmarkStart w:id="602" w:name="pg11801_108393"/>
    </w:p>
    <w:p>
      <w:pPr>
        <w:pStyle w:val="BookText"/>
        <w:rPr/>
      </w:pPr>
      <w:bookmarkEnd w:id="602"/>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النصوص الثلاثة المتضمّنة أنّه يقضي مع كلّ صلاةٍ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عمّار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الجُعفي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 في خُطبته أنّه لا يروي فيه إلّا ما أجمع عليه، وصحّ عنده من قول الأئمّة عليهم السلام والصَّلوات الفائتات تُقضى ما لم يدخل عليه وقت صلاة، فإذا دخل عليه وقت صلاةٍ‌، بدأ بِالَّتِي دخل وقتها، وقضى الفائتة متى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الإمام الصادق عليه السلام فيمن فاته الأُولى والعصر والمغرب، وذكرها عند العشاء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بالوقت الذي هو فيه، فإنّه لا يأمن الموت، فيكون قد ترك صلاة فريضة في وقتٍ قد دخلت، ثمّ يقضي ما فاته الأولى فالأولى‌</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عيص بن القاسم،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نسي أو نام عن الصَّلاة حتّى دخل وقت صلاةٍ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صلاة الأُولى فليبدأ بها، وإنْ كانت صلاة العصر، فليصلِّ العشاء ثمّ يُصلّي العصر</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الأخبار</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10507164_73709187"/>
      <w:bookmarkStart w:id="604" w:name="_Toc230"/>
      <w:bookmarkEnd w:id="603"/>
      <w:r>
        <w:rPr>
          <w:rtl w:val="true"/>
        </w:rPr>
        <w:t>أدلّة اعتبار الترتيب</w:t>
      </w:r>
      <w:bookmarkEnd w:id="60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للقول باعتبار الترتيب بين القوائت مطلقاً بعدّة أدلّة وهي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 والأصل</w:t>
      </w:r>
      <w:r>
        <w:rPr>
          <w:rStyle w:val="FootnoteAnchor"/>
          <w:rtl w:val="true"/>
        </w:rPr>
        <w:footnoteReference w:id="1106"/>
      </w:r>
      <w:r>
        <w:rPr>
          <w:rFonts w:ascii="Amiri" w:hAnsi="Amiri" w:eastAsia="Amiri" w:cs="Amiri"/>
          <w:color w:val="111111"/>
          <w:sz w:val="28"/>
          <w:sz w:val="28"/>
          <w:szCs w:val="28"/>
          <w:rtl w:val="true"/>
          <w:lang w:bidi="ar-SA"/>
        </w:rPr>
        <w:t xml:space="preserve">، وما دلَّ على المضايقة، بناءً على اقتضاء الأمر بالشيء </w:t>
      </w:r>
    </w:p>
    <w:p>
      <w:pPr>
        <w:pStyle w:val="BookText"/>
        <w:rPr/>
      </w:pPr>
      <w:r>
        <w:rPr>
          <w:rFonts w:ascii="Amiri" w:hAnsi="Amiri" w:eastAsia="Amiri" w:cs="Amiri"/>
          <w:color w:val="111111"/>
          <w:sz w:val="28"/>
          <w:sz w:val="28"/>
          <w:szCs w:val="28"/>
          <w:rtl w:val="true"/>
          <w:lang w:bidi="ar-SA"/>
        </w:rPr>
        <w:t>النهي عن ضدّه</w:t>
      </w:r>
      <w:r>
        <w:rPr>
          <w:rStyle w:val="FootnoteAnchor"/>
          <w:rtl w:val="true"/>
        </w:rPr>
        <w:footnoteReference w:id="1107"/>
      </w:r>
      <w:r>
        <w:rPr>
          <w:rFonts w:ascii="Amiri" w:hAnsi="Amiri" w:eastAsia="Amiri" w:cs="Amiri"/>
          <w:color w:val="111111"/>
          <w:sz w:val="28"/>
          <w:sz w:val="28"/>
          <w:szCs w:val="28"/>
          <w:rtl w:val="true"/>
          <w:lang w:bidi="ar-SA"/>
        </w:rPr>
        <w:t>، ودلالة النهي على الفساد، مضافاً إلى الإجماع المركّب، وعدم القول بالفصل بينها بين القول بوجوب تقديم الفائتة، وبالنبويّ‌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وبالأخبار الخاصّة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عدم حجيّة المنقول منه، لا سيّما مع مخالفة من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أنّه لا يرجع اليه مع الدليل، وقد عرفت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الشكّ في اعتبار شيء في العبادة، هوالبراءة لا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أنّها محمولة على الاستحباب، مع أنّ الأمر بالشيء لا يقتضي النهي عن ضدّه، بل ولا عدم الأمر به حتّى بنحو الترتّب،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 أنّ الظاهر أنّ الصَّلاة المنفيّة هي النافلة لا الفريضة، وإلّا فكما أنّه يصدق لمن يجب عليه الفائتة أنّ عليه صلاة، يصدق لمن تجب عليه الحاضرة أنّ عليه 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الذي هو كالصحيح، عن أبي جعفر عليه السلام</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 وكان عليك قضاء صلوات، فابدأ</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بأوّلهنّ‌، فأذِّن لها وأقِمْ ثمّ صلّها، ثمّ صَلِّ ما بعدها بإقامة، إقامة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صلّيت الظهر، وقد فاتتك الغداة، فذكرتها، فصَلِّ الغداة أيّ ساعةٍ ذكرتها ولو بعد العصر، ومتى ما ذكرتَ صلاة فاتتك صلّيتها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الظهر حتّى صلّيت العصر، فذكرتها وأنتَ في الصَّلاة أو بعد فراغك فانوها الأُولى‌، ثمّ صَلِّ العصر، فإنّما هي أربعٌ مكان أربع، وإنْ ذكرتَ أنّك لم تُصلِّ الأُولى وأنتَ في صلاة العصر، وقد صلّيت منها ركعتين فأنوها الأُولى‌، ثمّ صَلِّ الرّكعتين الباقيتين، وقُمْ فصلِّ العصر، وإنْ كنتَ قد ذكرتَ أنّك لم تُصلِّ العصر حتّى دخل وقت المغرب، ولم تخف فوتها، فصَلِّ العصر، ثمّ صَلِّ المغرب، فإنْ كنتَ قد صَلّيت المغرب، فقم فصَلِّ العصر، وإنْ كنتَ قد صلّيت من المغرب ركعتين ثمّ ذكرتَ العصر، فانوها العصر ثمّ قُمْ فأتمّها ركعتين، ثمّ تُسلِّم ثمّ تُصلّي المغرب، فإنْ كنتَ قد صلّيت العشاء الآخرة ونسيت المغرب، فقم فصَلِّ المغرب فإنْ كنتَ ذكرتها وقد صلّيت من العشاء الآخرة ركعتين، أو قمتَ في الثالثة فانوها المغرب ثمّ سَلِّم، ثمّ قُمْ فصَلِّ العشاء الآخرة، فإنْ كنتَ قد نسيت العشاء الآخرة حتّى صلّيت الفجر، فصلِّ العشاء الآخرة، وإنْ كنتَ ذكرتها وأنتَ في الرّكعة الأُولى أو في الثانية من الغداة، فانوها العشاء ثمّ قُمْ فصَلِّ الغداة وأذِّن وأقِم، وإنْ كانت المغرب والعشاء قد فاتتاك جميعاً، فابدأ بهما قبل أن تُصلِّي الغداة، ابدأ بالمغرب ثُمّ العشاء، فإن خشيتَ أن تفوتك الغداة إن بدأت بهما، فابدأ بالمغرب ثمّ الغداة ثمّ صَلِّ العشاء، فإن خشيتَ‌أن تفوتك الغداة إنْ بدأت بهمافابدأ بالمغرب فصَلِّ الغداة ثمّ صَلِّ المغرب و العشاء، ابدأ بأوّلاهما لأنّهما جميعاًقضاء، أيّهما ذكرتَ فلا تصلّهما إلّابعد شعاع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لست تخاف فوتها</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الظاهر منه كما قيل</w:t>
      </w:r>
      <w:r>
        <w:rPr>
          <w:rStyle w:val="FootnoteAnchor"/>
          <w:rtl w:val="true"/>
        </w:rPr>
        <w:footnoteReference w:id="1110"/>
      </w:r>
      <w:r>
        <w:rPr>
          <w:rFonts w:ascii="Amiri" w:hAnsi="Amiri" w:eastAsia="Amiri" w:cs="Amiri"/>
          <w:color w:val="111111"/>
          <w:sz w:val="28"/>
          <w:sz w:val="28"/>
          <w:szCs w:val="28"/>
          <w:rtl w:val="true"/>
          <w:lang w:bidi="ar-SA"/>
        </w:rPr>
        <w:t>إنّ ما ذُكر فيه من الترتيب، ذُكر متفرّعاً على الأمر بالمبادرة إلى فعل الفائتة متى ذكرها، فليس محطٍّ النظر فيها وجوب الترتيب بين الفائتة والحاضرة من حيث هو تعبّداً، وحيثُ عرفت أنّ الأمر بالمضايقة إنّما يكون على سبيل الاستحباب لا الوجوب، فكذا ما يتفرّع عليه من الترتيب،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أنّه لو تمّت دلالته، لكان شاهداً لما ذهب إليه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مواضع توهم الدلالة فيه 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قد ذكرت أنّك لم تُصلِّ العصر حتّى دخل وقت المغرب، ولم تخف فوتها، فَصَلِّ العصر، ثمّ صَلِّ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منه كون التذكّر أوّل وقت المغرب، وبديهي أنّ وقت الإجزاء لا يفوت بإتيان العصر، فلا محالة اُريد بوقت المغرب وقت الفضيلة لا الإجزاء، فهو يدلّ على جواز الإتيان بالمغرب قبل قضاء العصر إذا تضيّق وقت الفضيلة لها، وإنْ كان في سعة من وقت الإجزاء، فهو دليلٌ على عدم اعتبار الترتيب</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صلّيت من المغرب ركعتين، ثمّ ذكرت العصر، فانوها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بالعدول إلى العصر، لوروده مورد توهم الحظر، من جهة أنّ العدول مخالفٌ للقواعد العامّة، لا يستفاد منه الوجوب، ويؤيّد عدم الوجوب ما ذكرناه في الجملة السابقة، إذ لا يمكن القول بعدم وجوب تقديم الفائتة في وقت الإجزاء للحاضرة، لو تذكّر قبل الشروع فيها، ووجوب العدول لو تذكّر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 قد ذكرتها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في الرّكعة الأُولى أو الثانية من الغداة، فأنوها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حمل هذا الأمر على الجواز أو الاستحباب، لما ذُكر في الفقرة السابقة، ولعدم القول بالفصل بين العدول من الغداة إلى العشاء، وبين العدول من المغرب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المغرب والعشاء قد فاتتاك جميعاً، فابدأ بهما قبل أن تُصلّي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خشيتَ أن تفوتك الغداة إنْ بدأت بالمغرب، فصلِّ الغداة، ثمّ صَلِّ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بعد حمل الأمر بإتيان العصر قبل المغرب على الرجحان، أو الجواز، لا يبقى وجهٌ لدعوى إرادة الوجوب من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خوف فوت الغداة الذي قُيّد به تقديم المغرب والعشاء، فوات وقت فضيلتها، سيّما بعد حمل وقت المغرب على الفضيلة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الجمع بين هذا الصحيح، وبين الصحيح الآخر، الآمر بتقديم الغداة عليهما قبل طلوع الشمس، المتقدّم في المسألة السابقة، يقتضي حمل خوف الفوت عليذلك، فيدلّ الصحيح على رجحان البداة بالغداة لو خاف فوت وقت الفضيلة، وإنْكان في سعة من وقت الإجزاء، فهذه الفقرة أيضاً أدلّ على خلاف هذا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فاتتك صلاةٌ فذكَرتها في وقت اُخرى‌، فإنْ كنتَ تعلم أنّكَ إذا صلّيت التي فاتتكَ كنتَ من الاُخرى في وقتٍ‌، فابدأ بالّتي فاتتكَ‌، فان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كنت تعلم أنّكَ إذا صلّيت التي فاتتكَ‌، فاتتكَ التي بعدها، فابدأ بالّتي أنتَ في وقتها، فصلِّها ثمّ أقم الاُخرى‌</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 هذا الحديث على ترتّب مطلق الفائتة على الحاضرة، كما يقول أصحاب المضايقة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لأنّ في طريقه القاسم بن عروة</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الأمر بالبدأة بالفائتة، بملاحظة التعليل كونه بلحاظ حال الفائتة، فلا يدلّ على شرطيّة تأخّر الحاضرة عنها في صحّة الحاضرة،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إنّ الأمر بها لوروده مورد توهم الحظر، لامتناع الإتيان بغير صاحبة الوقت، وارتكاز الأولويّة فعل الحاضرة في وقتها لا يدلّ على الوجوب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الثالث المروي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بغير طهور، أو نسي صلاةً لم يُصلّها، يقضيها إذا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وقت صلاة ولم يتمّ ما فاته، فليقض ما لم يتخوّف أن يذهب وقت هذه الصَّلاة التي قد حضرت، وهذه أحقّ بوقتها فليصلّها، فإذا قضاها فليصلِّ ما قد فاته ممّا قد مضى‌</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تمّت دلالته لدلّ على ما ذهب إليه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تتمّ من جهة أنّ المفروض فيه وحدة الفائتة، وقد اشتغل بقضائها، فدخل وقت صلاةٍ اُخرى وهو فيها، ومن البديهي أنّ إتمام صلاة واحدة لا يوجب فوات وقت الإجزاء للصلاة التي دخل وقتها في الأثناء، فلا محالة يكون المراد وقت الفضيلة، فيكون المستفاد منه أنّ الإتيان بالحاضرة في وقت فضيلتها إذا تضيّق، أرجح من المبادرة إلى فعل الفائتة، وإنْ كان في سعةٍ من وقت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من حمل الأمر بالفائتة عند عدم خوف فوت وقت الفضيلة، على الاستحباب،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البصري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صلاة حتّى دخل وقت صلاةٍ اُخرى؟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الصَّلاة أو نام عنها، صَلّى حين يذكرها، فإذا ذكرها وهو في الصَّلاة بدأ بالّتي نَسي، وإنْ ذكرها مع إمام في صلاة المغرب أتمّها بركعةٍ‌، ثمّ صَلّى المغرب، ثمّ صَلّى العُتمة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على المشهور،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والظاهر أنّ الضعف لعدم توثيق معلّى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بالفائتة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فيه لوروده مورد توهم الحظر، لا يستفاد منه الوجوب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تفرّع الأمر بالبدأة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المضايقة التي التزمنا فيها بالاستحباب، فلا يدلّ على الشرطيّة التعبّديّة،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معمر بن يحيى‌،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على غير القبلة، ثمّ تبيّن له القبلة، وقد دخل وقت صلاة اُخرى؟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 قبل أن يُصلّي هذه الّتي دخل وقتها، إلّاأن يخاف فوت التي دخل وقتها</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كما أفاده بعض المحقّقين رحمه الله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بالمستفيضة الدالّة على عدم وجوب إعادة الصَّلاة الواقعة على غير القبلة، لو تبيّن خطأه بعد خروج الوقت، فيدور الأمر بين حمله على إرادة الوقت المختصّ بالظهر والمغرب، أو حمله على الاستحباب، وعلى التقديرين لا يدلّ على 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يدلّ على الترتيب بين المترتّبتين في وقتهما، وهذا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يكون في الفائتة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ثانياً على خبر زرارة الثالث</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الظهر حتّى دخل وقت العصر؟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 وكذلك الصَّلوات تبدأ بالّتي نسيتَ‌، إلّاأن تخاف أن يخرج وقت الصَّلاة، فتبدأ بالّتي أنتَ في وقتها، ثمّ تُصلّي التي نسيت</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لسهل بن زياد</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تعدّد وقت الظهرين والعشاءين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بالّتي نَسيتَ إلّاأن تخاف أن يخرج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خروج الوقت المختصّ بالمغرب مثلاً، المغاير لوقت العشاء، وحيثُ أنّ المختار أنّه وقتٌ للفضيلة لا الإجزاء، فيدلّ الخبر على جواز البدأة بالمغرب مثلاً عند خوف وقت الفضيلة له، مع سعة وقت الإجزاء، ولذلك فهو على عدم اعتبار الترتيب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الذي هو كالصحيح،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الظهر حتّى غربت الشمس، وقد كان صَلّى العصر؟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أو كان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 أن يصلّيها قبل أن تفوته المغرب بدأ بها، وإلّا صَلّى المغرب، ثمّ صلّاها</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ظهوره في كون المراد من فوت المغرب، فوت وقت الفضيلة لا ينكر، وحيث أنّه يدلّ على جواز تقديم المغرب في صورة فوت وقت الفضيلة مع سعة وقت الإجزاء، فيدلّ على عدم اعتبار الترتيب، مع أنّه مختصٌّ بفائتة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بعض رواياتٌ اُخر ضعيفة السَّند وقاصرة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هذا القول لا يدلّ عليه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ظهر مدرك القولين الآخرين، الذين اختار أحدهما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والثاني المحقّق في بعض كتبه، وضعّفه</w:t>
      </w:r>
      <w:r>
        <w:rPr>
          <w:rStyle w:val="FootnoteAnchor"/>
          <w:rtl w:val="true"/>
        </w:rPr>
        <w:footnoteReference w:id="1124"/>
      </w:r>
      <w:r>
        <w:rPr>
          <w:rFonts w:ascii="Amiri" w:hAnsi="Amiri" w:eastAsia="Amiri" w:cs="Amiri"/>
          <w:color w:val="111111"/>
          <w:sz w:val="28"/>
          <w:sz w:val="28"/>
          <w:szCs w:val="28"/>
          <w:rtl w:val="true"/>
          <w:lang w:bidi="ar-SA"/>
        </w:rPr>
        <w:t>، كما أنّه ظهر مدرك سائر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الأقوال، وأنّ الأظهر عدم اعتبار الترتيب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أغمضنا النظر عمّا ذكرناه، وسلّمنا دلالة ما تقدّم على القول باعتبار الترتيب، فحيثُ أنّ هذه النصوص معارضة بالنصوص المتقدّمة الصريح بعضها، والظاهر بعضها الآخر في عدم الاعتبار حتّى بالنسبة إلى فائتة واحدة وفوائت يوم واحد، فلابدَّ من حملها على الاستحباب، أو الجواز، أو غير ذلك ممّا يكون مقتضى الجمع العرفي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أبيتَ عن كون ذلك جمعاً عرفيّاً، فالترجيح لنصوص عدم الاعتبار، لكونها اشهر فتوى، ولموافقتها لإطلاقات الكتاب،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المقتضية لعدم الاعتبار ولمخالفتها للعامّة، بل قيل إنّها 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التكافؤ، فإنْ التزمنا بالتخيّير في تعارض الخبرين في صورة عدم المرجّح كما هو الحقّ‌، جاز اختيار ما يدلّ على عدم الاعتبار فيكون هو الحجّة، وإنْ التزمنا بالتساقط فيتساقطان والمرجع إلى إطلاقات أدلّة القضاء المقتضية لعدم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الترتيب، كما أنّه ظهر عدم وجوب تقديم الحاضرة لكثيرٍ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أنّه هل يستحبّ تقديم الفائتة أو الحاضرة، أو يتخيّر بينهما؟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مجموع النصوص أنّه يستحبّ تقديم الفائتة، لا من جهة إعتبار الترتيب، بل من جهة استحباب التعجيل إلى فعلها، ما لم يزاحم مع مستحبٍّ آخر أهمّ منه، وهو إيقاع الصَّلاة في وقت الفضيلة، فتدبّر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ما لم يتضيّق وقت الحاضرة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تضيَّقت الحاضرة تعيّنتْ‌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تضيّقت 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الإتيان بها، كما هو الشأن في الواجبين المتزاحمين إذا تضيّق وقت أحدهما دون الآخر، مضافاً إلى دلالة بعض النصوص المتقدّمة عليه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 هنا فروعاً اُخر متفرّعة على القول بالترتيب والمضايقة، وحيث تبيّن ضعف المبنى‌، فلا وجه لتطويل الكلام في تلك الفروع</w:t>
      </w:r>
      <w:r>
        <w:rPr>
          <w:rFonts w:eastAsia="Amiri" w:cs="Amiri" w:ascii="Amiri" w:hAnsi="Amiri"/>
          <w:color w:val="111111"/>
          <w:sz w:val="28"/>
          <w:szCs w:val="28"/>
          <w:rtl w:val="true"/>
          <w:lang w:bidi="ar-SA"/>
        </w:rPr>
        <w:t>.</w:t>
      </w:r>
      <w:bookmarkStart w:id="605" w:name="pg11801_108404"/>
    </w:p>
    <w:p>
      <w:pPr>
        <w:pStyle w:val="BookText"/>
        <w:rPr/>
      </w:pPr>
      <w:bookmarkEnd w:id="605"/>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الفوائت تترتّب كالحَواضر</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10507166_73709187"/>
      <w:bookmarkStart w:id="607" w:name="_Toc231"/>
      <w:bookmarkEnd w:id="606"/>
      <w:r>
        <w:rPr>
          <w:rtl w:val="true"/>
        </w:rPr>
        <w:t>الترتيب في قضاء الفوائت</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يعتبر الترتيب في أدائها، كالظهرين والعشاءين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تترتّب كالحَواضر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إعتبار جميع ما يعتبر في الحاضرة في الفائتة، فإنّ الترتيب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إعتبار الترتيب في الفوائت في غير هذا المورد، بمعنى قضاء السابق في الفوات على اللّاحق،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فالمنسوب إلى المشهور شهرة عظيمة، إعتبار ذلك</w:t>
      </w:r>
      <w:r>
        <w:rPr>
          <w:rStyle w:val="FootnoteAnchor"/>
          <w:rtl w:val="true"/>
        </w:rPr>
        <w:footnoteReference w:id="112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1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 المُجمعين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 بالمحكيّ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32"/>
      </w:r>
      <w:r>
        <w:rPr>
          <w:rFonts w:ascii="Amiri" w:hAnsi="Amiri" w:eastAsia="Amiri" w:cs="Amiri"/>
          <w:color w:val="111111"/>
          <w:sz w:val="28"/>
          <w:sz w:val="28"/>
          <w:szCs w:val="28"/>
          <w:rtl w:val="true"/>
          <w:lang w:bidi="ar-SA"/>
        </w:rPr>
        <w:t>من فعل النبيّ صلى الله عليه و آله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عنه صلى الله عليه و آله بطريق معتبر كي يُتأسّى به، مع أنّه لو ثبت غير ظاهر الوجه، ولا كلام في كونه شرطاً 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بدعوى أنّه يدلّ على لزوم قضاء الفائت كما فات، وحيثُ أنّ الثانية فاتت بعد الأُولى، وهكذا كلّما فاتت فاتت مترتّبة، فلابدَّ من رعاية هذه الجهة أيضاً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لزوم رعاية القيود المعتبرة في الأداء حين القضاء، لا على لزوم رعاية كلّ ما قارن الأداء، ولو كان من الاُمور الاتّفاقيّة، مثلاً إذا كان صائماً في ذلك اليوم، لا يعتبر ذلك في القضاء، وهذا واضح، والمقام من هذا القبيل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المتقدّم،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نسيتَ صلاةً أو صلّيتها بغير وضوء، وكان عليك قضاء صلواتٍ‌، فابدأ بأوّلهنّ‌، فأذِّن لها وأقم، ثمّ صلّها ثمّ صَلِّ ما بعدها بإقامةٍ‌، إقامة لكلّ صلاة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المغرب والعشاء قد فاتتاك جميعاً، فابدأ بهما قبل أنر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تُصلّي الغداة، ابدأ بالمغرب ثمّ العشاء</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مدلول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يرتكز الاستدلال بصدر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أولاهن قضاءً لا فواتاً، والشاهد عليه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التعرّض للترتيب بين ما عدا الأُولى من الصَّلوات، وبعبارة اُخرى لا يدلّ على لزوم البدأة بالأوّل فالأوّل، 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أولاهنّ فواتاً، كان المناسب التصدير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بالوأو لا بالفاء الظاهرة في التفسير،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صَلّى الصَّلوات وهو جُنُبٌ اليوم واليومين والثلاثة، ثمّ ذكر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يتطهّر ويؤذّن ويُقيم في أولاهنَّ ثمّ يُصلّي ويُقيم بعد ذلك في كلّ صلاة</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أنّ هذه الصحيحة متّحدة مع الحسن موضوعاً، وجوابه عليه السلام ظاهرٌ بل صريحٌ في كون المراد الأذان لأولاهنّ شروعاً لا غير، فمفاد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يقضي صلواته عليه أن يؤذّن ويُقيم للأولى ويقيم لما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يتركّز الاستدلال بذيلها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 الفوائت المترتّبة في الأداء، الّتي لا شبهة في إعتبار الترتيب بينها قضاءً‌، فلا وجه للتعدي إلى غير هذا المورد مع احتمال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ظهر الجواب عن الاستدلال لهذا القول بصحيحي ابني مسكان وسنان</w:t>
      </w:r>
      <w:r>
        <w:rPr>
          <w:rStyle w:val="FootnoteAnchor"/>
          <w:rtl w:val="true"/>
        </w:rPr>
        <w:footnoteReference w:id="1136"/>
      </w:r>
      <w:r>
        <w:rPr>
          <w:rFonts w:ascii="Amiri" w:hAnsi="Amiri" w:eastAsia="Amiri" w:cs="Amiri"/>
          <w:color w:val="111111"/>
          <w:sz w:val="28"/>
          <w:sz w:val="28"/>
          <w:szCs w:val="28"/>
          <w:rtl w:val="true"/>
          <w:lang w:bidi="ar-SA"/>
        </w:rPr>
        <w:t>وموثّق أبي بصير</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جميل،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تفوت الرّجل الأُولى والعصر والمغرب، ويذكر بعد العشاء؟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بصلاة الوقت الذي هو فيه، فإنّه لا يأمن الموت، فيكون قد ترك الفريضة في وقتٍ قد دخل، ثمّ يقضي ما فاته الأوّل فالأوّل</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السَّند، لأنّ الوشاء رواه عن رجلٍ عن جميل، واحتمال كون الراوي عن الرّجل هو الوشاء، والراوي عنه ابن عيسى‌، لا يكفي في الجبر، كما أنّ ورود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وإنْ كان كتابه هذا معتبر، والأصحاب اعتمدوا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وإنْ رواه عن جميل، ويحتمل أن يكون ذلك من جهة وجود أصله عنده، لكنّه لا يُجدي مجرّد الاحتمال في الاعتماد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منه كون الوقت الذي تذكّر فيه، غير مختصّ بالعشاء، لتعليله لزوم الإتيان بها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بإختصاص الوقت بالعشاء</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فحيثُ إنّه يتعيّن حينئذٍ الإتيان أوّلاً بالمغرب، فلابدَّ وأن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بالوقت الذي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البدأة بالمغرب، بل هذا هو صريح ما في بعض النسخ، 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العشاء، وحينئذٍ فيكون المراد ممّا فاته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08" w:name="pg11801_108408"/>
    </w:p>
    <w:p>
      <w:pPr>
        <w:pStyle w:val="BookText"/>
        <w:rPr/>
      </w:pPr>
      <w:bookmarkEnd w:id="608"/>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الظهر والعصر، وقد عرفت أن اعتبار الترتيب في قضائهما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ذلك بأنّه لا يناسب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فألأول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مقتضى ذلك كون الفائت 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إعتبار الترتيب، ومقتضى الإطلاق والأصل عدم اعتباره، وإنْ كان الاحتياط سبيل النجاة</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0507168_73709187"/>
      <w:bookmarkStart w:id="610" w:name="_Toc232"/>
      <w:bookmarkEnd w:id="609"/>
      <w:r>
        <w:rPr>
          <w:rtl w:val="true"/>
        </w:rPr>
        <w:t>عدم اعتبار الترتيب في الفوائت إذا جهل الترتيب</w:t>
      </w:r>
      <w:bookmarkEnd w:id="610"/>
    </w:p>
    <w:p>
      <w:pPr>
        <w:pStyle w:val="Heading6"/>
        <w:numPr>
          <w:ilvl w:val="5"/>
          <w:numId w:val="1"/>
        </w:numPr>
        <w:rPr/>
      </w:pPr>
      <w:bookmarkStart w:id="611" w:name="__RefHeading___Toc10507170_73709187"/>
      <w:bookmarkStart w:id="612" w:name="_Toc233"/>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ثمّ إنّه لو قلنا باعتبار الترتيب، فهل يختصّ ذلك بصورة العلم بالترتيب، أم يعمّ ما إذا جهله</w:t>
      </w:r>
      <w:r>
        <w:rPr>
          <w:rStyle w:val="FootnoteAnchor"/>
          <w:rtl w:val="true"/>
        </w:rPr>
        <w:footnoteReference w:id="1140"/>
      </w:r>
      <w:r>
        <w:rPr>
          <w:rFonts w:ascii="Amiri" w:hAnsi="Amiri" w:eastAsia="Amiri" w:cs="Amiri"/>
          <w:color w:val="111111"/>
          <w:sz w:val="28"/>
          <w:sz w:val="28"/>
          <w:szCs w:val="28"/>
          <w:rtl w:val="true"/>
          <w:lang w:bidi="ar-SA"/>
        </w:rPr>
        <w:t>؟ قولان ذهب الأكثر إلى الأوّل</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وإستدل للإعتبار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بصورة العلم، أمّا اختصاص غير صدر رواية زرارة فواضحٌ‌، وأمّا اختصاص صدره، فلأنّ الظاهر من الخطاب بالابتداء بالأولى، توجّهه إلى من يتمكّن من ذلك، ولا يكون ذلك إلّامع العلم بالترتيب، لاحظ نظائره،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أوّلاً أوّل من دخل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إشكال في أنّه يصحّ ذلك إذا علم المكلّف بأوّل من دخل، وهكذا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 ذلك إذا كان المورد ممّا لا يمكن الابتداء به، إلّامع العلم، كما في </w:t>
      </w:r>
    </w:p>
    <w:p>
      <w:pPr>
        <w:pStyle w:val="BookText"/>
        <w:rPr/>
      </w:pPr>
      <w:r>
        <w:rPr>
          <w:rFonts w:ascii="Amiri" w:hAnsi="Amiri" w:eastAsia="Amiri" w:cs="Amiri"/>
          <w:color w:val="111111"/>
          <w:sz w:val="28"/>
          <w:sz w:val="28"/>
          <w:szCs w:val="28"/>
          <w:rtl w:val="true"/>
          <w:lang w:bidi="ar-SA"/>
        </w:rPr>
        <w:t>المثال، وأمّا إذا أمكن ذلك بالاحتياط والتكرار كما في المقام فلا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إعتبار العلم في كلّ حكمٍ وضعي استُفيد من الأمر، وإلّا يلزم التكليف بالمحال، فواضح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الإطلاق وإنْ كان ذلك، إلّاأنّ مقتضى قاعدة نفي الحرج، سقوط التكليف به في حال الإطلاق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لازمها سقوط التكليف إذا لزم الحرج لا مطلقاً، لأنّ المنفيّ هو الحرج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من أنّ المراد نفيه في الدين أي في الأحكام الشرعيّة، لا فيما يوجبه العقل لدى الاشتباه مقدّمةً للقطع بالامتثال،</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محلّه من أنّ المنفيّ كلّ حكمٍ نشأ منه الحرج، ومن تلك الأحكام اعتبار الترتيب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وجوب الترتيب في ما لو عرض النسيان بعد العلم بالترتيب، فيتمّ في غيره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عدم جريان الاستصحاب في الأحكام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الأصل عدم الاعتبار فيما لم يكن مسبوقاً بالعلم، فيتمّ فيه بعدم القول بالفصل، والاستصحاب وإنْ كان حاكماً على أصل البراءة، إلّاأنّه فيما إذا كانا في مورد واحد لا في مثل المقام،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13" w:name="pg11801_108410"/>
    </w:p>
    <w:p>
      <w:pPr>
        <w:pStyle w:val="BookText"/>
        <w:rPr/>
      </w:pPr>
      <w:bookmarkEnd w:id="613"/>
      <w:r>
        <w:rPr>
          <w:rFonts w:ascii="Amiri" w:hAnsi="Amiri" w:eastAsia="Amiri" w:cs="Amiri"/>
          <w:color w:val="111111"/>
          <w:sz w:val="28"/>
          <w:sz w:val="28"/>
          <w:szCs w:val="28"/>
          <w:rtl w:val="true"/>
          <w:lang w:bidi="ar-SA"/>
        </w:rPr>
        <w:t>وأمّا ما في تقرير بعض الأساطين</w:t>
      </w:r>
      <w:r>
        <w:rPr>
          <w:rStyle w:val="FootnoteAnchor"/>
          <w:rtl w:val="true"/>
        </w:rPr>
        <w:footnoteReference w:id="1144"/>
      </w:r>
      <w:r>
        <w:rPr>
          <w:rFonts w:ascii="Amiri" w:hAnsi="Amiri" w:eastAsia="Amiri" w:cs="Amiri"/>
          <w:color w:val="111111"/>
          <w:sz w:val="28"/>
          <w:sz w:val="28"/>
          <w:szCs w:val="28"/>
          <w:rtl w:val="true"/>
          <w:lang w:bidi="ar-SA"/>
        </w:rPr>
        <w:t>من الاستدلال لعدم الوجوب بحديث رفع النسيان</w:t>
      </w:r>
      <w:r>
        <w:rPr>
          <w:rStyle w:val="FootnoteAnchor"/>
          <w:rtl w:val="true"/>
        </w:rPr>
        <w:footnoteReference w:id="11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الناس في سعةٍ ما لا يعلمون</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فمن سهو القلم، فإنّ التكليف في محلّ البحث معلومٌ‌، والمكلّف به مردّدٌ بين اُمور، فلا مجرى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الدليل يدلّ على اعتباره في حال الجهل أيضاً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10507172_73709187"/>
      <w:bookmarkStart w:id="615" w:name="_Toc234"/>
      <w:bookmarkEnd w:id="614"/>
      <w:r>
        <w:rPr>
          <w:rtl w:val="true"/>
        </w:rPr>
        <w:t>فروع قضاء الفوائت</w:t>
      </w:r>
      <w:bookmarkEnd w:id="615"/>
    </w:p>
    <w:p>
      <w:pPr>
        <w:pStyle w:val="BookText"/>
        <w:rPr/>
      </w:pPr>
      <w:r>
        <w:rPr>
          <w:rFonts w:ascii="Amiri" w:hAnsi="Amiri" w:eastAsia="Amiri" w:cs="Amiri"/>
          <w:color w:val="111111"/>
          <w:sz w:val="28"/>
          <w:sz w:val="28"/>
          <w:szCs w:val="28"/>
          <w:rtl w:val="true"/>
          <w:lang w:bidi="ar-SA"/>
        </w:rPr>
        <w:t>بناءً على ما اخترناه من عدم إعتبار الترتيب، فإنّه لا إشكال فيما لو تولّاه عنه غيره، فيجوز استنابة أشخاصٍ متعدّدين عن ميّتٍ واحد في زمانٍ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الآخر، فهل تجب مراعاة الترتيب إذا كان المتولّي غيره،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وعن غيرها؟</w:t>
      </w:r>
      <w:r>
        <w:rPr>
          <w:rStyle w:val="FootnoteAnchor"/>
          <w:rtl w:val="true"/>
        </w:rPr>
        <w:footnoteReference w:id="1148"/>
      </w:r>
      <w:r>
        <w:rPr>
          <w:rFonts w:ascii="Amiri" w:hAnsi="Amiri" w:eastAsia="Amiri" w:cs="Amiri"/>
          <w:color w:val="111111"/>
          <w:sz w:val="28"/>
          <w:sz w:val="28"/>
          <w:szCs w:val="28"/>
          <w:rtl w:val="true"/>
          <w:lang w:bidi="ar-SA"/>
        </w:rPr>
        <w:t xml:space="preserve">، أم 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إستدل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الغير إنّما يؤدّي التكليف المتوجّه إلى المنوب عنه، والفرض أنّه كان عليه ذلك مرتّباً، فمن أدّاه غير مرتّبٍ لم يكن مجزئاً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الهمداني</w:t>
      </w:r>
      <w:r>
        <w:rPr>
          <w:rStyle w:val="FootnoteAnchor"/>
          <w:rtl w:val="true"/>
        </w:rPr>
        <w:footnoteReference w:id="1150"/>
      </w:r>
      <w:r>
        <w:rPr>
          <w:rFonts w:ascii="Amiri" w:hAnsi="Amiri" w:eastAsia="Amiri" w:cs="Amiri"/>
          <w:color w:val="111111"/>
          <w:sz w:val="28"/>
          <w:sz w:val="28"/>
          <w:szCs w:val="28"/>
          <w:rtl w:val="true"/>
          <w:lang w:bidi="ar-SA"/>
        </w:rPr>
        <w:t>للثاني بما حاصله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المنوب عنه إنّما توجّه إليه تكليفان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أدائي وقضائي، والترتيب إنّما هو معتبرٌ في الثاني دون الأوّل، والواجب على النائب تدارك ما فات من الصَّلوات الأدائيّة، فهو تدارك لأصل الفائت، دون تداركه، والمفروض عدم إعتبار الترتيب في أصل الفائت، ودليل الترتيب إنّما يدلّ على اعتباره في تدارك المنوب عنه، فليس في البين ما يدلّ على اعتباره في تدارك النائب</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يُدَّعى أنّ المنساق منه كونه مسوقاً لبيان كيفيّة قضاء الفوائت من حيث هو، من دون مدخليّةٍ لأشخاص الفاعلين، كما ليس ببعيد، وعلى هذا فيجب مراعاة الترتيب في تدارك النائب أيضاً</w:t>
      </w:r>
      <w:r>
        <w:rPr>
          <w:rFonts w:eastAsia="Amiri" w:cs="Amiri" w:ascii="Amiri" w:hAnsi="Amiri"/>
          <w:color w:val="111111"/>
          <w:sz w:val="28"/>
          <w:szCs w:val="28"/>
          <w:rtl w:val="true"/>
          <w:lang w:bidi="ar-SA"/>
        </w:rPr>
        <w:t>.</w:t>
      </w:r>
      <w:bookmarkStart w:id="616" w:name="pg11801_108412"/>
    </w:p>
    <w:p>
      <w:pPr>
        <w:pStyle w:val="BookText"/>
        <w:rPr/>
      </w:pPr>
      <w:bookmarkEnd w:id="616"/>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فريضة ولم يعلم ما هي صَلّى ثلاثاً وأربعاً واثنتين</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10507174_73709187"/>
      <w:bookmarkStart w:id="618" w:name="_Toc235"/>
      <w:bookmarkEnd w:id="617"/>
      <w:r>
        <w:rPr>
          <w:rtl w:val="true"/>
        </w:rPr>
        <w:t>حكم عدم العلم بعدد ركعات الفريضة الفائتة</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فريضة ولم يعلم ما هي، صَلّى ثلاثاً وأربعاً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غير واحدٍ دعوى الإجماع عليه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الحسين بن سعيد،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نسي صلاة من الصَّلوات الخمس، لا يدري أيّتها هي‌؟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واربعة وركعتين، فإنْ كانت الظهر أو العصر أو العشاء، كان قد صَلّى‌، وإنْ كان المغرب والغداة فقد صَلّى‌</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مرسل ابن سباط</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أنّهما ضعيفان إلّاأنّ ضعفهما منجبرٌ بعمل الأصحاب، ومقتضاهما التخيّير في الرباعيّة بين الجهر والإخفات</w:t>
      </w:r>
      <w:r>
        <w:rPr>
          <w:rFonts w:eastAsia="Amiri" w:cs="Amiri" w:ascii="Amiri" w:hAnsi="Amiri"/>
          <w:color w:val="111111"/>
          <w:sz w:val="28"/>
          <w:szCs w:val="28"/>
          <w:rtl w:val="true"/>
          <w:lang w:bidi="ar-SA"/>
        </w:rPr>
        <w:t>.</w:t>
      </w:r>
      <w:bookmarkStart w:id="619" w:name="pg11801_108413"/>
    </w:p>
    <w:p>
      <w:pPr>
        <w:pStyle w:val="BookText"/>
        <w:rPr/>
      </w:pPr>
      <w:bookmarkEnd w:id="619"/>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يقضي ما فاته في السَّفر قصراً، والمسافر يقضي ما فاته في الحضر تماماً</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0507176_73709187"/>
      <w:bookmarkStart w:id="621" w:name="_Toc236"/>
      <w:bookmarkEnd w:id="620"/>
      <w:r>
        <w:rPr>
          <w:rtl w:val="true"/>
        </w:rPr>
        <w:t>كيفيّة قضاء الفوائت في الحضر والسّفر</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 يقضي ما فاته في السَّفر قصراً، والمسافر يقضي ما فاته في الحَضَر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أنّه مذهب العلماء كافّة إلّامَن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زرارة أو صحيحه،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فاتته من صلاة السَّفر فذكرها في الحَضَر؟</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فاته كما فاته، وإنْ كانت صلاة السَّفر أدّاها في الحَضَر مثلها، وإنْ كانت صلاة الحضر فليقض في السَّفر صلاة الحضر كما فاتته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الفوت في أماكن التخيّير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يثبت التخيّير في القضاء مطلقاً كما عن جماعة منهم المحقّق الثاني</w:t>
      </w:r>
      <w:r>
        <w:rPr>
          <w:rStyle w:val="FootnoteAnchor"/>
          <w:rtl w:val="true"/>
        </w:rPr>
        <w:footnoteReference w:id="1157"/>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بشرط إيقاعه في تلك الأماكن‌؟</w:t>
      </w:r>
    </w:p>
    <w:p>
      <w:pPr>
        <w:pStyle w:val="BookText"/>
        <w:rPr/>
      </w:pPr>
      <w:r>
        <w:rPr>
          <w:rFonts w:ascii="Amiri" w:hAnsi="Amiri" w:eastAsia="Amiri" w:cs="Amiri"/>
          <w:color w:val="111111"/>
          <w:sz w:val="28"/>
          <w:sz w:val="28"/>
          <w:szCs w:val="28"/>
          <w:rtl w:val="true"/>
          <w:lang w:bidi="ar-SA"/>
        </w:rPr>
        <w:t>أم يتعيّن القصر، كما لعلّه المشهور؟ وجوهٌ واحتمالات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للتخيّير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القضاء إنّما يدلّ على أنّ القضاء تابعٌ للأداء في الأحكام والاُمور المعتبرة فيه، فإذا كان التخيّير ثابتاً في الأداء ثبت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الفائتة إنّما هي صلاة السفر الّتي شُرّعت بالذات قصراً، والتمام إنّما يكون بدلاً عن القصر لمصلحةٍ اقتضت ذلك، نظير الأبدال الاضطراريّة التي اقتضاها الاضطرار، فلا مدخليّة له بأوصاف الفعل كمّاً وكيفاً حتّى تجب رعايته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وجوب القضاء فوات الواجب الأصلي لا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بذلك أنّ الواجب هي صلاة القصر، ولو أتى بالتمام كان مجزياً ويجتزئ به بدلاً عن الواجب، فهذا ممّا لا يمكن تصوّر معنى معقول له، إذ لو كان يجتزئ به أصبح أحد طرفي التخيّير لا محالة، وهذا واضحٌ بعد فرض أنّ الأمر لا يدعو إلّاإلى ما تعلّق به، ولا يسقط إلّابإتيان متعلّقه لكونه بعثاً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الواجب هو إحداهما، ولكن المقصود الأصلي هي مصلحة القصر، ومصلحة التمام بدلٌ عنها، فهذا لا يقتضي عدم رعاية هذا القيد، إذ المكلّف به في القضاء، هو رعاية أحكام الأداء لا المصلحة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الاجتزاء بالتمام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ثابتٌ في الأداء الذي له أمرٌ مختصّ به، فإسراؤه إلى القضاء الذي له أمرٌ آخر ليس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وحدة الموضوع بنظر العرف، فهذا إنّما يقتضي الوجه الثاني، وهو التخيّير لو أوقعه في تلك الأماكن لا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لتعيّن القصر باُمور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التعيّين، لدوران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لا يرجع إلى الأصل مع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عند الدوران المزبور التخيّير دون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المعاصرين</w:t>
      </w:r>
      <w:r>
        <w:rPr>
          <w:rStyle w:val="FootnoteAnchor"/>
          <w:rtl w:val="true"/>
        </w:rPr>
        <w:footnoteReference w:id="1160"/>
      </w:r>
      <w:r>
        <w:rPr>
          <w:rFonts w:ascii="Amiri" w:hAnsi="Amiri" w:eastAsia="Amiri" w:cs="Amiri"/>
          <w:color w:val="111111"/>
          <w:sz w:val="28"/>
          <w:sz w:val="28"/>
          <w:szCs w:val="28"/>
          <w:rtl w:val="true"/>
          <w:lang w:bidi="ar-SA"/>
        </w:rPr>
        <w:t>وهو أنّ نصوص التخيّير في تلك الأماكن وإنْ كانت ظاهرة في الوجوب التخيّيري، إلّاأنّ ظاهرها مشروعيّة التمام في ظرف الإتيان به، لا مشروعيّته بقول مطلق كالقصر، فمع عدم الإتيان به لا تشريع ولا فوت إلّاللقصر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الوجوب التخيّيري مشروعيّة التمام قبل الإتيان به، وإنْ اُريد إنّه قبل الإتيان يجبُ القصر تعيّيناً، ولكن من خلال الإتيان بالتمام يتبدّل التكيلف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بحسب الأدلّة جواز التمام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القول بتعيّن القصر، لو لم يكن أقوى‌، لا شبهة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أحوط، من جهة أنّ الظاهر من النصوص أنّ صيرورة التمام عِدْلاً للقصر في الأداء إنّما هي لخصوصيّة في المكان، وعليه فصلاة التمام في غير تلك الأماكن ليست قضاءً للتمام في تلك الأماكن، لفقدها خصوصيّة اُخرى غير الوقت، فلا تكون قضاءً‌، إذ القضاء عبارة عن إتيان الفائت بما له من الخصوصيّات سوى الوقت، وعليه فيتعيّن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ذكر هو تعيّن القصر إذا أتى به في غير تلك الأماكن، لا ما إذا أتى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بحسب ما يُستفاد من النصوص مختصّة بالأداء، ولذا لم يفتِ أحدٌ بالتخيير في القضاء فيها، إنْ كان الفوت في غيرها من الأماكن، فتلك الخصوصيّة لا يمكن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فرعٌ لابدَّ من التنبيه عليه،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كان المكلّف أوّل الوقت مثلاً حاضراً وآخره مسافراً أو بالعكس ففاتته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قلنا في المسألة الآتية في صلاة المسافر بأنّ المدار في التقصير والإتمام في الأداء، على كون المكلّف في أوّل الوقت مسافراً أو حاضراً، فعلى الأوّل يقصّر، وإنْ كان حين الأداء حاضراً، وعلى الثاني يُتمّ وإنْ صار مسافراً، لا يبقى مجالٌ لهذا البحث، كما هو واضح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بنينا على أنّهما تابعان لعنواني المسافر والحاضر، وما دام حاضراً يجب عليه التمام، وإذا سافر يتبدّل تكليفه إلى القصر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فهل العبرة في القضاء بحال الفوات، وهو آخر الوقت، كما اختاره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61"/>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 ونُسِب إلى المشهور، خصوصاً بين المتأخّرين</w:t>
      </w:r>
      <w:r>
        <w:rPr>
          <w:rStyle w:val="FootnoteAnchor"/>
          <w:rtl w:val="true"/>
        </w:rPr>
        <w:footnoteReference w:id="1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بحال الوجوب، أي أوّل الوقت، كما عن الشيخ المفيد، وابن بابويه</w:t>
      </w:r>
      <w:r>
        <w:rPr>
          <w:rStyle w:val="FootnoteAnchor"/>
          <w:rtl w:val="true"/>
        </w:rPr>
        <w:footnoteReference w:id="1164"/>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والإسكافي</w:t>
      </w:r>
      <w:r>
        <w:rPr>
          <w:rStyle w:val="FootnoteAnchor"/>
          <w:rtl w:val="true"/>
        </w:rPr>
        <w:footnoteReference w:id="1166"/>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الموافق لإجماع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يجب التمام إذا تعيّن في وقتٍ من الأوقات، كما عن الشهيد رحمه الله</w:t>
      </w:r>
      <w:r>
        <w:rPr>
          <w:rStyle w:val="FootnoteAnchor"/>
          <w:rtl w:val="true"/>
        </w:rPr>
        <w:footnoteReference w:id="11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يتخيّر في القضاء مطلقاً،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المحشّين</w:t>
      </w:r>
      <w:r>
        <w:rPr>
          <w:rStyle w:val="FootnoteAnchor"/>
          <w:rtl w:val="true"/>
        </w:rPr>
        <w:footnoteReference w:id="1169"/>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للثاني</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الفائت هو ما خوطب به في الحال الأُولى، لأنّه لو صلّاها حينئذٍ، كان يصلّيها كذلك، فيجبُ أن يقضيها كما فاتته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موسى بن بكير، عن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دخل وقت الصَّلاة وهو في السفر، فأخّر الصَّلاة حتّى قَدِم وهو يريد أن يُصلّيها إذا قدم إلى أهله، فنسي حين قدم إلى أهله أن يُصلّيها حتّى ذهب وقتها؟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ركعتين صلاة المسافر، لأنّ الوقت دخل وهو مسافر، كان ينبغي أن يُصلّي عند ذلك</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وعدم كونه تعبّديّاً على فرض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اقتضاء تأديتها كذلك لو فعل في أوّل الوقت ذلك، بعد سقوطه عنه، والانتقال إلى بدله،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لموسى بن بكير</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واقفيّاً إلّاأنّ له كتاباً يرويه عنه جماعة من الفضلاء، منهم من أجمعت العصابة على تصحيح ما يصحّ عنهم، كابن أبي عُمير وصفوان، فلا وجه لرفع اليد عن روايته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بالروايات الدالّة على أنّ العبرة في الأداء بحال الوجوب، فيشكل لذلك العمل به، لمعارضته بغيره ممّا يجب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أشبهيّته بها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فيه مشعرٌ بإرادة الأفضليّة، فيكون مؤيّداً للقول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لرفع اليد عن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لهذا الإشعار، بل الصحيح الإيراد عليه بإعراض المشهور عنه، وعدم استناد من أفتى بمضمونه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للقول بالتخيّير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به في الوقت لم يكن هو التمام ولا القصر، بل الجامع بينهما، فإنّه في قطعةٍ من الزمان كان مكلّفاً بالتمام، وفي قطعةٍ من الوقت كان مكلّفاً بالقصر، فعند القضاء يجبُ عليه الإتيان بأحد الأمرين من القصر أو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 بعضهم</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بأنّه فاتت إحدى الصلاتين، فلا وجه لانتساب الفوت إلى ما تعيّن عليه في آخر الوقت، ولا ما تعيّن عليه في أوّله، لأنّ الواجب الموسّع الذي له أفراد تدريجيّة، نسبته إلى كلّ واحد منها عين نسبته إلى الآخر، فتطبيقه بلحاظ الفوت على أحدهما بعينه ترجيحٌ بلا مرجّح، فلابدَّ وأن يكون فوته بلحاظ جميع أفراده، وحيث أنّ بعضها تمام وبعضها قصر، فيكون فوته بفوت جميعها لا بفوت أحدهما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البيان هو لزوم الجمع بين القصر والتمام، لصدق الفائت علىر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منهما، ولا وجه للتخيّير إلّابدعوى ثبوت الوجوب التخيّيري لهما في الأداء، وهي كما ترى‌، إذ ما دام كان مسافراً كان يجب عليه القصر معيّناً، وما دام كان حاضراً كان يجبُ عليه التمام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لأنّ القضاء إنّما يدور مدار الفوت، وهو إنّما يتحقّق بترك الصَّلاة في آخر وقتها، إذ لو أتى بها فيه لما صدق عليها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آتياً بها في أوّل الوقت، لما صدق على تركها في آخره الفوت أيضاً، فكيف يُنسب الفوت إلى ترك ما وَجَبَ عليه آخر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بحسب الدقّة العقليّة وإنْ كان تامّاً، فإنّ أجزاء الوقت ليست موضوعات متعدّدة لوجوبات عديدة، بل وجوب واحد متعلّق بالصّلاة في وقت موسع، فالملحوظ في صدق الفوت ترك الفعل في مجموع الوقت المضروب له، لا خصوص جزئه الأخير، إلّاأنّه بحسب المتفاهم العرفي لا يلاحظ في هذا المقام إلّا الجزء الأخير دون ما قبله من أجزاء الوقت الذي للمكلّف ترك الصَّلاة فيها بإذنٍ من الشارع الأقدس</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الأحوط الجمع، بعد ملاحظة خبر موسى المتقدّم، بضميمة ما ذكرناه في وجه المختار، احتياطاً لا يُترك، كما لا يخفى وجهه</w:t>
      </w:r>
      <w:r>
        <w:rPr>
          <w:rFonts w:eastAsia="Amiri" w:cs="Amiri" w:ascii="Amiri" w:hAnsi="Amiri"/>
          <w:color w:val="111111"/>
          <w:sz w:val="28"/>
          <w:szCs w:val="28"/>
          <w:rtl w:val="true"/>
          <w:lang w:bidi="ar-SA"/>
        </w:rPr>
        <w:t>.</w:t>
      </w:r>
      <w:bookmarkStart w:id="622" w:name="pg11801_108421"/>
    </w:p>
    <w:p>
      <w:pPr>
        <w:pStyle w:val="Heading6"/>
        <w:numPr>
          <w:ilvl w:val="5"/>
          <w:numId w:val="1"/>
        </w:numPr>
        <w:rPr/>
      </w:pPr>
      <w:bookmarkStart w:id="623" w:name="__RefHeading___Toc10507178_73709187"/>
      <w:bookmarkStart w:id="624" w:name="_Toc237"/>
      <w:bookmarkEnd w:id="622"/>
      <w:bookmarkEnd w:id="623"/>
      <w:r>
        <w:rPr>
          <w:rtl w:val="true"/>
        </w:rPr>
        <w:t>يُستحبّ قضاء النوافل المُرتبة</w:t>
      </w:r>
      <w:bookmarkEnd w:id="624"/>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المُرتبة، ولو فاتته بمرضٍ‌، استحبّ أن يتصدّق عن كلّ ركعتين بمُدٍ، وإنْ لم يتمكّن فعن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غير واحد</w:t>
      </w:r>
      <w:r>
        <w:rPr>
          <w:rStyle w:val="FootnoteAnchor"/>
          <w:rtl w:val="true"/>
        </w:rPr>
        <w:footnoteReference w:id="1173"/>
      </w:r>
      <w:r>
        <w:rPr>
          <w:rFonts w:ascii="Amiri" w:hAnsi="Amiri" w:eastAsia="Amiri" w:cs="Amiri"/>
          <w:color w:val="111111"/>
          <w:sz w:val="28"/>
          <w:sz w:val="28"/>
          <w:szCs w:val="28"/>
          <w:rtl w:val="true"/>
          <w:lang w:bidi="ar-SA"/>
        </w:rPr>
        <w:t>، ويشهد له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فاتته 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وعجز عن 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أن يتصدّق عن كلّ ركعتين بمُدٍ، وإنْ لم يتمكّن فعن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الأصحاب</w:t>
      </w:r>
      <w:r>
        <w:rPr>
          <w:rStyle w:val="FootnoteAnchor"/>
          <w:rtl w:val="true"/>
        </w:rPr>
        <w:footnoteReference w:id="1174"/>
      </w:r>
      <w:r>
        <w:rPr>
          <w:rFonts w:ascii="Amiri" w:hAnsi="Amiri" w:eastAsia="Amiri" w:cs="Amiri"/>
          <w:color w:val="111111"/>
          <w:sz w:val="28"/>
          <w:sz w:val="28"/>
          <w:szCs w:val="28"/>
          <w:rtl w:val="true"/>
          <w:lang w:bidi="ar-SA"/>
        </w:rPr>
        <w:t>، وليس فيما بأيدينا من النصوص ما يدلّ على هذا الترتيب، إلّاأنّه من المستبعد جدّاً أن لا يكون بذلك رواية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استحباب الصدقة بترتيبٍ آخر، خبر ابن سنان</w:t>
      </w:r>
      <w:r>
        <w:rPr>
          <w:rStyle w:val="FootnoteAnchor"/>
          <w:rtl w:val="true"/>
        </w:rPr>
        <w:footnoteReference w:id="1175"/>
      </w:r>
      <w:r>
        <w:rPr>
          <w:rFonts w:ascii="Amiri" w:hAnsi="Amiri" w:eastAsia="Amiri" w:cs="Amiri"/>
          <w:color w:val="111111"/>
          <w:sz w:val="28"/>
          <w:sz w:val="28"/>
          <w:szCs w:val="28"/>
          <w:rtl w:val="true"/>
          <w:lang w:bidi="ar-SA"/>
        </w:rPr>
        <w:t>والعمل بالكلّ حسن</w:t>
      </w:r>
      <w:r>
        <w:rPr>
          <w:rFonts w:eastAsia="Amiri" w:cs="Amiri" w:ascii="Amiri" w:hAnsi="Amiri"/>
          <w:color w:val="111111"/>
          <w:sz w:val="28"/>
          <w:szCs w:val="28"/>
          <w:rtl w:val="true"/>
          <w:lang w:bidi="ar-SA"/>
        </w:rPr>
        <w:t>.</w:t>
      </w:r>
      <w:bookmarkStart w:id="625" w:name="pg11801_108422"/>
    </w:p>
    <w:p>
      <w:pPr>
        <w:pStyle w:val="BookText"/>
        <w:rPr/>
      </w:pPr>
      <w:bookmarkEnd w:id="625"/>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في الجمعة والعيدين بالشرائط</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0507180_73709187"/>
      <w:bookmarkStart w:id="627" w:name="_Toc238"/>
      <w:bookmarkEnd w:id="626"/>
      <w:r>
        <w:rPr>
          <w:rtl w:val="true"/>
        </w:rPr>
        <w:t>الباب السادس</w:t>
      </w:r>
      <w:r>
        <w:rPr>
          <w:rtl w:val="true"/>
        </w:rPr>
        <w:t xml:space="preserve">: </w:t>
      </w:r>
      <w:r>
        <w:rPr>
          <w:rtl w:val="true"/>
        </w:rPr>
        <w:t>في صلاة الجماعة</w:t>
      </w:r>
      <w:bookmarkEnd w:id="627"/>
    </w:p>
    <w:p>
      <w:pPr>
        <w:pStyle w:val="Heading4"/>
        <w:numPr>
          <w:ilvl w:val="3"/>
          <w:numId w:val="1"/>
        </w:numPr>
        <w:rPr/>
      </w:pPr>
      <w:bookmarkStart w:id="628" w:name="__RefHeading___Toc10507182_73709187"/>
      <w:bookmarkStart w:id="629" w:name="_Toc239"/>
      <w:bookmarkEnd w:id="628"/>
      <w:r>
        <w:rPr>
          <w:rtl w:val="true"/>
        </w:rPr>
        <w:t>اشارة</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واجبة في الجمعة والعيدين بالشَّرائط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الخلاف فيه</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النّاس من الجمعة إلى الجمعة خمساً وثلاثين صلاة، منها صلاة واحدة فرضها اللّه عزّ وجلّ في جماعة، وهي الجمعة</w:t>
      </w:r>
      <w:r>
        <w:rPr>
          <w:rFonts w:eastAsia="Amiri" w:cs="Amiri" w:ascii="Amiri" w:hAnsi="Amiri"/>
          <w:color w:val="111111"/>
          <w:sz w:val="28"/>
          <w:szCs w:val="28"/>
          <w:rtl w:val="true"/>
          <w:lang w:bidi="ar-SA"/>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يوم العيد، فلا صلاة له ولا قضاء عليه</w:t>
      </w:r>
      <w:r>
        <w:rPr>
          <w:rFonts w:eastAsia="Amiri" w:cs="Amiri" w:ascii="Amiri" w:hAnsi="Amiri"/>
          <w:color w:val="111111"/>
          <w:sz w:val="28"/>
          <w:szCs w:val="28"/>
          <w:rtl w:val="true"/>
          <w:lang w:bidi="ar-SA"/>
        </w:rPr>
        <w:t>»</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الكلام في ذلك مفصّلاً في مبحث صلاة الجمعة</w:t>
      </w:r>
      <w:r>
        <w:rPr>
          <w:rStyle w:val="FootnoteAnchor"/>
          <w:rtl w:val="true"/>
        </w:rPr>
        <w:footnoteReference w:id="1179"/>
      </w:r>
      <w:r>
        <w:rPr>
          <w:rFonts w:ascii="IRNazanin" w:hAnsi="IRNazanin" w:eastAsia="IRNazanin"/>
          <w:color w:val="111111"/>
          <w:sz w:val="28"/>
          <w:sz w:val="28"/>
          <w:szCs w:val="28"/>
          <w:rtl w:val="true"/>
          <w:lang w:bidi="fa-IR"/>
        </w:rPr>
        <w:t>من هذا الشرح</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تجبُ الجماعة بالأصل، لا شرعاً ولا شرطاً في غيرهما إجماعاً</w:t>
      </w:r>
      <w:r>
        <w:rPr>
          <w:rStyle w:val="FootnoteAnchor"/>
          <w:rtl w:val="true"/>
        </w:rPr>
        <w:footnoteReference w:id="1180"/>
      </w:r>
      <w:r>
        <w:rPr>
          <w:rFonts w:ascii="Amiri" w:hAnsi="Amiri" w:eastAsia="Amiri" w:cs="Amiri"/>
          <w:color w:val="111111"/>
          <w:sz w:val="28"/>
          <w:sz w:val="28"/>
          <w:szCs w:val="28"/>
          <w:rtl w:val="true"/>
          <w:lang w:bidi="ar-SA"/>
        </w:rPr>
        <w:t>، ويشهد له صحيح زرارة المتقدّم آنفاً، وغيره من النصوص الواردة في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ومستحبّة في الفرائض الباقية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ومستحبّة في الفرائض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Style w:val="FootnoteAnchor"/>
          <w:rtl w:val="true"/>
        </w:rPr>
        <w:footnoteReference w:id="1181"/>
      </w:r>
      <w:r>
        <w:rPr>
          <w:rFonts w:ascii="Amiri" w:hAnsi="Amiri" w:eastAsia="Amiri" w:cs="Amiri"/>
          <w:color w:val="111111"/>
          <w:sz w:val="28"/>
          <w:sz w:val="28"/>
          <w:szCs w:val="28"/>
          <w:rtl w:val="true"/>
          <w:lang w:bidi="ar-SA"/>
        </w:rPr>
        <w:t xml:space="preserve">، 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ظاهر الإجماع</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استحبابها في الفرائض الحاضرة اليوميّة، بل لعلّه من ضروريّات الدِّين، ويشهد به النصوص الكثيرة الواردة في مشروعيّتها وفضيلتها، مضافاً إلى النصوص الخاصّة الواردة في خصوص كلّ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الجماعة في اليوميّة الحاضرة 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ينبغي التوقّف في مشروعيّتها في الفوائت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استفادته من أدلّة القضاء، الدالّة على أنّ الصَّلاة إذا مضى وقتها ولم يؤت بها، يجبُ الإتيان بها بما لها من الأجزاء والشرائط، والأحكام الواجبة والمستحبّة خارج الوقت، وأنّ الفرق بين الأداء والقضاء إنّما هو في خصوص الإتيان في الوقت وفي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المسلمين،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والمستفيضة الواردة في قضاء النبيّ صلى الله عليه و آله وأصحابه صلاة الصبح جماعةً‌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30" w:name="pg11801_108424"/>
    </w:p>
    <w:p>
      <w:pPr>
        <w:pStyle w:val="BookText"/>
        <w:rPr/>
      </w:pPr>
      <w:bookmarkEnd w:id="63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 النصوص الواردة في العدول من الحاضرة إلى الفائتة، الدالّ على مشروعيّة الجماعة في الفائتة، فيما إذا كان المأموم هو القاضي دون الإمام، كخبر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ذكرها مع إمامٍ في صلاة المغرب، أتمّها بركعة، ثمّ صَلّى المغرب</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إسحاق بن عمّار،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الصَّلاة وقد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واجعلها لما فات</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لا كلام في استحبابها في صلاة الآيات والأموات، للنصوص الخاصّة الواردة فيهما المتقدّمة في مبحث صلاة الآيات والأموات</w:t>
      </w:r>
      <w:r>
        <w:rPr>
          <w:rFonts w:eastAsia="Amiri" w:cs="Amiri" w:ascii="Amiri" w:hAnsi="Amiri"/>
          <w:color w:val="111111"/>
          <w:sz w:val="28"/>
          <w:szCs w:val="28"/>
          <w:rtl w:val="true"/>
          <w:lang w:bidi="ar-SA"/>
        </w:rPr>
        <w:t>.</w:t>
      </w:r>
      <w:r>
        <w:rPr>
          <w:rStyle w:val="FootnoteAnchor"/>
          <w:rtl w:val="true"/>
        </w:rPr>
        <w:footnoteReference w:id="1188"/>
      </w:r>
    </w:p>
    <w:p>
      <w:pPr>
        <w:pStyle w:val="Heading4"/>
        <w:numPr>
          <w:ilvl w:val="3"/>
          <w:numId w:val="1"/>
        </w:numPr>
        <w:rPr/>
      </w:pPr>
      <w:bookmarkStart w:id="631" w:name="__RefHeading___Toc10507184_73709187"/>
      <w:bookmarkStart w:id="632" w:name="_Toc240"/>
      <w:bookmarkEnd w:id="631"/>
      <w:r>
        <w:rPr>
          <w:rtl w:val="true"/>
        </w:rPr>
        <w:t>لا دليل على مشروعيّتها في مطلق الفرائض</w:t>
      </w:r>
      <w:bookmarkEnd w:id="632"/>
    </w:p>
    <w:p>
      <w:pPr>
        <w:pStyle w:val="BookText"/>
        <w:rPr/>
      </w:pPr>
      <w:r>
        <w:rPr>
          <w:rFonts w:ascii="Amiri" w:hAnsi="Amiri" w:eastAsia="Amiri" w:cs="Amiri"/>
          <w:color w:val="111111"/>
          <w:sz w:val="28"/>
          <w:sz w:val="28"/>
          <w:szCs w:val="28"/>
          <w:rtl w:val="true"/>
          <w:lang w:bidi="ar-SA"/>
        </w:rPr>
        <w:t>يدور البحث في المقام عن مشروعيّة الجماعة في مطلق الفرائض كصلاة الطواف ونحوها، وقد استدلّ 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باب الجماعة، غير المختصّة باليوميّة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جماعة تفضل على صلاة الفرد بأربع وعشرين درجة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واردة في مقام بيان شيءٍ آخر من الثواب المترتّب على الجماعة المشروعة، والذمّ على تاركها، ونحو ذلك فلا إطلاق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لإفتاء المشهور بالاستحباب، يدخل ذلك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الاستحباب ببركة تلك النصوص</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مختصّة بما إذا كان الخبر ضعيفاً ويتضمّن استحباب الشيء، ولا تشمل إفتاء الفقهاء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المحقّق اليزدي رحمه الله</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بأن الجماعة في الواجبات على تقدير مشروعيّتها، ليست من الاُمور المستحبّة، بل هي مصداق للواجب، وأفضل الفردين منه، فلا يمكن إثبات مشروعيّتها بالاحتمال، والدليل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الجماعة بنفسها يعدّ عملاً وعنواناً يباين عمل الصّلاة وعنوانها، نعم يترتّب على الجماعة في الصَّلاة أحكام وآثار ملحقة بالصّلاة، فإذا دلَّ الدليل الضعيف على استحبابها، وثبت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الاستحباب، بالنحو الذي تكفّله الدليل الضعيف، ترتّب عليه أحكام الجماعة فالصحيح ماذكرناه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صحيح زرارة والفضيل، قالا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فريضة، وليس الاجتماع بمفروض في الصَّلوات كلّها، ولكنّها سُنّة، من تركه رغبةً عنها وعن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فيه ظاهرٌ في أنّ المشروعيّة كانت مفروغاً عنها عند السائل، وإنّما السؤال عن كونها فريضةً أم لا، فلا يكون الجواب وارداً لبيان المشروعيّة، كي يُتمسّك بإطلاقه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ليس ظاهراً في ذلك، إذ ليس إلّامتضمّناً للسؤال عن كونها فريضة وعدمها، ولعلّه لم تكن المشروعيّة مفروغاً عنها عندهما،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لو كان الجواب وارداً لبيان نفي كونها فريضة، لما كان وجهٌ لقوله عليه السلام بعد نفي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إمّا أن تكون قرينة على أنّ السؤال كان عن المشروعيّة أيضاً، أو تكون تفضّلاً محضاً، وعلى كلّ حالٍ فإنّها واردة لبيان الاستحباب، فلا مانع من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بيَّن عدم كونها فريضة، أراد بيان أنّها من المستحبات الأكيدة، كي لا يتركها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النائيني رحمه الله</w:t>
      </w:r>
      <w:r>
        <w:rPr>
          <w:rStyle w:val="FootnoteAnchor"/>
          <w:rtl w:val="true"/>
        </w:rPr>
        <w:footnoteReference w:id="1195"/>
      </w:r>
      <w:r>
        <w:rPr>
          <w:rFonts w:ascii="Amiri" w:hAnsi="Amiri" w:eastAsia="Amiri" w:cs="Amiri"/>
          <w:color w:val="111111"/>
          <w:sz w:val="28"/>
          <w:sz w:val="28"/>
          <w:szCs w:val="28"/>
          <w:rtl w:val="true"/>
          <w:lang w:bidi="ar-SA"/>
        </w:rPr>
        <w:t>، وهو أنّ ظاهر قوله عليه السلام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الاجتماع بمفروض في الصَّلوات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نحو سلب العموم على النحو العام المجموعي، بمعنى أن يكون سلب الفرض عن الجماعة بالنسبة إلى مجموع الفرائض، بحيث لا ينافيه ثبوت الفرض في الجمعة والعيدين، وهكذا الكلام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الظاهر إثبات السُنّة فيما نُفي عنه الفرض، فإذا لم يكن الفرض منفيّاً عن جميع الفرائض، لم تكن السُنّة ثابتة في جميعها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لدعوى ظهور الجملة الأُولى في كونها على نحو سلب العموم، إذ ذلك يتمّ فيما إذا كان النفي وارداً على العموم، وكان العموم منفيّاً كما في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المنفيّ شيئاً آخر، كما في المقام، فإنّ المنفيّ هو كونها فريضة، فلا فرق بينه وبين إثبات ذلك الشيء في تلك الموارد، فكما أنّه في مورد الإثبات يُحمل على كونه على النحو العام الاستغراقي، ما لم يثبت خلافه، فكذلك في مورد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لي الفرق بين إثبات شيءٍ على العام، وبين نفيه عنه، كي يُحمل الأوّل على العام الاستغراقي، والثاني على المجموعي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ذلك في الجملة الأُولى‌، لم يتمّ في الثانية، إذ لازم كونها على النحو العام المجموعي، كون استحباب الجماعة في جميع الصَّلوات التي شُرِّعت الجماعة فيها حُكماً واحداً، له امتثال واحد، ومخالفة واحدة، وهذا ممّا يُقطع بخلافه، فلا مناص عن حمله على العام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منه مطلق الصَّلوات، وإلّا لزم تخصيص الأكثر، مضافاً إلى أنّ ذلك خلاف ظاهره، بل المراد الصَّلوات اليوميّة للإنصراف، ولا أقلّ من إجماله، ممّا يجعل اليوميّة هي المتيقّن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استحباب الجماعة في الصَّلوات اليوميّة، لا في كلّ صلاةٍ واجبة، وهو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مشروعيّة الجماعة في غير الفرائض اليوميّة، عدا صلاتي الآيات والأموات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مثل صلاة الطواف التي لم يرد نصٌّ خاصٌّ عن مشروعيّة الجماعة فيها، </w:t>
      </w:r>
    </w:p>
    <w:p>
      <w:pPr>
        <w:pStyle w:val="BookText"/>
        <w:rPr/>
      </w:pPr>
      <w:r>
        <w:rPr>
          <w:rFonts w:ascii="Amiri" w:hAnsi="Amiri" w:eastAsia="Amiri" w:cs="Amiri"/>
          <w:color w:val="111111"/>
          <w:sz w:val="28"/>
          <w:sz w:val="28"/>
          <w:szCs w:val="28"/>
          <w:rtl w:val="true"/>
          <w:lang w:bidi="ar-SA"/>
        </w:rPr>
        <w:t>فلابدَّ فيها من الرجوع إلى الأصل، وهو أصالة عدم مشروعيّة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حال النافلة المذكورة، مع أنّ مقتضى النصوص المتضمّنة عدم مشروعيّة الجماعة في النافلة، الظاهرة في إرادة النافلة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عرضها وصف الوجوب، لانطباق عنوان آخر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مشروعيّتها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ركعات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القول بأنّها من الواجبات المستقلّة، وجبت لأجل احتمال نقص الصَّلاة التي وقع الشكّ فيها، وجابرة لنقصها، أو متوسّطة بين الجزئيّة والاستقلال، لا تكون الجماعة فيها مشروعة، لما تقدّم من عدم الدليل على مشروعيّتها في غير الخمس اليوميّة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على القول بأنّها بأنفسها أجزاء من الصَّلاة، على تقدير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مقتدياً في أصل صلاته، لا إشكال في عدم ثبوت مشروعيّة الجماعة فيها حينئذٍ، فإنّه لو اقتدى بها، وكانت في الواقع جزءً‌، لزم تحقّق الائتمام في أثناء الصَّلاة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مقتدياً في أصل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يختلف الإمام والمأموم في الشكّ أو يتّفقان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إبقاء القدوة إلى آخر الصَّلاة، كما إذا شكّ المأموم بين الاثنين والثَّلاث، والإمام شكّ بين الأربع والخمس، فحكمه حكم سابقه لزوال القدوة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أمكن ذلك، كما إذا شكّ الإمام بين الاثنين والأربع، والمأموم شكّ بين الثَّلاث والأربع، فإنّهما يبنيان على الأربع، ثمّ يأتي كلّ منهما بما هو وظيفته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فالأظهر عدم جواز الائتمام، لقطع المأموم بأنّ الوظيفة الواقعيّة ليست 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 قاطع بعدم النقص ركعتين، ومعه لا مجال له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اتّفقا 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شكّا بين الثَّلاث والأربع، فيمكن أن يقال بجواز الاقتداء على هذا المبنى، فإنّه لو كانت صلاتهما ناقصة، كان المأموم مقتدياً فيما هو جزءٌ من صلاته بما هو من أجزاء صلاة الإمام، وتكون هذه القدوة من أوّل الصَّلاة، وإلّا فتقعان معاً زائدتين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مضافاً إلى ضعف المبنى، يلزم من ذلك فسادها على تقديرالزيادة، لعدم مشروعيّة الجماعة في النافلة، مع أنّ ظاهر النصوص أنّ الوظيفة هو الإتيان بما يقع جزءً على تقدير النقص، ونافلةً على تقدير الكمال لا زائداً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مشروعيّة الجماعة فيها</w:t>
      </w:r>
      <w:r>
        <w:rPr>
          <w:rFonts w:eastAsia="Amiri" w:cs="Amiri" w:ascii="Amiri" w:hAnsi="Amiri"/>
          <w:color w:val="111111"/>
          <w:sz w:val="28"/>
          <w:szCs w:val="28"/>
          <w:rtl w:val="true"/>
          <w:lang w:bidi="ar-SA"/>
        </w:rPr>
        <w:t>.</w:t>
      </w:r>
      <w:bookmarkStart w:id="633" w:name="pg11801_108430"/>
    </w:p>
    <w:p>
      <w:pPr>
        <w:pStyle w:val="Heading4"/>
        <w:numPr>
          <w:ilvl w:val="3"/>
          <w:numId w:val="1"/>
        </w:numPr>
        <w:rPr/>
      </w:pPr>
      <w:bookmarkStart w:id="634" w:name="__RefHeading___Toc10507186_73709187"/>
      <w:bookmarkStart w:id="635" w:name="_Toc241"/>
      <w:bookmarkEnd w:id="633"/>
      <w:bookmarkEnd w:id="634"/>
      <w:r>
        <w:rPr>
          <w:rtl w:val="true"/>
        </w:rPr>
        <w:t>الجماعة الواجبة بالعَرَض</w:t>
      </w:r>
      <w:bookmarkEnd w:id="635"/>
    </w:p>
    <w:p>
      <w:pPr>
        <w:pStyle w:val="Heading5"/>
        <w:numPr>
          <w:ilvl w:val="4"/>
          <w:numId w:val="1"/>
        </w:numPr>
        <w:rPr/>
      </w:pPr>
      <w:bookmarkStart w:id="636" w:name="__RefHeading___Toc10507188_73709187"/>
      <w:bookmarkStart w:id="637" w:name="_Toc242"/>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تجب الجماعة بالعَرَض في موارد</w:t>
      </w:r>
      <w:r>
        <w:rPr>
          <w:rStyle w:val="FootnoteAnchor"/>
          <w:rtl w:val="true"/>
        </w:rPr>
        <w:footnoteReference w:id="1196"/>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لم يحسن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ضاق الوقت عن تعلّم القراءة، مع قدرته عليه، يجب الائتمام، وأمّا إذا كان عاجزاً فلا يجب عليه حضور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98"/>
      </w:r>
      <w:r>
        <w:rPr>
          <w:rFonts w:ascii="Amiri" w:hAnsi="Amiri" w:eastAsia="Amiri" w:cs="Amiri"/>
          <w:color w:val="111111"/>
          <w:sz w:val="28"/>
          <w:sz w:val="28"/>
          <w:szCs w:val="28"/>
          <w:rtl w:val="true"/>
          <w:lang w:bidi="ar-SA"/>
        </w:rPr>
        <w:t>التفصيل بين ما إذا كان ترك التعلّم عن تقصير فيجب الائتمام، وبين ما إذا كان للعجز عنه، أو لعدم من يتعلّم منه إلى آخر الوقت،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ما ذهب اليه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هو الأقوى‌؛ لأنّه في موارد ترك التعلّم لا عن تقصيرٍ يسقط وجوب القراءة التامّة للعجز عنها، وتكون القراءة الملحونة إذا تمكّن منها، والناقصة إذا لم يقدر إلّاعلى بعضها، وقراءة شيء من القرآن إذا لم يقدر إلّاعليه، والذِّكر مع عدم القدرة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تقدّم في مبحث القراءة</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أبدالاً عن القراءة الكاملة، بمقتضى الروايات المتقدّمة في تلك المسألة، ومقتضى إطلاقها ذلك حتّى مع التمكّن من الائتمام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الائتمام أحد فردي الواجب الأوّلي، فيجبُ تعيّيناً عند عدم التمكّن من الفرد الآخر، الذي هو طرف التخيّير، ولا ينتهي الأمر مع التمكّن إلى المراتب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الائتمام مسقطٌ لوجوب القراءة المعتبرة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لتعيّنه بعد فرض سقوط الأمر بالقراءة التامّة، وبدليّة شيءٍ آخر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 بدلٌ‌، فمقتضى إطلاق أدلّة البدليّة، الشامل لصورة التمكّن من الائتمام، أنّ كلّ مرتبةٍ من مراتب القراءة، طرفٌ للتخيّير بينها وبين الائتمام، فالقادر مخيّر بين القراءة التامّة والائتمام، والعاجز مخيّرٌ بين الناقصة والائتمام،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عدم تماميّة ما قيل على القول بالبدليّة، من إنّ الائتمام بدلٌ اختياري، والمراتب الناقصة أبدالٌ اضطراريّة، لا يصحّ الانتقال إلى الاضطراري مع التمكّن من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الأدلّة، بدليّتها عنها حتّى مع التمكّن من الائتمام، ولازم ذلك كون تلك المراتب بالنسبة إلى العاجزين بمنزلة التامّة في حقّ القادر، فكما أنّه مخيّرٌ بين القراءة والائتمام، كذلك هؤلاء</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موارد ترك التعلّم عن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بانصراف تلك النصوص إلى صورة عدم التقصير، فلا كلام، وأمّا إنْ التزمنا بإطلاقها، فحيثُ لا كلام في وجوب التعلّم واستحقاق العقاب بتركه، وإنْ امتنعتْ في ظرفها، لأنّ الامتناع بالاختيار لا ينافي الاختيار عقاباً، وإنْ كان ينافيه خطاباً، ومن البديهي أنّه لو ائتمّ لما استحقّ العقاب، فإنّ ترك القراءة بترك التعلّم، يوجب العقاب على تقدير ترك الائتمام، وإلّا فلم يترك واجباً فعليّاً، كي يستحقّ العقاب،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فيجب الائتمام عقلاً فرار من استحقاق العقاب</w:t>
      </w:r>
      <w:r>
        <w:rPr>
          <w:rFonts w:eastAsia="Amiri" w:cs="Amiri" w:ascii="Amiri" w:hAnsi="Amiri"/>
          <w:color w:val="111111"/>
          <w:sz w:val="28"/>
          <w:szCs w:val="28"/>
          <w:rtl w:val="true"/>
          <w:lang w:bidi="ar-SA"/>
        </w:rPr>
        <w:t>.</w:t>
      </w:r>
      <w:bookmarkStart w:id="638" w:name="pg11801_108432"/>
    </w:p>
    <w:p>
      <w:pPr>
        <w:pStyle w:val="Heading5"/>
        <w:numPr>
          <w:ilvl w:val="4"/>
          <w:numId w:val="1"/>
        </w:numPr>
        <w:rPr/>
      </w:pPr>
      <w:bookmarkStart w:id="639" w:name="__RefHeading___Toc10507190_73709187"/>
      <w:bookmarkStart w:id="640" w:name="_Toc243"/>
      <w:bookmarkEnd w:id="638"/>
      <w:bookmarkEnd w:id="639"/>
      <w:r>
        <w:rPr>
          <w:rtl w:val="true"/>
        </w:rPr>
        <w:t>الجماعة المنذورة</w:t>
      </w:r>
      <w:bookmarkEnd w:id="64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الإتيان بالصّلاة جماعة، فإنّها تجبُ‌، ويقع البحث حينئذٍ عن أنّه لو خالف وصَلّى فرادى‌، هل تصحّ صلاته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الأمر بالجماعة يقتضي النهي عن الفرادى‌، ولا أقلّ من عدم الأمر بهما، لأنّهما ضدّان، والنهي عن العبادة موجبٌ لفسادها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مفاد قول الناذر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أن أفعل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حقٍّ وضعي له تعالى‌، ومقتضى أدلّة نفوذ النذر ثبوت ذلك، فيكون الفعل منذوراً للّه تعالى‌، ومقتضى ما دلَّ على سلطنة كلّ أحد على أمواله وحقوقه، قصور سلطنة الناذر عن كلّ ما ينافي المنذور، فإذا لم يكن للناذر سلطنةٌ على الصَّلاة فرادى‌، لمنافاتها للصلاة جماعة، كانت هي محرّمة وباطلة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نذر الصَّلاة جماعة مرجعه إلى تعيّين ما في الذمّة في صلاة الجماعة، وعدم الإتيان بفردٍ منه إلّاالصَّلاة جماعة، وعليه فيحرم الصَّلاة فرادى‌، لكونها تفويتاً للمنذور الذي هو متعلّق حقّ اللّه سبحانه، فيشملها ما دلَّ على حرمة التصرّف في مال الغير وحقّه بلا إذنٍ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من أنّ الأمر بالشيء لا يقتضي النهي عن ضدّه، وأنّه يمكن تصوير تعلّق الأمر به أيضاً بنحو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مفاد صيغة النذر تمليك شيء للّه، ولا إثبات حقٍّ وضعي له، بل ليس مفادها سوى الالتزام بالمنذور، وعلى ذلك فلا مورد لهذين الوجهين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تماميّة الأوّل منهما، حتّى على ذلك المسلك، فإنّ ما دلَّ على سلطنة الناس على أموالهم وحقوقهم، إنّما يدلّ على عدم سلطنة الغير عليها، لا على عدم سلطنته على كلّ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أنّه لو خالف وصَلّى فرادى صَحّت صلاته، ووجبت حينئذٍ الكفّارة إنْ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ترك الوسواس موقوفاً عليها،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الوسواس موجباً لبطلان الصَّلاة تمّ ما ذكره، وإلّا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ذلك، ولا على حرمة الوسواس، كي تجب الجماعة فراراً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ضاق الوقت عن إدراك الرّكعة إلّابالجماعة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وجوبها ما دلَّ على وجوب إيقاع الصَّلاة في الوقت، بضميمة قاعده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أمر أحد الوالدين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الموارد التي يكون ترك الإطاعة إيذاءً لهما، وعقوقاً لحقوقهما، تجب الإطاعة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بمقتضى مدلول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الدالّة على حرمة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إيذائهما بالمفهوم،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وللنصوص الكثيرة المتضمّنة أنّ العقوق من الكبائر</w:t>
      </w:r>
      <w:r>
        <w:rPr>
          <w:rStyle w:val="FootnoteAnchor"/>
          <w:rtl w:val="true"/>
        </w:rPr>
        <w:footnoteReference w:id="1202"/>
      </w:r>
      <w:r>
        <w:rPr>
          <w:rFonts w:ascii="Amiri" w:hAnsi="Amiri" w:eastAsia="Amiri" w:cs="Amiri"/>
          <w:color w:val="111111"/>
          <w:sz w:val="28"/>
          <w:sz w:val="28"/>
          <w:szCs w:val="28"/>
          <w:rtl w:val="true"/>
          <w:lang w:bidi="ar-SA"/>
        </w:rPr>
        <w:t>، وفي غير ذلك لا دليل على وجوب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 بدعوى أنّ إطاعتهما 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تامّ‌، إذ لا يجبُ كلّ ما يعدّ إحساناً قطعاً، سيّما وقد فُسّرت الآية الشريفة في حَسَن أبي ولّاد بأن يحسُن صحبتهما، وأنْ لا يكلّفهما أن يسألاه شيئاً ممّا يحتاجون إليه، وإنْ كانا مستغنيين</w:t>
      </w:r>
      <w:r>
        <w:rPr>
          <w:rStyle w:val="FootnoteAnchor"/>
          <w:rtl w:val="true"/>
        </w:rPr>
        <w:footnoteReference w:id="1204"/>
      </w:r>
      <w:r>
        <w:rPr>
          <w:rFonts w:ascii="Amiri" w:hAnsi="Amiri" w:eastAsia="Amiri" w:cs="Amiri"/>
          <w:color w:val="111111"/>
          <w:sz w:val="28"/>
          <w:sz w:val="28"/>
          <w:szCs w:val="28"/>
          <w:rtl w:val="true"/>
          <w:lang w:bidi="ar-SA"/>
        </w:rPr>
        <w:t>، ولا يمكن الالتزام بوجوب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بخبر محمّد بن مروان، عن الإمام الصادق عليه السلام في الوالدين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أمراك أن تخرج من أهلك ومالك فافعل، فإنّ ذلك من الإيمان</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إذ لا تجبُ الإطاعة في مورد الخبر يقيناً، فلابدَّ من حمله على الاستحباب، ويؤيّده بل يشهد له التعليل المذكور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 بوجوه اُخر ضعيفة جدّاً، وعليه فالأظهر عدم وجوبها في غير ذينك الموردين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الجماعة الواجبة في هذه الموارد، إنّما يكون وجوبها شرعيّاً لا شرطيّاً، فتصحّ الصَّلاة فرادى بناءً على عدم اقتضاء الأمر بالشيء النهي عن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41" w:name="pg11801_108435"/>
    </w:p>
    <w:p>
      <w:pPr>
        <w:pStyle w:val="Heading4"/>
        <w:numPr>
          <w:ilvl w:val="3"/>
          <w:numId w:val="1"/>
        </w:numPr>
        <w:rPr/>
      </w:pPr>
      <w:bookmarkStart w:id="642" w:name="__RefHeading___Toc10507192_73709187"/>
      <w:bookmarkStart w:id="643" w:name="_Toc244"/>
      <w:bookmarkEnd w:id="641"/>
      <w:bookmarkEnd w:id="642"/>
      <w:r>
        <w:rPr>
          <w:rtl w:val="true"/>
        </w:rPr>
        <w:t>عدم مشروعيّة الجماعة في النافلة</w:t>
      </w:r>
      <w:bookmarkEnd w:id="6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تشرع الجماعة في شيءٍ من النوافل، إلّا ما استثني، ممّاسيأتي التعرّض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أصالة عدم المشروعيّة، لما تقدّم من عدم الدليل على مشروعيّة الجماعة في الصَّلوات مطلقاً، وأنّ الأصل هو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العموم من بعض ما ورد في المنع عن الجماعة في نافلة شهر رمضان، كقول أمير المؤمنين عليه السلام في خبر سُليم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أعلمتهم أنّ اجتماعهم في النوافل بدعة</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دعوى كون اللّام للعهد، والإشارة إلى ما في صدر الخبر، المختصّ بنوافل شهر رمضان، وإنْ كانت ليست بعيدة، إلّاأنّه من جهة ظهور اللّام في نفسها في كونها للجنس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فردٍ من أفراد الطبيعة، لا يتنافى مع إرادة الجنس منها، كي يكون قرينة للتصرّف في ظهورها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إرادة الجنس منها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مرسلاً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جماعة في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استدلّ به لهذا القول، فمن المحتمل قويّاً كونه هو الخبر المتقدّم الذي استفدنا العموم منه، وليس خبراً آخر، ليكون هو مؤيّداً لتماميّة الاستفادة المزبورة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محمّد بن سليمان، عن الإمام الرضا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نافلة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 ولن نجتمع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 جماعة في نافلة</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الاستدلال به جملتان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منه كونه من قبيل كبرى كليّة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الصَّلاة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جماعه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المعتبر المحكيّ عن الفضل بن شاذان، عن الإمام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يُصلّى تطوّعٌ في جماعة، لأنّ ذلك بدعةٍ‌، وكلّ بدعةٍ ضلالة، وكلّ ضلالةٍ في النار</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الأعمش</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الميل إلى الجواز، 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هشام،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وأمّا المكتوبة فلا</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صحيحا الحلبي وسليمان بن خالد</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الرحمن،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بأهلك في رمضان الفريضة والنافلة فإنّي أفعله</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بالنصوص المتقدّمة، لا سيّما النصوص</w:t>
      </w:r>
      <w:r>
        <w:rPr>
          <w:rStyle w:val="FootnoteAnchor"/>
          <w:rtl w:val="true"/>
        </w:rPr>
        <w:footnoteReference w:id="1219"/>
      </w:r>
      <w:r>
        <w:rPr>
          <w:rFonts w:ascii="Amiri" w:hAnsi="Amiri" w:eastAsia="Amiri" w:cs="Amiri"/>
          <w:color w:val="111111"/>
          <w:sz w:val="28"/>
          <w:sz w:val="28"/>
          <w:szCs w:val="28"/>
          <w:rtl w:val="true"/>
          <w:lang w:bidi="ar-SA"/>
        </w:rPr>
        <w:t>الواردة في نافلة شهر رمضان الّتي هي متعدّدة، وفيها الصحاح، ويكون التعارض على وجه لا يمكن الجمع بينهما كما لا يخفى، فلابدَّ من الرجوع إلى المرجّحات، وهي مع نصوص المنع، لكونها أشهر ومخالفة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مشروعيّة الجماعة في النافلة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النافلة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النافلة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كالصلاة المعادة جماعةً‌، والمتبرّع بها عن الغير، والمأتيّ بها من جهة الاحتياط الاستحبابي، فلا بأس بالجماعة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فللنصوص الخاصّة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التبرّع إنّما يدلّ على استحباب الإتيان بما في ذمّة الميّت، بما لها من الأجزاء والشرائط والموانع والأحكام، ألا ترى إنّه لا يتوقّف أحدٌ في اعتبار جميع ما هو معتبرٌ فيها في المتبرّع بها، مع أنّه لا إطلاق لدليل كلّ واحدٍ من تلك الاُمور، وليس ذلك إلّامن جهة ما ذكرناه، وعليه فكما تكون الجماعة مشروعة في صلاة الميّت نفسها، كذلك تكون مشروعة في المتبرّع بها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ليست صلاة اُخرى غير الصَّلاة اليوميّة، بل المحرّك إنّما هو الأمر الوجوبي المحتمل تعلّقه بها، بما لها من الكيفيّة ولو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644" w:name="pg11801_108438"/>
    </w:p>
    <w:p>
      <w:pPr>
        <w:pStyle w:val="BookText"/>
        <w:rPr/>
      </w:pPr>
      <w:bookmarkEnd w:id="644"/>
      <w:r>
        <w:rPr>
          <w:rFonts w:ascii="Amiri" w:hAnsi="Amiri" w:eastAsia="Amiri" w:cs="Amiri"/>
          <w:color w:val="111111"/>
          <w:sz w:val="28"/>
          <w:sz w:val="28"/>
          <w:szCs w:val="28"/>
          <w:rtl w:val="true"/>
          <w:lang w:bidi="ar-SA"/>
        </w:rPr>
        <w:t>والعيدين مع اختلال الشرائط، والإستسقاء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استثني من الكليّة المزبورة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العيدين مع اختلال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فيها عند البحث عن حكم صلاة العيد سابقاً، وعرفتَ أنّ الأظهر عدم مشروعيّة الجماعة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الكلام فيها عند البحث عنها سابقاً</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0507194_73709187"/>
      <w:bookmarkStart w:id="646" w:name="_Toc245"/>
      <w:bookmarkEnd w:id="645"/>
      <w:r>
        <w:rPr>
          <w:rtl w:val="true"/>
        </w:rPr>
        <w:t>الجماعة في صلاة الغدير</w:t>
      </w:r>
      <w:bookmarkEnd w:id="64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المشهور</w:t>
      </w:r>
      <w:r>
        <w:rPr>
          <w:rStyle w:val="FootnoteAnchor"/>
          <w:rtl w:val="true"/>
        </w:rPr>
        <w:footnoteReference w:id="12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الاقتداء فيها، بل عن أبي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من وكيد السُنن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بمرسل أبي 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من حكاية أنّ النبيّ صلى الله عليه و آله صلّى ركعتين بالجماعة قبل نصبه عليّاً عليه السلام للخلافة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كونها صلاة الظهر، مندفعٌ بأنّ النصب كان قبل الزّوال على ما في بعض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وإنْ كان لا يثبت بهما المشروعيّة في أنفسهما، إلّاأنّه وقع الكلام في إثباتها بهما بضميمة دليل التسامح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22"/>
      </w:r>
      <w:r>
        <w:rPr>
          <w:rFonts w:ascii="Amiri" w:hAnsi="Amiri" w:eastAsia="Amiri" w:cs="Amiri"/>
          <w:color w:val="111111"/>
          <w:sz w:val="28"/>
          <w:sz w:val="28"/>
          <w:szCs w:val="28"/>
          <w:rtl w:val="true"/>
          <w:lang w:bidi="ar-SA"/>
        </w:rPr>
        <w:t>، والمحقّق النائيني رحمه الله</w:t>
      </w:r>
      <w:r>
        <w:rPr>
          <w:rStyle w:val="FootnoteAnchor"/>
          <w:rtl w:val="true"/>
        </w:rPr>
        <w:footnoteReference w:id="1223"/>
      </w:r>
      <w:r>
        <w:rPr>
          <w:rFonts w:ascii="Amiri" w:hAnsi="Amiri" w:eastAsia="Amiri" w:cs="Amiri"/>
          <w:color w:val="111111"/>
          <w:sz w:val="28"/>
          <w:sz w:val="28"/>
          <w:szCs w:val="28"/>
          <w:rtl w:val="true"/>
          <w:lang w:bidi="ar-SA"/>
        </w:rPr>
        <w:t>وبتبعهما بعض المعاصرين العدم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الهمداني رحمه الله</w:t>
      </w:r>
      <w:r>
        <w:rPr>
          <w:rStyle w:val="FootnoteAnchor"/>
          <w:rtl w:val="true"/>
        </w:rPr>
        <w:footnoteReference w:id="1225"/>
      </w:r>
      <w:r>
        <w:rPr>
          <w:rFonts w:ascii="Amiri" w:hAnsi="Amiri" w:eastAsia="Amiri" w:cs="Amiri"/>
          <w:color w:val="111111"/>
          <w:sz w:val="28"/>
          <w:sz w:val="28"/>
          <w:szCs w:val="28"/>
          <w:rtl w:val="true"/>
          <w:lang w:bidi="ar-SA"/>
        </w:rPr>
        <w:t>إلى إثباتها بهما لمدلول دليل التسامح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على الأوّل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ترتّب الثواب على مجرّد الانقياد، فلا طريق لإثبات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حاشيتنا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دلالتها على استحباب العمل الذي بلغ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تجرى حيثُ لا دليل على نفي المشروعيّة، وفي المقام دلّت النصوص والأصل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ثبوت استحبابها بأخبار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عن موضوع تلك الأدلّة، وينتفي موضوع عدم المشروعيّة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المشرّع به لا يكون حراماً ذاتاً وإنّما المحرّم هو التشريع المرتفع ببركة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ذلك لما أمكن إثبات استحباب شيءٍ ممّا ورد الدليل على استحبابه التعبّدي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النائيني رحمه الله</w:t>
      </w:r>
      <w:r>
        <w:rPr>
          <w:rStyle w:val="FootnoteAnchor"/>
          <w:rtl w:val="true"/>
        </w:rPr>
        <w:footnoteReference w:id="1226"/>
      </w:r>
      <w:r>
        <w:rPr>
          <w:rFonts w:ascii="Amiri" w:hAnsi="Amiri" w:eastAsia="Amiri" w:cs="Amiri"/>
          <w:color w:val="111111"/>
          <w:sz w:val="28"/>
          <w:sz w:val="28"/>
          <w:szCs w:val="28"/>
          <w:rtl w:val="true"/>
          <w:lang w:bidi="ar-SA"/>
        </w:rPr>
        <w:t xml:space="preserve">، من أنّ الأدلّة إنّما تدلّ على أنّ الجماعة في النافلة بدعة، والبدعة عبارة عن فعل ما أراد الشارع عدمه، وهي من المحرّمات الذاتيّة كشُرب الخمر، ومعلومٌ أنّ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لإثبات مشروعيّة ما دلَّ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بعمومه أو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حرمته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عدم دلالة الأخبار على استحباب ما ثبت حرمته بالدليل، وإنْ كان لا يبعد، لظهور أخبار من بلغ فيما إذا كان المورد ممّا بلغ عليه الثواب فقط، ولا تشمل ما إذا ثبت العقاب عليه بدليل معتبر، إلّاأنّ ما ذكره من أنّ الفعل البدعي حرامٌ ذاتاً محلّ إشكال ومنع، فإنّ البدعة كالتشريع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الفرق بينهما استعمال البدعة فيما جُعل في الدين في زمرة الأحكام، مع عدم كونه منها، وهذا بخلاف التشريع فإنّه عبارة عن عقد القلب، والبناء على كون شيءٍ من الدين، والجري على وفقه عملاً مع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البدعة، أي الفعل الذي يبدع به ذاتاً، كي تصبح الجماعة في النافلة محرمة ذاتاً، فلا تكون مورداً لأخبار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الجماعة إنّما تكون مترتّبة على الجماعة المستحبّة ذاتاً، ولاتكون مترتّبة على ماثبت استحبابها عَرَضاًلعنوان البلوغ الذي هو عنوانٌثانوي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إنّما تدلّ على ثبوت الاستحباب، بالنحو الذي يدلّ عليه الخبر الضعيف، مثلاً لو دلَّ الخبر الضعيف على استحباب الاستعاذة قبل القراءة، فببركة أخبار من بلغ يثبت جزئيّتها الاستحبابيّة لا الاستحباب الاستقلالي، وفي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بما أنّ المرسل يدلّ على ثبوت مشروعيّة الجماعة بالنحو الذي تكون مشروعة في سائر الموارد، تثبت ذلك ببركة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آخر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مشروعيّة الجماعة في صلاة الغدير، فتدبّر في أطراف ما ذكرناه</w:t>
      </w:r>
      <w:r>
        <w:rPr>
          <w:rFonts w:eastAsia="Amiri" w:cs="Amiri" w:ascii="Amiri" w:hAnsi="Amiri"/>
          <w:color w:val="111111"/>
          <w:sz w:val="28"/>
          <w:szCs w:val="28"/>
          <w:rtl w:val="true"/>
          <w:lang w:bidi="ar-SA"/>
        </w:rPr>
        <w:t>.</w:t>
      </w:r>
      <w:bookmarkStart w:id="647" w:name="pg11801_108442"/>
    </w:p>
    <w:p>
      <w:pPr>
        <w:pStyle w:val="Heading4"/>
        <w:numPr>
          <w:ilvl w:val="3"/>
          <w:numId w:val="1"/>
        </w:numPr>
        <w:rPr/>
      </w:pPr>
      <w:bookmarkStart w:id="648" w:name="__RefHeading___Toc10507196_73709187"/>
      <w:bookmarkStart w:id="649" w:name="_Toc246"/>
      <w:bookmarkEnd w:id="647"/>
      <w:bookmarkEnd w:id="648"/>
      <w:r>
        <w:rPr>
          <w:rtl w:val="true"/>
        </w:rPr>
        <w:t>ضابط ما يصحّ الإئتمام فيه من الصَّلوات وما لا يصحّ‌</w:t>
      </w:r>
      <w:bookmarkEnd w:id="649"/>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ما يصحّ الائتمام فيه من الصَّلوات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1227"/>
      </w:r>
      <w:r>
        <w:rPr>
          <w:rFonts w:ascii="Amiri" w:hAnsi="Amiri" w:eastAsia="Amiri" w:cs="Amiri"/>
          <w:color w:val="111111"/>
          <w:sz w:val="28"/>
          <w:sz w:val="28"/>
          <w:szCs w:val="28"/>
          <w:rtl w:val="true"/>
          <w:lang w:bidi="ar-SA"/>
        </w:rPr>
        <w:t>صحّته في كلٍّ من الصَّلوات اليوميّة بمن يُصلّي الاُخرى أيّة منها كانت، وإنْ اختلف الفرضان عدداً كالقصر والإتمام، ونوعاً كالظهر والعصر، وصنفاً كالأداء والقضاء، وكيفيّةً كالجهر والإخفات، بل لم يُنقل الخلاف في شيءٍ من ذلك، إلّاما حُكي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والد الصدوق رحمه الله</w:t>
      </w:r>
      <w:r>
        <w:rPr>
          <w:rStyle w:val="FootnoteAnchor"/>
          <w:rtl w:val="true"/>
        </w:rPr>
        <w:footnoteReference w:id="1228"/>
      </w:r>
      <w:r>
        <w:rPr>
          <w:rFonts w:ascii="Amiri" w:hAnsi="Amiri" w:eastAsia="Amiri" w:cs="Amiri"/>
          <w:color w:val="111111"/>
          <w:sz w:val="28"/>
          <w:sz w:val="28"/>
          <w:szCs w:val="28"/>
          <w:rtl w:val="true"/>
          <w:lang w:bidi="ar-SA"/>
        </w:rPr>
        <w:t>من منع اقتداء المسافر بالحاضر وعكسه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الصدوق رحمه الله من منع الاقتداءفي العصربظهر الإمام، إلّاأن يتوهّمها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ما نُسب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 وغيرهما</w:t>
      </w:r>
      <w:r>
        <w:rPr>
          <w:rStyle w:val="FootnoteAnchor"/>
          <w:rtl w:val="true"/>
        </w:rPr>
        <w:footnoteReference w:id="1231"/>
      </w:r>
      <w:r>
        <w:rPr>
          <w:rFonts w:ascii="Amiri" w:hAnsi="Amiri" w:eastAsia="Amiri" w:cs="Amiri"/>
          <w:color w:val="111111"/>
          <w:sz w:val="28"/>
          <w:sz w:val="28"/>
          <w:szCs w:val="28"/>
          <w:rtl w:val="true"/>
          <w:lang w:bidi="ar-SA"/>
        </w:rPr>
        <w:t>،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 في حسن زرارة والفضيل أو صحيحهما المتقدّم</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الاجتماع بمفروضٍ في الصَّلوات كلّها، ولكنّه سُنّة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عمومه إنّما هو بالنسبة إلى أنواع الفرائض دون أحوالها، إذ ليس له </w:t>
      </w:r>
    </w:p>
    <w:p>
      <w:pPr>
        <w:pStyle w:val="BookText"/>
        <w:rPr/>
      </w:pPr>
      <w:r>
        <w:rPr>
          <w:rFonts w:ascii="Amiri" w:hAnsi="Amiri" w:eastAsia="Amiri" w:cs="Amiri"/>
          <w:color w:val="111111"/>
          <w:sz w:val="28"/>
          <w:sz w:val="28"/>
          <w:szCs w:val="28"/>
          <w:rtl w:val="true"/>
          <w:lang w:bidi="ar-SA"/>
        </w:rPr>
        <w:t>إطلاق أحوالي، فلا ينافيه اشتراط صحّة الجماعة في كلّ فريضةٍ بوقوع الائتمام بمثله لا بما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تسليم كونه في مقام البيان، وعدم كونه في مقام بيان حكمٍ آخر، ولذا يَسلْم المُدّعي عمومه بالنسبة إلى أنواع الفرائض، لا وجه لدعوى عدم ثبوت الإطلاق الأحوالي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البصري،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نسي صلاة حتّى دخل وقت صلاةٍ اُخرى؟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ذكرها مع إمام في صلاة المغرب، أتمّها بركعةٍ ثمّ صَلّى المغرب، الخبر</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جواز الاقتداء بعد الذُكر، مع أنّ صلاة المأموم حينئذٍ تباين صلاة الإمام نوعاً وصنفاً وكيفيّة، بل وربما عدداً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له فيما إذا اختلفا في القصر والإتمام وفي النوع، صحيح ابن مسلم، في المسافر،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صَلّى معهم الظهر، فليجعل الأولتين الظهر والأخيرتين العصر</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جواز اقتداء المسافر صلاة عصره بصلاة ظهر الإمام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موثّق الفضل</w:t>
      </w:r>
      <w:r>
        <w:rPr>
          <w:rStyle w:val="FootnoteAnchor"/>
          <w:rtl w:val="true"/>
        </w:rPr>
        <w:footnoteReference w:id="1235"/>
      </w:r>
      <w:r>
        <w:rPr>
          <w:rFonts w:ascii="Amiri" w:hAnsi="Amiri" w:eastAsia="Amiri" w:cs="Amiri"/>
          <w:color w:val="111111"/>
          <w:sz w:val="28"/>
          <w:sz w:val="28"/>
          <w:szCs w:val="28"/>
          <w:rtl w:val="true"/>
          <w:lang w:bidi="ar-SA"/>
        </w:rPr>
        <w:t>، وهو متضمّنٌ لجواز اقتداء الحاضر بالمسافر أيضاً كما سيمرّ عليك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اختلفا صنفاً، خبر إسحاق،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الصَّلاة وقد صلّيت‌؟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واجعلها لما فات</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فروض الاختلاف، وإنْ لم يرد نصٌّ خاص، إلّاأنّه في المطلقات وفي النصوص الخاصّة الواردة في المواردالمخصّصة بضميمة إلغاء الخصوصيّة، لا سيّما مع السيرة القطعيّة، وذهاب المشهور إلى صحّة الجماعة في جميع الفروض، كفاية، فالحكم في جميع فروض الاختلاف في اليوميّة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حُكي عن والد الصدوق من المنع عن اقتداء المسافر بالحاضر وعكسه، فقد 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بموثّق الفضل بن عبد الملك،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 الحضري المسافر، ولا المسافر الحَضَري، فإنْ ابتلى بشيء من ذلك فأمَّ قوماً حضريّين، فإذا أتمّ الرّكعتين سَلَّم، ثمّ أخذ بيد بعضهم فقدّمهم وأمَّهم، وإذا صَلّى المسافر خلف قومٍ حضور، فليتمّ صلاته ركعتين ويُسلِّم، وإنْ صَلّى معهم الظهر، فليجعل الأولتين الظهر والأخيرتين العصر</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المسافر مع المقيم، فإنْ صَلّى فلينصرف في الرّكعتين</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فيهما محمولٌ على الكراهة بقرينة ما في ذيلهما من التصريح بالجواز، وبيان الوظيفة في صورة الاقتداء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 بعض الصّحاح المتقدّمة واردٌ في هذا المورد، ويدلّ على الجواز كصحيح ابن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عن الصدوق</w:t>
      </w:r>
      <w:r>
        <w:rPr>
          <w:rStyle w:val="FootnoteAnchor"/>
          <w:rtl w:val="true"/>
        </w:rPr>
        <w:footnoteReference w:id="1239"/>
      </w:r>
      <w:r>
        <w:rPr>
          <w:rFonts w:ascii="Amiri" w:hAnsi="Amiri" w:eastAsia="Amiri" w:cs="Amiri"/>
          <w:color w:val="111111"/>
          <w:sz w:val="28"/>
          <w:sz w:val="28"/>
          <w:szCs w:val="28"/>
          <w:rtl w:val="true"/>
          <w:lang w:bidi="ar-SA"/>
        </w:rPr>
        <w:t xml:space="preserve">من المنع عن الاقتداء في العصر بظهر الإمام، إلّاأن يتوهّمها العصر، ثمّ يعلم أنّها كانت الظهر، فقد استدلّ 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بأنّ العصر لا تصحّ إلّابعد الظهر، فإذا صلّاها خلف من يُصلّي الظهر، فكأنّه قد صَلّى العصر مع الظهر، مع أنّها بعدها،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خيالٌ ضعيف، لأنّ عصر المُصلّي مترتّبة على ظهر نفسه، لا على ظهر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يعتنى بمثل هذه الوجوه الاعتباريّة في إثبات الحكم الشرعي، لا سيّما وقد ورد النصّ على جواز الاقتداء في هذا المورد، كصحيحي ابن مسلم وحمّاد المتقدّمين، وليس نظر الصدوق على فرض الإفتاء بذلك إلى هذا الوجه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علي بن جعفر، عن أخيه عليه السلام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إمامٍ كان في الظهر، فقامت إمرأة بحياله تُصلّي معه، وهي تحسب أنّها العصر، هل يفسد ذلك على القوم، وما حال المرأة في صلاتها معهم، وقد كانت صَلّت الظهر؟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على القوم، وتُعيد المرأة صلاتها</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مؤذّن قومٍ وإمامهم، يكون في طريق مكّة أو غير ذلك، فيُصلّي بهم العصر في وقتها، فيدخل الرّجل الذي لا يعرف فيَرى أنّها الأُولى‌، أفتُجزيه أنّها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الكليني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 أنّهم في صلاة العصر ولم يكن صَلّى الأُولى‌، فلا يدخل معهم</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مخالفان لما نُقل عن الصدوق من الحكم بالصحّة لو توهّم أنّها العصر، ولذلك يصحّ أن يُقال إنّه لم يفتِ أحد من الفقهاء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أنّهما معارضان للنصوص الخاصّة المتقدّمة، الدالّة على الجواز، المعمول بها بين الأصحاب، والمعتبرة في أنفسها، وموافقان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فإمّا أن يُطرحان، أو يُحملان على خلاف ظاهرهما، فيُحمل الأوّل على ما حمله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المانع هنا محاذاتها للرِّجال، أو تقدّمها عليهم، أو غير ذلك، ويُحمل الثاني على إرادة أنّها لا تُجزيه عن العصر بمجرّد نيَّة الإمام، مع أنّ الحكم بالإعادة في الأوّل يحتمل في نفسه أن يكون من جهة عدم تأخّرها عن الإمام فلا ظهور له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السَّند، غير معمولٍ به، معارضٌ بما هو أصحّ منه وأشهر، فيُحمل على إرادة عدم الدخول معهم بنيّة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كانت الصلاتان فريضتين، وكذلك يجوز الاقتداء إذا كانت صلاة الإمام فريضة فعليّة، وصلاة المأموم نافلة بالعَرَض، كإعادة الفريضة ندباً احتياطاً، أداءً أو قضاءً‌، أو لإدراك فضيلة الجماعة، أو تبرّعاً عن الميّت، كما تقدّم تفصيل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هناك يظهر حكم عكس هذه الصورة، وحكم اقتداء المتنفَّل بالمتنفِّل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إعادة الصَّلاة احتياطاً، لا يجوز الاقتداء في الصورتين الأخيرتين، لعدم إحراز كون الإمام مُصلّياً، إلّاإذا كان احتياطهما من جهة واحدة،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الصلاتان مختلفي النوع والنظم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كاليوميّة والآيات، فلا يجوز الاقتداء في شيءٍ منهما بالاُخرى‌، لعدم الدليل على مشروعيّة الجماعة في هذا المورد، فإنّ الدليل إنّما دلَّ على جواز الاقتداء في صورة الاتّحاد نظماً، كاليوميّة باليوميّة، والآيات بالآيات، وأمّا في غير ذلك فلا دليل عليه، والأصل يقتضي العدم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كانتا مختلفي النوع، متّحدي النظم، كاليوميّة والطّواف، فحيثُ عرفت عدم مشروعيّة الجماعة في الطّواف، مضافاً إلى عدم الإطلاق لدليل شرعيّة الجماعة، بحيثُ يشمل موارد الاختلاف بهذا النحو، فالأظهر عدم الجواز</w:t>
      </w:r>
      <w:r>
        <w:rPr>
          <w:rFonts w:eastAsia="Amiri" w:cs="Amiri" w:ascii="Amiri" w:hAnsi="Amiri"/>
          <w:color w:val="111111"/>
          <w:sz w:val="28"/>
          <w:szCs w:val="28"/>
          <w:rtl w:val="true"/>
          <w:lang w:bidi="ar-SA"/>
        </w:rPr>
        <w:t>.</w:t>
      </w:r>
      <w:bookmarkStart w:id="650" w:name="pg11801_108448"/>
    </w:p>
    <w:p>
      <w:pPr>
        <w:pStyle w:val="BookText"/>
        <w:rPr/>
      </w:pPr>
      <w:bookmarkEnd w:id="650"/>
      <w:r>
        <w:rPr>
          <w:rFonts w:ascii="Amiri" w:hAnsi="Amiri" w:eastAsia="Amiri" w:cs="Amiri"/>
          <w:color w:val="111111"/>
          <w:sz w:val="28"/>
          <w:sz w:val="28"/>
          <w:szCs w:val="28"/>
          <w:rtl w:val="true"/>
          <w:lang w:bidi="ar-SA"/>
        </w:rPr>
        <w:t>وتنعقدُ باثنين فصاعداً</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0507198_73709187"/>
      <w:bookmarkStart w:id="652" w:name="_Toc247"/>
      <w:bookmarkEnd w:id="651"/>
      <w:r>
        <w:rPr>
          <w:rtl w:val="true"/>
        </w:rPr>
        <w:t>فيما تنعقد به الجماعة</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في غير الجمعة والعيدين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بإثنين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الإمام والآخر المأموم، بلا خلافٍ فيه، بل عن جماعةٍ دعوى الإجماع عليه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أو حسنه،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ويقوم الرّجل عن يمين الإمام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الرّجلان يؤمّ أحدهما صاحبه</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الاثنين الّذين ينعقد بهما الجماعة، بين كونهما رجلين، أو امرأتين، أو كون الإمام رجلاً والمأموم امرأة، بلا خلافٍ ولا إشكال في الرجلين والرّجل والمرأة، لورود النص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الصيقل، عن الإمام الصادق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كم أقلّ ما تكون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وامرأة</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الإشكال في المورد الثالث، فإنّه قد يتوهّم أنّ مقتضى خبر الصيقل عدم الانعقاد بامرأتين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دفعه بأنّه يدلّ على مشروعيّتها في هذا المورد إطلاقات الجماعة، والنصوص المتقدّمة، بعد إلغاء الخصوصيّة، لو ثبت جواز كونها إماماً، وسيأتي تنقيح المسألة فيما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الصيقل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احتمال كونه كسائر النصوص التي استدلّ بها على عدم جواز امامة المرأة، المحمولة على غير ظاهرها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العدول عن ذكر الإمراتين في أقلّ ما تنعقد به الجماعة، هو قلّة وجود هذا الفرد، فتدبّر، فلا إشكال في الحكم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يكونا بالِغَين، أو يكون المأموم صبيّاً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أنّ أوّل جماعة انعقدت كانت من النبيّ صلى الله عليه و آله وأمير المؤمنين عليه السلام، وكان حينذاك صبيّاً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أبي البختري، عن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في الصَّلاة إذا ضبط الصفّ جماعة</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إمامة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لمثله، أو للبالغ، فسيأتي تنقيح القول فيها في شرائط إمام الجماعة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53" w:name="pg11801_108450"/>
    </w:p>
    <w:p>
      <w:pPr>
        <w:pStyle w:val="BookText"/>
        <w:rPr/>
      </w:pPr>
      <w:bookmarkEnd w:id="653"/>
      <w:r>
        <w:rPr>
          <w:rFonts w:ascii="Amiri" w:hAnsi="Amiri" w:eastAsia="Amiri" w:cs="Amiri"/>
          <w:color w:val="111111"/>
          <w:sz w:val="28"/>
          <w:sz w:val="28"/>
          <w:szCs w:val="28"/>
          <w:rtl w:val="true"/>
          <w:lang w:bidi="ar-SA"/>
        </w:rPr>
        <w:t>وأمّا في الجمعة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أكثر من اثنين بلا كلام ولا إشكال، وإنْ وقع الخلاف في اعتبار الخمسة أو السّبعة، كما فصَّلنا الكلام فيه في مبحث صلاة الجمعة</w:t>
      </w:r>
      <w:r>
        <w:rPr>
          <w:rStyle w:val="FootnoteAnchor"/>
          <w:rtl w:val="true"/>
        </w:rPr>
        <w:footnoteReference w:id="1251"/>
      </w:r>
      <w:r>
        <w:rPr>
          <w:rFonts w:ascii="Amiri" w:hAnsi="Amiri" w:eastAsia="Amiri" w:cs="Amiri"/>
          <w:color w:val="111111"/>
          <w:sz w:val="28"/>
          <w:sz w:val="28"/>
          <w:szCs w:val="28"/>
          <w:rtl w:val="true"/>
          <w:lang w:bidi="ar-SA"/>
        </w:rPr>
        <w:t>و العيدين من هذا الشرح</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0507200_73709187"/>
      <w:bookmarkStart w:id="655" w:name="_Toc248"/>
      <w:bookmarkEnd w:id="654"/>
      <w:r>
        <w:rPr>
          <w:rtl w:val="true"/>
        </w:rPr>
        <w:t>حكم الشكّ في شرائط الجماعة</w:t>
      </w:r>
      <w:bookmarkEnd w:id="655"/>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يشترط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بيان الشرائط، لابدَّمن تأسيس الأصل في القيود المشكوك اعتبارها في الجماعة، كي يُرجع إليه عند عدم الدليل على أحد الطرفين،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المشكوك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يُحتمل دخله فيها شرعاً، مع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ممّا يُحتمل دخله فيها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اندراجه تحت العنوان المذكور في الدليل، ثمّ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انعقاد الجماعة مع فقده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 يُحتمل اعتباره غير معتبرٍ فيها عرفاً، وشكّ في اعتباره شرعاً مع عدم الدليل عليه، فيمكن القول بعدم اعتباره،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صحيح زرارة والفضيل المتقدّم، في صدر المبحث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وروده في مقام البيان، لا أصل التشريع، فإنّ مقتضى إطلاقه اللّفظي عدم الاعتبار</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الإطلاق المقامي، إذ القيد ممّا يغفل عنه العامّة والجماعة، ويبتلي بها </w:t>
      </w:r>
    </w:p>
    <w:p>
      <w:pPr>
        <w:pStyle w:val="BookText"/>
        <w:rPr/>
      </w:pPr>
      <w:r>
        <w:rPr>
          <w:rFonts w:ascii="Amiri" w:hAnsi="Amiri" w:eastAsia="Amiri" w:cs="Amiri"/>
          <w:color w:val="111111"/>
          <w:sz w:val="28"/>
          <w:sz w:val="28"/>
          <w:szCs w:val="28"/>
          <w:rtl w:val="true"/>
          <w:lang w:bidi="ar-SA"/>
        </w:rPr>
        <w:t>عامّة الناس، فعدم التعرّض له في الأخبار، يوجب القطع بعدم دخله، وإلّا لزم الإخلال بالغَرَض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البراءة عن دخل القيد فيها، بناءً على جريانها في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الأخير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اليزدي رحمه الله من أنّ أصالة البراءة إنّما تجري حيث لا دليل على عدم صحّة العمل مع فقد المشكوك فيه، وفي المقام الدليل موجودٌ، وهو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فإنّه يقتضي بطلان كلّ صلاةٍ فاقدة للفاتحة، خرج عنه الجماعة الواقعيّة، فإذا شكّ في اعتبار قيد فيها، فالعموم المذكور يقتضي بطلان تلك الصَّلاة لو ترك القراءة فيها، وبهذا العموم يُستكشف عدم كونها من أفراد الجماعة الواقعيّة، فإنّها لو كانت منها كانت القراءة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الخارج عن العموم المذكور الجماعة المشروعة، فإذا جرت أصالة البراءة عن اعتبار القيد المشكوك فيه، وثبتت مشروعيّة الجماعة الفاقدة له، دخلت تلك الصَّلاة في المخصّص، ومعه لا مورد للرجوع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إنّما يبين حال الفاقد ويُدخله في عنوان المخصّص، فلا يعقل مانعيّة العموم الذي هو حجّة في غير مورد صدق عنوان المخصّص عن جريانه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العموم المذكور، الصَّلاة التي لا تكون جماعة، والأصل إنّما يجري وينقّح به الموضوع، مع أنّ العموم المذكور لو كان جارياً في نفسه، لما دلَّ على عدم كون هذه الجماعة مشروعة، لعدم حجيّته في هذا المدلول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الالتزامي، فلا وجه لمنعه عن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حديث الرفع بالأحكام التكليفيّة، وعدم جريانه في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عمومه لها 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البراءة لا يختصّ به، وفي غيره كالاستصحاب ونحوه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بعض المعاصرين</w:t>
      </w:r>
      <w:r>
        <w:rPr>
          <w:rStyle w:val="FootnoteAnchor"/>
          <w:rtl w:val="true"/>
        </w:rPr>
        <w:footnoteReference w:id="1253"/>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البراءة وإنْ كانت تجري عند دوران الأمر بين الأقلّ والأكثر، إلّاأنّ ذلك في غير باب الأسباب والمحصّلات، وفي ذلك الباب لا تجري البراءة لو شُكّ في جزئيّة شيء أو شرطيّته، للسبب والمحصّل، ولذلك أوجبوا الاحتياط عند الشكّ في جزئيّة شيءاو شرطيّته للوضوء أو الغسل أو التيمّم، إذا كان الموضوع هو الطهارة الحاصلة من أحدها، ولم يكتفوا في البناء على حصولها بالرجوع إلى البراءة في نفي الجزئيّة أو الشرطيّة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فان انعقاد الجماعة إنّما يكون بجعل الإمامة للإمام من المأموم، في ظرف اجتماع الشرائط، فإذا شكّ في جزئيّة شيءٍ أو شرطيّته للإمام أو المأموم أو الائتمام، فإنّ شكّه يعود إلى الشكّ في الانعقاد الملازم للشكّ في حصول الإمامة والمأموميّة، والأصل العدم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المقام في ترتيب الأثر على الجعل المذكور، ومقتضى الأصل عدمه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الجماعة والإمام والمأموم إنّما تكون بجعل المأموم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وبنيّة الاقتداء بالإمام في الصَّلاة المعيّنة، وجميع هذه العناوين توجد بوجود هذا القصد والاعتبار، وليست لها وجودات منحازة عن ذلك مسبّبة عنه، كي يجري في المقام ما ذكروه في باب الأسباب والمحصّلات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الخارجي وما هو مستحبٌّ‌، إنّما هو نيَّة المأموم الائتمام في الصَّلاة بإمامٍ خاصٍ‌، فإذا تحقّق ذلك، أصبح المأموم مأموماً لكونه ناوياً الاقتداء، والإمام إماماً باعتبار كونه مقتدي، والصَّلاة جماعة باعتبار نيّة الائتمام فيها، فإذا رتّب الحكم في الدليل على المأموم، يكون المراد به من نوى الاقتداء، لا أنّ لهذه العناوين وجودات مستقلّة منحازة خارجاً، ألا ترى أنّه إذا فرضنا ترتّب الأثر على كون الإنسان مُصلّياً كجواز الائتمام به، لا يشكّ أحدٌ في أنّه إذا شكّ في جزئيّة شيء للصلاة، جرت البراءة عنه، ويترتّب على الآتي بالفاقد له آثارالمصلّي، مع أنّ هذا البرهان 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كذلك، فإنّ كونه مُصلّياً كصيرورة الإمام إماماً، والمأموم مأموماً، وفي أمثال هذا المورد لا شكّ في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حقّقنا في محلّه أنّ الشكّ في المحصّل فيما إذا كان بيانه وظيفة الشارع المقدّس، إنّما يكون موضوعاً لجريان البراءة، فالأظهر جريان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ظهر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لو شكّ في اعتبار شيء فيها، من جهة الشكّ في اندراجه تحت العنوان المذكور في الدليل، فإنّه لا مانع من الحكم بعدم اعتباره لأجل البراءة، كما هو الشأن في جميع موارد الشكّ في دخول شيءٍ تحت العنوان المذكور في الدليل في الواجبات، كالشكّ في كون شيءٍ ممّا لا يؤكل لحمه بشبهة مصداقيّة أو مفهوميّة، فلو شكّ في مانعيّة الساتر بين المأمومين الواقفين على جناحي الباب مع اتّصالهم بمَن كان واقفاً </w:t>
      </w:r>
    </w:p>
    <w:p>
      <w:pPr>
        <w:pStyle w:val="BookText"/>
        <w:rPr/>
      </w:pPr>
      <w:r>
        <w:rPr>
          <w:rFonts w:ascii="Amiri" w:hAnsi="Amiri" w:eastAsia="Amiri" w:cs="Amiri"/>
          <w:color w:val="111111"/>
          <w:sz w:val="28"/>
          <w:sz w:val="28"/>
          <w:szCs w:val="28"/>
          <w:rtl w:val="true"/>
          <w:lang w:bidi="ar-SA"/>
        </w:rPr>
        <w:t>بحِيال الباب، فإنّه لا مانع من الرجوع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شكّ في اعتبار شيء في الجماعة، من جهة الشكّ في دخله فيهاعرفاً، فلا مورد للرجوع إلى إطلاق أدلّة الجماعة، لعدم إحراز صدق الموضوع معه، نعم لا مانع من الرجوع إلى البراءة بالتقريب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شكّ في انعقاد الجماعة بقاءً‌، فإنْ شكّ فيه من جهة الشكّ في قاطعيّة الموجود، فبناءً على ثبوت الهيئة الاتّصاليّة للجماعة كالصلاة، أو للصلاة جماعة، جرى استصحاب بقاء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إشكال عدم معقوليّة ثبوت الهيئة الاتّصاليّة، فقد ذكرناه في هذا الشرح خلال البحث عن قاطعيّة الماحي لصورة الصَّلاة مع جوابه مفصّلاً فراجع</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شكّ من جهة فقد ما يحتمل شرطيّته، أو وجود ما يحتمل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علم بذلك من أوّل الصَّلاة، ليس له الدخول فيها، ما لم يُحرز صحّة الجماعة بدليلٍ أو أصل، والا كما إذا فرضنا حصول البُعد القهري في أثناء الصَّلاة بينه وبين الإمام، ولم يكن يتخيّل ذلك من الأوّل، بمقدارٍ يشكّ في بقاء عنوان الاقتداء، فبناءً على ثبوت الهيئة الاتّصاليّة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المتّصف بالجماعة إنّما هو الأجزاء السابقة، والمشكّك فيه إنّما هو الأجزاء اللّاحقة، فهذا ليس من الاستصحاب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الموجود بما أنّه واحدٌ بنظر العرف من جهة تلك الهيئة الاتّصاليّة التي تكون متحقّقة بتحقّق بعض الاُمور التدريجيّة، وتقوم بمجموعها، يكتفى به في جريان الاستصحاب</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56" w:name="pg11801_108455"/>
    </w:p>
    <w:p>
      <w:pPr>
        <w:pStyle w:val="Heading4"/>
        <w:numPr>
          <w:ilvl w:val="3"/>
          <w:numId w:val="1"/>
        </w:numPr>
        <w:rPr/>
      </w:pPr>
      <w:bookmarkStart w:id="657" w:name="__RefHeading___Toc10507202_73709187"/>
      <w:bookmarkStart w:id="658" w:name="_Toc249"/>
      <w:bookmarkEnd w:id="656"/>
      <w:bookmarkEnd w:id="657"/>
      <w:r>
        <w:rPr>
          <w:rtl w:val="true"/>
        </w:rPr>
        <w:t>شروط صلاة الجماعة</w:t>
      </w:r>
      <w:bookmarkEnd w:id="658"/>
    </w:p>
    <w:p>
      <w:pPr>
        <w:pStyle w:val="Heading5"/>
        <w:numPr>
          <w:ilvl w:val="4"/>
          <w:numId w:val="1"/>
        </w:numPr>
        <w:rPr/>
      </w:pPr>
      <w:bookmarkStart w:id="659" w:name="__RefHeading___Toc10507204_73709187"/>
      <w:bookmarkStart w:id="660" w:name="_Toc250"/>
      <w:bookmarkEnd w:id="659"/>
      <w:r>
        <w:rPr>
          <w:rtl w:val="true"/>
        </w:rPr>
        <w:t>اعتبار نيّة الجماعة</w:t>
      </w:r>
      <w:bookmarkEnd w:id="660"/>
    </w:p>
    <w:p>
      <w:pPr>
        <w:pStyle w:val="Heading6"/>
        <w:numPr>
          <w:ilvl w:val="5"/>
          <w:numId w:val="1"/>
        </w:numPr>
        <w:rPr/>
      </w:pPr>
      <w:bookmarkStart w:id="661" w:name="__RefHeading___Toc10507206_73709187"/>
      <w:bookmarkStart w:id="662" w:name="_Toc251"/>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الفقهاء للجماعة شروطاً،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الإقتداء، والكلام في هذا الشرط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الإمام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المأموم الإقتداء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1255"/>
      </w:r>
      <w:r>
        <w:rPr>
          <w:rFonts w:ascii="Amiri" w:hAnsi="Amiri" w:eastAsia="Amiri" w:cs="Amiri"/>
          <w:color w:val="111111"/>
          <w:sz w:val="28"/>
          <w:sz w:val="28"/>
          <w:szCs w:val="28"/>
          <w:rtl w:val="true"/>
          <w:lang w:bidi="ar-SA"/>
        </w:rPr>
        <w:t>هو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الجماعة الواجبة، كما في صلاة الجمعة، وما بحكمها كالجماعة في المعادة استحباباً، المتوقّفة صحّتها عليها، فيحتاج إلى نيَّة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كانت مستحبّة، لا يتوقّف صحّتها عليه، فلا يحتاج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درك الثواب، لابدَّ له من هذه النيّة، وعليه فلابدَّ لنا من التكلّم في كلٍّ من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الجماعة المستحبّة، فلا شبهة في أنّها تنعقد مع عدم نيّة الإمام الإمامة، لأنّ نيّة الإئتمام كما توجب صيرورة المأموم مأموماً، كذلك تصير سبباً لصيرورة الإمام إماماً، لأنّ الإمام من يأتمّ به غيره، وإنْ لم يُعرّض نفسه لذلك، وهذا هو المشهور بين الأصحاب،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يتوقّف استحقاق الإمام الثواب عليها، كما عن ظاهر الأكثر</w:t>
      </w:r>
      <w:r>
        <w:rPr>
          <w:rStyle w:val="FootnoteAnchor"/>
          <w:rtl w:val="true"/>
        </w:rPr>
        <w:footnoteReference w:id="1257"/>
      </w:r>
      <w:r>
        <w:rPr>
          <w:rFonts w:ascii="Amiri" w:hAnsi="Amiri" w:eastAsia="Amiri" w:cs="Amiri"/>
          <w:color w:val="111111"/>
          <w:sz w:val="28"/>
          <w:sz w:val="28"/>
          <w:szCs w:val="28"/>
          <w:rtl w:val="true"/>
          <w:lang w:bidi="ar-SA"/>
        </w:rPr>
        <w:t xml:space="preserve">، أو لا، كما </w:t>
      </w:r>
    </w:p>
    <w:p>
      <w:pPr>
        <w:pStyle w:val="BookText"/>
        <w:rPr/>
      </w:pPr>
      <w:r>
        <w:rPr>
          <w:rFonts w:ascii="Amiri" w:hAnsi="Amiri" w:eastAsia="Amiri" w:cs="Amiri"/>
          <w:color w:val="111111"/>
          <w:sz w:val="28"/>
          <w:sz w:val="28"/>
          <w:szCs w:val="28"/>
          <w:rtl w:val="true"/>
          <w:lang w:bidi="ar-SA"/>
        </w:rPr>
        <w:t>عن المحقّق الأردبيلي رحمه الله</w:t>
      </w:r>
      <w:r>
        <w:rPr>
          <w:rStyle w:val="FootnoteAnchor"/>
          <w:rtl w:val="true"/>
        </w:rPr>
        <w:footnoteReference w:id="1258"/>
      </w:r>
      <w:r>
        <w:rPr>
          <w:rFonts w:ascii="Amiri" w:hAnsi="Amiri" w:eastAsia="Amiri" w:cs="Amiri"/>
          <w:color w:val="111111"/>
          <w:sz w:val="28"/>
          <w:sz w:val="28"/>
          <w:szCs w:val="28"/>
          <w:rtl w:val="true"/>
          <w:lang w:bidi="ar-SA"/>
        </w:rPr>
        <w:t>؟ وجهان، أقواهما الثاني، إذ بعد فرض دلالة النصوص على ترتّب الثواب على صلاة الإمام، وكون الإمامة ممّا يحصل بفعل الغير، والمفروض تحقّقها، لا أرى وجهاً لاعتبار قصدها في ترتّب الثواب، إلّا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أفاده بعضٌ‌</w:t>
      </w:r>
      <w:r>
        <w:rPr>
          <w:rStyle w:val="FootnoteAnchor"/>
          <w:rtl w:val="true"/>
        </w:rPr>
        <w:footnoteReference w:id="1259"/>
      </w:r>
      <w:r>
        <w:rPr>
          <w:rFonts w:ascii="Amiri" w:hAnsi="Amiri" w:eastAsia="Amiri" w:cs="Amiri"/>
          <w:color w:val="111111"/>
          <w:sz w:val="28"/>
          <w:sz w:val="28"/>
          <w:szCs w:val="28"/>
          <w:rtl w:val="true"/>
          <w:lang w:bidi="ar-SA"/>
        </w:rPr>
        <w:t>من أنّ الثواب مترتّبٌ على الفعل الصادر عن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أفاده الشيخ الأعظم رحمه الله</w:t>
      </w:r>
      <w:r>
        <w:rPr>
          <w:rStyle w:val="FootnoteAnchor"/>
          <w:rtl w:val="true"/>
        </w:rPr>
        <w:footnoteReference w:id="1260"/>
      </w:r>
      <w:r>
        <w:rPr>
          <w:rFonts w:ascii="Amiri" w:hAnsi="Amiri" w:eastAsia="Amiri" w:cs="Amiri"/>
          <w:color w:val="111111"/>
          <w:sz w:val="28"/>
          <w:sz w:val="28"/>
          <w:szCs w:val="28"/>
          <w:rtl w:val="true"/>
          <w:lang w:bidi="ar-SA"/>
        </w:rPr>
        <w:t>من أنّ الثوابٌ مترتّب على امتثال أوامر الجماعة، والصَّلاة بالناس، والمفروض عدم حصول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الثواب لا سيّما هذه المراتب منه مندرجٌ في باب الفضل والرحمة الواسعة، فلا محذور في ترتّبه على العمل غير الاختياري، مع أنّ أصل الصَّلاة بما أنّها صادرة عن اختيار، فصيرورة ثواب إحدى الصلاتين أزيد من الاُخرى بواسطة العمل غير الاختياري الصادر من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الاقتداء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فيها أصلاً، كيف وهذا لازمٌ على كلّ حال، إذ كلّ ما ازداد المأمومون ازداد ثواب الإمام، مع أنّه ربما لا يلتفت إلى ذلك فضلاً عن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إنّما رُتّب على الصَّلاة بالناس لا على امتثال أمرها، مع أنّ ذلك يتحقّق بأنْ يُصلّي ويمكن نفسه من اقتداء الغير به، وستعرف أنّ غير ذلك ليس شيءٍ تحت اختياره، كي يتمكّن من قصده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عدم توقّفه على نيَّة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الجماعة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فالمنسوب إلى المشهور</w:t>
      </w:r>
      <w:r>
        <w:rPr>
          <w:rStyle w:val="FootnoteAnchor"/>
          <w:rtl w:val="true"/>
        </w:rPr>
        <w:footnoteReference w:id="1261"/>
      </w:r>
      <w:r>
        <w:rPr>
          <w:rFonts w:ascii="Amiri" w:hAnsi="Amiri" w:eastAsia="Amiri" w:cs="Amiri"/>
          <w:color w:val="111111"/>
          <w:sz w:val="28"/>
          <w:sz w:val="28"/>
          <w:szCs w:val="28"/>
          <w:rtl w:val="true"/>
          <w:lang w:bidi="ar-SA"/>
        </w:rPr>
        <w:t>لزوم قصد الإمامة، بل الشيخ الأعظم رحمه الله</w:t>
      </w:r>
      <w:r>
        <w:rPr>
          <w:rStyle w:val="FootnoteAnchor"/>
          <w:rtl w:val="true"/>
        </w:rPr>
        <w:footnoteReference w:id="1262"/>
      </w:r>
      <w:r>
        <w:rPr>
          <w:rFonts w:ascii="Amiri" w:hAnsi="Amiri" w:eastAsia="Amiri" w:cs="Amiri"/>
          <w:color w:val="111111"/>
          <w:sz w:val="28"/>
          <w:sz w:val="28"/>
          <w:szCs w:val="28"/>
          <w:rtl w:val="true"/>
          <w:lang w:bidi="ar-SA"/>
        </w:rPr>
        <w:t>تبعاً للشهيد</w:t>
      </w:r>
      <w:r>
        <w:rPr>
          <w:rStyle w:val="FootnoteAnchor"/>
          <w:rtl w:val="true"/>
        </w:rPr>
        <w:footnoteReference w:id="1263"/>
      </w:r>
      <w:r>
        <w:rPr>
          <w:rFonts w:ascii="Amiri" w:hAnsi="Amiri" w:eastAsia="Amiri" w:cs="Amiri"/>
          <w:color w:val="111111"/>
          <w:sz w:val="28"/>
          <w:sz w:val="28"/>
          <w:szCs w:val="28"/>
          <w:rtl w:val="true"/>
          <w:lang w:bidi="ar-SA"/>
        </w:rPr>
        <w:t>، والمحقّق الثاني</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للمحقّق الأردبيلي</w:t>
      </w:r>
      <w:r>
        <w:rPr>
          <w:rStyle w:val="FootnoteAnchor"/>
          <w:rtl w:val="true"/>
        </w:rPr>
        <w:footnoteReference w:id="1265"/>
      </w:r>
      <w:r>
        <w:rPr>
          <w:rFonts w:ascii="Amiri" w:hAnsi="Amiri" w:eastAsia="Amiri" w:cs="Amiri"/>
          <w:color w:val="111111"/>
          <w:sz w:val="28"/>
          <w:sz w:val="28"/>
          <w:szCs w:val="28"/>
          <w:rtl w:val="true"/>
          <w:lang w:bidi="ar-SA"/>
        </w:rPr>
        <w:t xml:space="preserve">، وصاحبي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عدم كفاية نيّة الجماعة إجمالاً في ضمن نيّة أصل نوع الصَّلاة التي أُخذ فيها الجماعة، ولزوم نيتها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الجماعة مقوّمة لها، فيلزم من انتفائها انتفاء الصَّلاة، واستحسنه الشيخ الأعظم رحمه الله</w:t>
      </w:r>
      <w:r>
        <w:rPr>
          <w:rStyle w:val="FootnoteAnchor"/>
          <w:rtl w:val="true"/>
        </w:rPr>
        <w:footnoteReference w:id="1268"/>
      </w:r>
      <w:r>
        <w:rPr>
          <w:rFonts w:ascii="Amiri" w:hAnsi="Amiri" w:eastAsia="Amiri" w:cs="Amiri"/>
          <w:color w:val="111111"/>
          <w:sz w:val="28"/>
          <w:sz w:val="28"/>
          <w:szCs w:val="28"/>
          <w:rtl w:val="true"/>
          <w:lang w:bidi="ar-SA"/>
        </w:rPr>
        <w:t>واستدلّ هو قدس سره على اعتبار قصدها تفصيلاً، بأنّ الجماعة ليست كسائر الشروط غير المتوقّف تحقّقها على القصد، كي يكتفي في حصولها بقصد أصل الصَّلاة المأخوذة فيها الجماعة، بل لابدَّ في تحقّقها من قصدها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الجماعة وإمامة الإمام، ومأموميّة المأموم، كلّها وإنْ كانت قصديّة، إلّاأنّها بأجمعها تحقّق نيَّة اقتداء المأموم، فكما أنّ مأموميّته تتحقّق بذلك، كذلك إمامة الإمام، فهي خارجة عن تحت قدرة الإمام، لأنّه فعل الغير، والإمامة تحصل به، فلا يعقل قصدها منه فضلاً عن اعتباره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والغريب أنّ الشيخ الأعظم</w:t>
      </w:r>
      <w:r>
        <w:rPr>
          <w:rStyle w:val="FootnoteAnchor"/>
          <w:rtl w:val="true"/>
        </w:rPr>
        <w:footnoteReference w:id="1269"/>
      </w:r>
      <w:r>
        <w:rPr>
          <w:rFonts w:ascii="Amiri" w:hAnsi="Amiri" w:eastAsia="Amiri" w:cs="Amiri"/>
          <w:color w:val="111111"/>
          <w:sz w:val="28"/>
          <w:sz w:val="28"/>
          <w:szCs w:val="28"/>
          <w:rtl w:val="true"/>
          <w:lang w:bidi="ar-SA"/>
        </w:rPr>
        <w:t>يصرّح قبل هذا بأسطر أنّ الجماعة والإمامة تتحقّقان بنيّة المأموم الاقتداء، ومع ذلك استحسن هذا الوجه، إذ بعد كونها ممّا يتحقّق بفعل المأموم، فأيّ ربط لها بالإمام كي يجب 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لايجبُ عليه الإمامة في صلاة الجمعة، لعدم كونها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يُصلّي الجمعة إذا أحرز وجود العدد الذي تنعقد به الجمعة، ويكون حاله في هذه الصَّلاة حال بعض المأمومين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نيّة الإمام الإمامة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خلاف في اعتبار نيّة المأموم الاقتداء في انعقاد الجماعة وتحقّقها،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كلّ مَن يُحفظ عنه العلم</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وهو الأظهر، لأنّ الاقتداء والجماعة من العناوين القصديّة، ولا تتحقّقان إلّابالنيّة، كما هو الظاهر من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ظاهر ذلك إنّه يعتبر نيّة الإئتمام، وجعل المأموم الإمامة للإمام، ونيّة متابعته بعنوإن كونه إماماً، لا مجرّد نيّة المتابعة له في الأفعال، وهذا واضح جدّاً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أخلَّ المأموم بذلك، فإنْ أتى في صلاته بما هو وظيفة المنفرد، صحّت صلاته، وإنْ ألزم نفسه بمتابعة الإمام في الأفعال، فإن هذا الالتزام وهذه المتابعة ليسا من موانع الصَّلاة، فلا وجه لبطلان الصَّلاة مع الإتيان بما هو وظيفة المنفرد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2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تابع بغير نيّةٍ بطلت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لابدَّ من حمله على إرادة البطلان، لو مضى في صلاته على أحكام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w:t>
      </w:r>
      <w:r>
        <w:rPr>
          <w:rStyle w:val="FootnoteAnchor"/>
          <w:rtl w:val="true"/>
        </w:rPr>
        <w:footnoteReference w:id="1273"/>
      </w:r>
      <w:r>
        <w:rPr>
          <w:rFonts w:ascii="Amiri" w:hAnsi="Amiri" w:eastAsia="Amiri" w:cs="Amiri"/>
          <w:color w:val="111111"/>
          <w:sz w:val="28"/>
          <w:sz w:val="28"/>
          <w:szCs w:val="28"/>
          <w:rtl w:val="true"/>
          <w:lang w:bidi="ar-SA"/>
        </w:rPr>
        <w:t>أنّ الجماعة مقوِّمة للصّلاة، ومنوِّعة لها، فلو صَلّى جماعةً مع عدم نيّة الاقتداء بطلت الجماعة، ولزم من بطلانها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ذلك، بل يمكن دعوى الاتّفاق على خلافه، وسيأتي تمام الكلام عن ذلك قريباً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3" w:name="pg11801_108460"/>
    </w:p>
    <w:p>
      <w:pPr>
        <w:pStyle w:val="Heading6"/>
        <w:numPr>
          <w:ilvl w:val="5"/>
          <w:numId w:val="1"/>
        </w:numPr>
        <w:rPr/>
      </w:pPr>
      <w:bookmarkStart w:id="664" w:name="__RefHeading___Toc10507208_73709187"/>
      <w:bookmarkStart w:id="665" w:name="_Toc252"/>
      <w:bookmarkEnd w:id="663"/>
      <w:bookmarkEnd w:id="664"/>
      <w:r>
        <w:rPr>
          <w:rtl w:val="true"/>
        </w:rPr>
        <w:t>فروع</w:t>
      </w:r>
      <w:r>
        <w:rPr>
          <w:rtl w:val="true"/>
        </w:rPr>
        <w:t>:</w:t>
      </w:r>
      <w:bookmarkEnd w:id="665"/>
    </w:p>
    <w:p>
      <w:pPr>
        <w:pStyle w:val="Heading6"/>
        <w:numPr>
          <w:ilvl w:val="5"/>
          <w:numId w:val="1"/>
        </w:numPr>
        <w:rPr/>
      </w:pPr>
      <w:bookmarkStart w:id="666" w:name="__RefHeading___Toc10507210_73709187"/>
      <w:bookmarkStart w:id="667" w:name="_Toc253"/>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لابدَّ من التعرّض لها</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10507212_73709187"/>
      <w:bookmarkStart w:id="669" w:name="_Toc254"/>
      <w:bookmarkEnd w:id="668"/>
      <w:r>
        <w:rPr>
          <w:rtl w:val="true"/>
        </w:rPr>
        <w:t>يجبُ وحدة الإمام إجماعاً</w:t>
      </w:r>
      <w:bookmarkEnd w:id="669"/>
    </w:p>
    <w:p>
      <w:pPr>
        <w:pStyle w:val="Heading6"/>
        <w:numPr>
          <w:ilvl w:val="5"/>
          <w:numId w:val="1"/>
        </w:numPr>
        <w:rPr/>
      </w:pPr>
      <w:bookmarkStart w:id="670" w:name="__RefHeading___Toc10507214_73709187"/>
      <w:bookmarkStart w:id="671" w:name="_Toc255"/>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وحدة الإمام إجماعاً</w:t>
      </w:r>
      <w:r>
        <w:rPr>
          <w:rStyle w:val="FootnoteAnchor"/>
          <w:rtl w:val="true"/>
        </w:rPr>
        <w:footnoteReference w:id="1274"/>
      </w:r>
      <w:r>
        <w:rPr>
          <w:rFonts w:ascii="Amiri" w:hAnsi="Amiri" w:eastAsia="Amiri" w:cs="Amiri"/>
          <w:color w:val="111111"/>
          <w:sz w:val="28"/>
          <w:sz w:val="28"/>
          <w:szCs w:val="28"/>
          <w:rtl w:val="true"/>
          <w:lang w:bidi="ar-SA"/>
        </w:rPr>
        <w:t>، فلو كان بين يديه اثنان مثلاً، فنوى الائتمام بهما أو بأحدهما دون أن يعيّن، بنيّته المذكورة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الإجماع، وانصراف أدلّة الجماعة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أدلّة أحكام الجماعة في ترتّبها عند وحدة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في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أحدهما المبهم لا وجود له ولا ماهيّة، فكيف يُعقل تعلّق علاقة الجماعة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تنعقد لونوى الإقتداء بأحدهما المعيّن المردّد عنده أم لا، أم يفصل بين الموارد؟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أقواها الأخير، وهو أنّه لو نوى الإقتداء بمن جَعل معرّفه عنواناً منطبقاً عليه، خاصّة حين النيّة، كما لو انعقدت جماعتان، ويعلم أنّ إحداهما لزيد ولكن لا يميّزها، إلّاأنّه يعلم أنّه لدى افتراق أحدهما عن الآخر يميّز مقتداه بصوت مؤذّنه مثلاً، ويتمكّن من متابعته في أفعاله تكون الجماعة في مثل هذه الحالة منعقدة، لكونه مقتدياً بإمامٍ معيّن، وتردّده بين شخصين في نفسه لا يقدح في ذلك، لعدم الدليل على اعتبار تميّيز الإمام تفصيلاً، والأصحاب لم يحكموا بلزومه، والأصل يقتضي عدمه، بل كثيراً ما لدى كثرة الجماعة، يشتبه شخص الإمام على من بَعُد عنه، ويتردّد بين المتعدّد</w:t>
      </w:r>
      <w:r>
        <w:rPr>
          <w:rFonts w:eastAsia="Amiri" w:cs="Amiri" w:ascii="Amiri" w:hAnsi="Amiri"/>
          <w:color w:val="111111"/>
          <w:sz w:val="28"/>
          <w:szCs w:val="28"/>
          <w:rtl w:val="true"/>
          <w:lang w:bidi="ar-SA"/>
        </w:rPr>
        <w:t xml:space="preserve">. </w:t>
      </w:r>
      <w:bookmarkStart w:id="672" w:name="pg11801_108461"/>
    </w:p>
    <w:p>
      <w:pPr>
        <w:pStyle w:val="BookText"/>
        <w:rPr/>
      </w:pPr>
      <w:bookmarkEnd w:id="672"/>
      <w:r>
        <w:rPr>
          <w:rFonts w:ascii="Amiri" w:hAnsi="Amiri" w:eastAsia="Amiri" w:cs="Amiri"/>
          <w:color w:val="111111"/>
          <w:sz w:val="28"/>
          <w:sz w:val="28"/>
          <w:szCs w:val="28"/>
          <w:rtl w:val="true"/>
          <w:lang w:bidi="ar-SA"/>
        </w:rPr>
        <w:t xml:space="preserve">وعليه، فلا وجه لما استشكله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75"/>
      </w:r>
      <w:r>
        <w:rPr>
          <w:rFonts w:ascii="Amiri" w:hAnsi="Amiri" w:eastAsia="Amiri" w:cs="Amiri"/>
          <w:color w:val="111111"/>
          <w:sz w:val="28"/>
          <w:sz w:val="28"/>
          <w:szCs w:val="28"/>
          <w:rtl w:val="true"/>
          <w:lang w:bidi="ar-SA"/>
        </w:rPr>
        <w:t>معلّلاً بالشكّ في شمول الأدلّة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الاقتداء بمَن جَعل معرّفه عنواناً منطبقاً عليه في المستقبل، كمَن يُسلّم قبل صاحبه مثلاً، لم تنعقد، لدخوله في معقد الإجماعات المحكيّة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بعدم الانعقاد، ما لو نوى الإقتداء بأحدهما، وكان من قصده تعيّينه لاحقاً، بل هذا في الحقيقة اقتداءٌ بأحدهما المردّد</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10507216_73709187"/>
      <w:bookmarkStart w:id="674" w:name="_Toc256"/>
      <w:bookmarkEnd w:id="673"/>
      <w:r>
        <w:rPr>
          <w:rtl w:val="true"/>
        </w:rPr>
        <w:t>الجماعة من الكيفيّات الطارئة لا من القيود المنوِّعة</w:t>
      </w:r>
      <w:bookmarkEnd w:id="674"/>
    </w:p>
    <w:p>
      <w:pPr>
        <w:pStyle w:val="BookText"/>
        <w:rPr/>
      </w:pPr>
      <w:r>
        <w:rPr>
          <w:rFonts w:ascii="Amiri" w:hAnsi="Amiri" w:eastAsia="Amiri" w:cs="Amiri"/>
          <w:color w:val="111111"/>
          <w:sz w:val="28"/>
          <w:sz w:val="28"/>
          <w:szCs w:val="28"/>
          <w:rtl w:val="true"/>
          <w:lang w:bidi="ar-SA"/>
        </w:rPr>
        <w:t>ولو نوى الائتمام في هذه الموارد،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بما هو 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بمثل 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أتى بجميع ما هو وظيفة المنفرد، فهل تصحّ صلاته فرادى، أو تبطل الصَّلاة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ما هو الحقّ عندنا، لابدَّ من بيان أمرين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الجماعة من الكيفيّات الطارئة على الصَّلاة، كإيقاعها في المسجد، لا من القيود المنوّعة لها كالظهريّة والعصريّة، والقصريّة والتماميّة، فإنّ معنى كون شيءٍ مقوّماً، هو عدم خروجه عن حقيقته، وداخلاً في مهيّته، مثلاً صلاة الظهر والعصر صلاتان مختلفتان، فإنّ كلّاً منهما مقيّدة بأمرٍ قصدي غير الاُخرى‌، وكذلك صلاة القصر والتمام، فإنّ الأُولى متخصّصة بخصوصيّة كونها بشرط لا عن </w:t>
      </w:r>
    </w:p>
    <w:p>
      <w:pPr>
        <w:pStyle w:val="BookText"/>
        <w:rPr/>
      </w:pPr>
      <w:r>
        <w:rPr>
          <w:rFonts w:ascii="Amiri" w:hAnsi="Amiri" w:eastAsia="Amiri" w:cs="Amiri"/>
          <w:color w:val="111111"/>
          <w:sz w:val="28"/>
          <w:sz w:val="28"/>
          <w:szCs w:val="28"/>
          <w:rtl w:val="true"/>
          <w:lang w:bidi="ar-SA"/>
        </w:rPr>
        <w:t>الزيادة، والثانية متخصّصة بخصوصيّة كونها بشرطها، ومعلوم أنّ صلاة الفرادى ليست كذلك، أي لم يعتبر الشارع فيها أمراً قصديّاً، لأنّها تتحقّق ولو لم يقصد الفرادى، ولم يؤخذ فيها خصوصيّة خارجيّة، فان الافرادي ليست هي الصَّلاة بشرط لا عن الجماعة، بل هي عبارة عن عدم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فلا أقلّ من الشكّ‌، والأصل يقتضي العدم،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الجماعة فهي خصوصيّة موجبة لأفضليّة الصَّلاة الواجبة، تكون مستحبّة ومطلوبة للشارع، نظير إيقاع الصَّلاة في المسجد، فالأمر بصلاة الجماعة والفُرادى إنّما هما من قبيل تعلّق أمرٍ وجوبي بطبيعةٍ على الإطلاق وأمر ندبي بايجادها على كيفيّة مخصوصة، فلو أراد امتثال الأمر الثاني، لابدَّ من القصد إلى تلك الخصوصيّة، إن كانت قصديّة كالجماعة، وإلّا فيقع امتثالاً للأمر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الخلاف في أنّ شرائط الجماعة هل هي شرائط لها، أم للصّلاة حالها، أم يفصّل بين شرائط انعقاد الجماعة عرفاً، والشرائط التعبّديّة، والقول بكون الأُولى شرائطها، والثانية شرائط الصَّلاة حالها؟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الأوّل، فإنّ مقتضى ظهور الأدلّة، المتضمّنة لبيانها ذلك، مضافاً إلى أنّه ممّا يقتضيه الأصل، إذ بعدما لا ريب في اعتبارها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بطلانها مع 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تقييد الصَّلاة بها، والأصل يقتضي العدم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صحيح زرارة من نفي الصَّلاة مع وجود الحائل، الذي هو منشأ القول بالتفصيل، نظراً إلى نفي الصَّلاة عن المأمومين عند فقد شرط الجماعة، فمحمولٌ على الغالب من الإخلال بالقراءة وشبهه، أو على إرادة الصَّلاة التي قصدوها، أي الصَّلاة جماعة</w:t>
      </w:r>
      <w:r>
        <w:rPr>
          <w:rFonts w:eastAsia="Amiri" w:cs="Amiri" w:ascii="Amiri" w:hAnsi="Amiri"/>
          <w:color w:val="111111"/>
          <w:sz w:val="28"/>
          <w:szCs w:val="28"/>
          <w:rtl w:val="true"/>
          <w:lang w:bidi="ar-SA"/>
        </w:rPr>
        <w:t xml:space="preserve">. </w:t>
      </w:r>
      <w:bookmarkStart w:id="675" w:name="pg11801_108463"/>
    </w:p>
    <w:p>
      <w:pPr>
        <w:pStyle w:val="Heading6"/>
        <w:numPr>
          <w:ilvl w:val="5"/>
          <w:numId w:val="1"/>
        </w:numPr>
        <w:rPr/>
      </w:pPr>
      <w:bookmarkStart w:id="676" w:name="__RefHeading___Toc10507218_73709187"/>
      <w:bookmarkStart w:id="677" w:name="_Toc257"/>
      <w:bookmarkEnd w:id="675"/>
      <w:bookmarkEnd w:id="676"/>
      <w:r>
        <w:rPr>
          <w:rtl w:val="true"/>
        </w:rPr>
        <w:t>بطلان الجماعة لا يوجب بطلان الصَّلاة</w:t>
      </w:r>
      <w:bookmarkEnd w:id="67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الأمرين المذكورين، يقتضي الإشارة إلى أنّه في كلّ موردٍ بطلت الجماعة لفقد شرط من شروطها، إذا لم يخلّ المُصلّي بما هو وظيفة المنفرد، صحّت صلاته، لأنّ بطلان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كونها منوِّعة، وعدم لزوم قصد الفرادى، وعدم كون شرائطهاشرائط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لايوجب نقصاً في الصَّلاة من حيث هي صلاة، فلا وجه لبطلانها إلّادعوى مبطليّة قصد الائتمام وهي غير ثابتة، والأصل العدم، فتكون صلاته واجدة لجميع الأجزاء والشرائط، وفاقدة للموانع، فتصحّ‌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قصد التشريع في أمر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يقصد إلّاأمراً يشرّعه هو، وهو الأمر المتعلّق بالصّلاة التي يَشرع فيها الائتمام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بناءً على ما هو الحقّ من سراية حرمة التشريع إلى العمل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شرع في مقدّمات الائتمام بأنْ قصد امتثال الأمر بالائتمام باثنين، فالظاهر عدم بطلان الصَّلاة، إذ موضوع التشريع حينئذٍ نفس الاقتداء لا الصَّلاة المقتدى بها،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أخلَّ بما هو 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ذلك عن علمٍ وعمدٍ أو عن جهلٍ تقصيري،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كان الإخلالُ بخصوص القراءة، صحّت صلاته،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لاتُعاد</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بناءً على عدم اختصاصه بالنّاسي، كما تقدّم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بزيادة الرّكوع، فالأحوط الإعادة، لما تقدّم من أنّ زيادة الرّكوع عن </w:t>
      </w:r>
    </w:p>
    <w:p>
      <w:pPr>
        <w:pStyle w:val="BookText"/>
        <w:rPr/>
      </w:pPr>
      <w:r>
        <w:rPr>
          <w:rFonts w:ascii="Amiri" w:hAnsi="Amiri" w:eastAsia="Amiri" w:cs="Amiri"/>
          <w:color w:val="111111"/>
          <w:sz w:val="28"/>
          <w:sz w:val="28"/>
          <w:szCs w:val="28"/>
          <w:rtl w:val="true"/>
          <w:lang w:bidi="ar-SA"/>
        </w:rPr>
        <w:t>غير علمٍ وعمدٍ، وإنْ كان مقتضى الحديث عدم مبطليّتها إلّاأنّ الاحتياط بالإعادة لا يترك، فراجع</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نعم، في خصوص مورد التداعي في الائتمام، كلامٌ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الائتمام بشخصٍ فبان غير إمام كالمأموم، أو غير مصلٍّ‌، فإنّه لو حصل منه ما يوجب بطلان صلاة المنفرد، وعَدَّ منه ترك القراءة، بطلت صلاته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رحمه الله لحكمه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السكوني الوارد في الرجلين المتداعيين للمأموميّة، الدالّ على بطلان صلاتهما</w:t>
      </w:r>
      <w:r>
        <w:rPr>
          <w:rStyle w:val="FootnoteAnchor"/>
          <w:rtl w:val="true"/>
        </w:rPr>
        <w:footnoteReference w:id="1280"/>
      </w:r>
      <w:r>
        <w:rPr>
          <w:rFonts w:ascii="Amiri" w:hAnsi="Amiri" w:eastAsia="Amiri" w:cs="Amiri"/>
          <w:color w:val="111111"/>
          <w:sz w:val="28"/>
          <w:sz w:val="28"/>
          <w:szCs w:val="28"/>
          <w:rtl w:val="true"/>
          <w:lang w:bidi="ar-SA"/>
        </w:rPr>
        <w:t>، فإنّ كلّاً منهما قد نوى الائتمام بمن تبيَّن أنّه 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مع صحيح زرارة المرويّ في الكتب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يُصلّي مع قومٍ مصلّين، غير ناوٍ للصّلاة، ثمّ أحدث الإمام، فاخذ بيد الرّجل فقدّمه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تجزئ القوم صلاتهم</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المعتضد بما ورد في إمام تبيّن كونه يهوديّاً</w:t>
      </w:r>
      <w:r>
        <w:rPr>
          <w:rStyle w:val="FootnoteAnchor"/>
          <w:rtl w:val="true"/>
        </w:rPr>
        <w:footnoteReference w:id="1282"/>
      </w:r>
      <w:r>
        <w:rPr>
          <w:rFonts w:ascii="Amiri" w:hAnsi="Amiri" w:eastAsia="Amiri" w:cs="Amiri"/>
          <w:color w:val="111111"/>
          <w:sz w:val="28"/>
          <w:sz w:val="28"/>
          <w:szCs w:val="28"/>
          <w:rtl w:val="true"/>
          <w:lang w:bidi="ar-SA"/>
        </w:rPr>
        <w:t>، فإنّ‌اليهودي غير مصلّفي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بتخصيص الصحيحة وما في معناها، بما إذا تحقّقت صورة الإمامة والمأموميّة، وحكم ببطلان الصَّلاة فيما لو انكشف عدم الإمامة والمأموميّة، ولو بحسب الصورة، كما إذا اقتدى بمن تبيّن أنّه مأمومٌ أو غائب أو مشغول بغير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كسائر أدلّة الأجزاء والشرائط محكومٌ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الصحيحة التي تكون على مقتضى القاعدة، على صورة تحقّق صورة الإمامة والمأموميّة، مع عدم احتمال دخل ذلك في الصحّة، ليس بأولى من حمل خبر السكوني على مورده، بل المتعيّن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المحقّق اليزدي رحمه الله</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انتصاراً للشيخ قدس سره في حكمه البطلان في ما لو تخيّل المصلّي تحقّق الجماعة وانكشف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لا يعيدُ مِن قِبل من ترك القراءة سهواً، كي 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يُخصّص بالنسبة إلى الجماعة، بل هي أيضاً محتاجة إلى القراءة، غاية الأمر قيام قراءة الإمام مقام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فالتارك للقراءة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تركه لزعم أنّها ليست في عهدته، كمَن زعم الفراغ منها، فانكشف الخلاف، صحّت صلاته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سقوط القراءة</w:t>
      </w:r>
      <w:r>
        <w:rPr>
          <w:rFonts w:eastAsia="Amiri" w:cs="Amiri" w:ascii="Amiri" w:hAnsi="Amiri"/>
          <w:color w:val="111111"/>
          <w:sz w:val="28"/>
          <w:szCs w:val="28"/>
          <w:rtl w:val="true"/>
          <w:lang w:bidi="ar-SA"/>
        </w:rPr>
        <w:t xml:space="preserve">.). </w:t>
      </w:r>
      <w:bookmarkStart w:id="678" w:name="pg11801_108466"/>
    </w:p>
    <w:p>
      <w:pPr>
        <w:pStyle w:val="BookText"/>
        <w:rPr/>
      </w:pPr>
      <w:bookmarkEnd w:id="67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تركه لزعم كون قراءة من زعمه إماماً مسقطة لقراءته، كما في الفرض، بطلت صلاته، لأنّ ما يدلّ على العفو عن القراءة موردها الأوّل، فمقتضى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دعواه يرجع إلى اختصاص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ترك القراءة غير ملتفتٍ إلى أنّ عليه القراءة، وأمّا من يعلم بأنّ عليه القراءة، ويتركها، بزعم كفاية قراءة الغير، فهو داخلٌ فيمن تركها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عن ذلك صورة تحقّق صورة الإماميّة والمأموميّة بمقتضى صحيح زرارة، وخبر الإقتداء باليهودي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بحث الخَلل من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مختصّاً بصورة السَّهو، بل مقتضى إطلاقه سقوط اعتبار غير الخمسة المذكورة فيه في الصَّلاة، إنْ لم يكن تركه مع الالتفات إلى عدم جواز تركه، ولزوم اتيانه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بما أنّ التارك للقراءة يتركها بزعم جوازه له، لكفاية قراءة الغير عن قراءته، فمقتضى الحديث صحّة صلاته، وسقوط جزئيّة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من ترك القراءة بزعم تحقّق الجماعة، إلّافي مورد التداعي في الائتمام</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0507220_73709187"/>
      <w:bookmarkStart w:id="680" w:name="_Toc258"/>
      <w:bookmarkEnd w:id="679"/>
      <w:r>
        <w:rPr>
          <w:rtl w:val="true"/>
        </w:rPr>
        <w:t>الشكّ في نيّة الإتمام</w:t>
      </w:r>
      <w:bookmarkEnd w:id="680"/>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عن حكم مَن شكّ في أنّه نوى الائتمام أم لا؟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ذلك بعد الفراغ من الصَّلاة، فإنّه لا كلام في الصحّة، وإنّما الكلام فيما لو كان الشكّ في أثناء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عدّة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كان من نيّته الجماعة، وقام لها، ثمّ شكّ في الائتمام لاحتمال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دخل في الصَّلاة بهذه النيّة، لكنّه شكّ في نيّته الانفراد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بأنّ عليه أن لا يلتفت إلى الشكّ‌، وعليه ترتيب آثار الجماعة، لا سيّما إذا لم يكن مشغولاً بوظيفة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المحقّق الهمداني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يكفي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لصحّة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الباقي في النفس، المُسمّى في عرف الفقهاء بالإستدامة الحكميّة، الذي هو من أثر الإرادة السابقة، وعليه فإنْ لم يحتمل انفساخ عزمه، فلا كلام، وإلّا فيجري أصالة بقائه، ويحكم بانعقاد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هذا الأصل في ما إذا كان مشغولاً بوظيفة المنفرد، أصالة عدم صدور وظيفة المنفرد خطأ، لأنّه لا يثبت به انفساخ العزم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نظر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بناؤه على ما قام إليه</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فما أفاده بعض المعاصرين</w:t>
      </w:r>
      <w:r>
        <w:rPr>
          <w:rStyle w:val="FootnoteAnchor"/>
          <w:rtl w:val="true"/>
        </w:rPr>
        <w:footnoteReference w:id="1286"/>
      </w:r>
      <w:r>
        <w:rPr>
          <w:rFonts w:ascii="Amiri" w:hAnsi="Amiri" w:eastAsia="Amiri" w:cs="Amiri"/>
          <w:color w:val="111111"/>
          <w:sz w:val="28"/>
          <w:sz w:val="28"/>
          <w:szCs w:val="28"/>
          <w:rtl w:val="true"/>
          <w:lang w:bidi="ar-SA"/>
        </w:rPr>
        <w:t>في توجيه كلام الشهيد رحمه الله من دلالة النصوص الدالّة على البناء على ما قام إليه، ثمّ أورد عليه بأنّ ظاهر تلك النصوص وجوب البناء على ما افتتح الصَّلاة عليه، وهو في المقام مشكوكٌ فيه غير تامّ‌، 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يمكن أن يكون إلى هذا الوجه نظر الشيخ الأعظم رحمه الله</w:t>
      </w:r>
      <w:r>
        <w:rPr>
          <w:rStyle w:val="FootnoteAnchor"/>
          <w:rtl w:val="true"/>
        </w:rPr>
        <w:footnoteReference w:id="128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قويّاً البناء على ما قام عليه، فيبني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الائتمام يعدّ من العناوين القصديّة، ويتوقّف تحقّقه على القصد، ومن المعلوم أنّ قصد الائتمام حين قيام المُصلّي إنّما هو قصدٌ على أن يوجِد هذا العنوان بالقصد اليه حين الصَّلاة، لا أنّه قاصدٌ قبل الشروع هذا العنوان، وعليه فاستصحاب بقاء هذا القصد لا يُثبت قصد الائتمام حين الصَّلاة، إلّا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وحدة القصدين، ولكن حيث أنّ اعتبار هذا القصد إنّما هو لأجل أن يتحقّق عنوان الجماعة، الذي هو من العناوين الثانويّة، المسبّب عن القصد المنطبق على الصَّلاة، ولا يمكن إثبات تحقّق العنوان بهذا القصد إلّاعلى القول بالأصل المثبت، فحكم هذه الصورة حكم الصورة الثالثة التي سيأتي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فمقتضى استصحاب بقاء الجماعة، تعيّن البناء على وجودها، فيجري على ذلك، ولا يبعد دعوى شمول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المورد أيضاً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 الأساطين كالشيخ الأعظم رحمه الله</w:t>
      </w:r>
      <w:r>
        <w:rPr>
          <w:rStyle w:val="FootnoteAnchor"/>
          <w:rtl w:val="true"/>
        </w:rPr>
        <w:footnoteReference w:id="1288"/>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وغيرهما، أنّه لا يُلتفت إلى الشكّ ويُبنى على تحقّق الجماعة لو كان، بحيث يظهر عليه آثار الائتمام كالإنصات في الجهريّة، والتسبيح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الإخفاتيّة،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يبتني على حجيّة ظهور الحال في الحكم بتحقّق الجماعة فعلاً، وهي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رأى نفسه مقتدياً فعلاً، وشكّ في أنّه نوى الائتمام من الأوّل أم لا، يبني على تحقّق الجماعة من الأوّل، ويلحقها حكمها، لجريان قاعدة التجاوز بالنسبة إلى الجماعة في الأجزاء السابقة، لمُضيّ محلّها بالدخول في الغير المترتّب، وهي الجماعة في ما بيده فعلاً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أفاده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إنّما تجري وتكون حاكمة على استصحاب العدم، في موردٍ يكون مقتضى الاستصحاب لزوم الإتيان بالمشكوك فيه في محلّه إذا كان باقياً، أو بعد العمل، أو لزم منه الإتيان بشيءٍ آخر كسجدة السَّهو، واستصحاب عدم نيّة الإقتداء لا يقتضي لزوم العود إلى نيّة الاقتداء وقطع الصَّلاة، ممّن دخل فيها على النحو الصحيح، فدعوى أنّ استصحاب عدم نيّة الاقتداء ليس له حاكمٌ غير صحيحة، لأنّه غير معتبر في جريان قاعدة التجاوز بعد تحقّق موضعها، وهو التجاوز الذي لا يصدق في موارد الشكّ في الوجود إلّابعد الدخول في الغير المترتّب، ولذا بنينا على عدم جريانها فيما إذا لم يكن فعلاً ناوياً للاقتداء، سوى ترتّب أثرٍ عليها، وهذا في المقام موجود، فإنّها لو جرت وبنينا على تحقّق الجماعة، فإنّ بإمكانه ترتيب آثارها إلى آخر الصَّلاة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شكّ في الإئتمام، فإن كان ناوياً الجماعة من أوّل الصَّلاة وأحرز ذلك، أو رأى نفسه مقتدياً فعلاً، وشكّ في أنّه هل نوى الائتمام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681" w:name="pg11801_108470"/>
    </w:p>
    <w:p>
      <w:pPr>
        <w:pStyle w:val="BookText"/>
        <w:rPr/>
      </w:pPr>
      <w:bookmarkEnd w:id="681"/>
      <w:r>
        <w:rPr>
          <w:rFonts w:ascii="Amiri" w:hAnsi="Amiri" w:eastAsia="Amiri" w:cs="Amiri"/>
          <w:color w:val="111111"/>
          <w:sz w:val="28"/>
          <w:sz w:val="28"/>
          <w:szCs w:val="28"/>
          <w:rtl w:val="true"/>
          <w:lang w:bidi="ar-SA"/>
        </w:rPr>
        <w:t>الأوّل أم لا، بنى على تحقّقها، وإلّا فمقتضى أصالة عدم نيّة الائتمام، البناء على العدم، وعليه إتمام صلاته افراداً</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10507222_73709187"/>
      <w:bookmarkStart w:id="683" w:name="_Toc259"/>
      <w:bookmarkEnd w:id="682"/>
      <w:r>
        <w:rPr>
          <w:rtl w:val="true"/>
        </w:rPr>
        <w:t>إذا نوى الإقتداء بشخصٍ فبانَ غيره</w:t>
      </w:r>
      <w:bookmarkEnd w:id="683"/>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اقتدى بشخص باعتقاد أنّه زيدٌ فبانَ أنّه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بهذا الحاضر، ويعتقد أنّه زيدٌ فيتبيّن أنّه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بزيدٍ معتقداً أنّ هذا الحاضر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عمرو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صورتي كونه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غير 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فالمنسوب إلى المشهور</w:t>
      </w:r>
      <w:r>
        <w:rPr>
          <w:rStyle w:val="FootnoteAnchor"/>
          <w:rtl w:val="true"/>
        </w:rPr>
        <w:footnoteReference w:id="1291"/>
      </w:r>
      <w:r>
        <w:rPr>
          <w:rFonts w:ascii="Amiri" w:hAnsi="Amiri" w:eastAsia="Amiri" w:cs="Amiri"/>
          <w:color w:val="111111"/>
          <w:sz w:val="28"/>
          <w:sz w:val="28"/>
          <w:szCs w:val="28"/>
          <w:rtl w:val="true"/>
          <w:lang w:bidi="ar-SA"/>
        </w:rPr>
        <w:t>صحّة الجماعة في الصورة الأُولى، وفسادها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الصورة الأُولى تصحّ الجماعة من جهة موافقة من قصد الاقتداء به للواقع، وإنّما الخطأ يكون في أمرٍ مقارن مع المقصود، وفي الصورة الثانية لا تصحّ لأنّ من قَصَد الإقتداء به لا واقع له، ومن له واقع لم يُقصد الائتمام به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كلّ ممّا ذكروه في الفرعين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ذكروه في 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الشيخ الأعظم والمحقّق الهمداني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الائتمام علاقة خارجيّة لا يعقل تعلّقه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بالشخص الخارجي الذي اعتقده زيداً، وهو هذا الحاضر، فاعتقاد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الحاضر، سببٌ لقصد الائتمام بهذا الشخص الحاضر بعينه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ما أفاداه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تعلّق الإنشاء بكلّي يمكن تقيّيده، كما إذا باع مَنّاً من الحنطة المقيّدة بقيدٍ خاص، وإن تعلّق بشخص خارجي، فلا يمكن تقييده، نعم هو قابلٌ للتعليق، كما إذا باع الحنطة الخارجيّة إنْ كانت متّصفةً بوصف خاص، وأمّا الأفعال الخارجيّة، فهي غير قابلة للتعلّق بالكلّي، بل لابدَّ وأن تتعلّق بالموجود الخارجي، ومع التعلّق به لا تقبل التعليق أيضاً، مثلاً الضرب لا يتعلّق إلّا بالشخص الخارجي، ومع تعلّقه به لا يقبل التعليق، بحيث يقع الضرب عليه على تقديرٍ خاص دون جميع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فإن الإئتمام الذي هو عبارة عن ربط الصَّلاة بصلاة هذا الشخص الخارجي، يكون كالضرب إذا تحقّق لا يُعقل تحقّقه على تقدير دون تقدير، ولا يتصوّر أن يكون اقتداءً بهذا الشخص الخارجي على تقدير كونه زيداً، بل كونه زيداً لا محالة يكون من قبيل الدّاعي للاقتداء بهذا الحاضر، وتخلّف الدّاعي لا يوجب عدم تحقّق الفعل الناشيء عنه بعد فرض تحقّقه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الخارجي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 تحقّقه القصد كالضرب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ذلك كالبيع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 تعلّق بالشخص الخارجي، لا يعقل فيه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فيتصوّر فيه ذلك، فلو باع الموجود الخارجي معلّقاً على كونه ثوباً حريراً فبان أنّه غيره بطل البيع، لعدم تحقّقه، والائتمام من هذا القبيل، لما تقدّم من أنّه يعتبر في تحقّقه القصد، ولا يتحقّق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قصد الإقتداء بزيد، واعتقد أنّ زيداً هو المشار إليه بعينه، فقد قصد الاقتداء بزيد من حيث هو أوّلاً وبالذّات، وقصد الاقتداء بهذا الشخص الحاضر ثانياً وبالعَرَض، من حيث أنّه زيد، فإنّ قصد إيقاع فعلٍ على عنوانٍ‌، يستتبع قصد إيقاعه على عنوان آخر متّحدٌ معه في اعتقاد القاصد، فإنّ من قصد إهانة زيد من حيث هو، مع علمه بأنّه ابن عمرو، فأهان ابن عمرو، فإنّه يصدق أنّه قصد إهانة ابن عمرو ولو من حيث أنّه زيد، لا من حيث هو، فإذا تبيّن أنّ ابن عمرو لم يكن زيداً صدق أنّه أهانه بالقصد، ومثل هذا القصد التبعي يكفي في صحّة الاقتداء، إذ لا دليل على اعتبار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إذا باع شيئاً خارجيّاً يعتقد أنّه عبدٌ فبانَ أنّه حمار، فإن مقتضى هذا البرهان صحّة البيع، إذ قصد البيع قد تعلّق بهذا الموجود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وبالعرض بعين التقريب المتقدّم، مع أنّه لا شبهة في البطلان حتّى عنده قدس سره إذ هو ملتزمٌ بانتفاء القصد بانتفاء القيد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بالحلّ‌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القصد إلى الائتمام بهذا الشخص الحاضر، كان معلّقاً على كونه زيداً، فلو تبيّن كونه غير زيد، يكون قصد الائتمام به منتفياً، بناءً على ما عرفت </w:t>
      </w:r>
    </w:p>
    <w:p>
      <w:pPr>
        <w:pStyle w:val="BookText"/>
        <w:rPr/>
      </w:pPr>
      <w:r>
        <w:rPr>
          <w:rFonts w:ascii="Amiri" w:hAnsi="Amiri" w:eastAsia="Amiri" w:cs="Amiri"/>
          <w:color w:val="111111"/>
          <w:sz w:val="28"/>
          <w:sz w:val="28"/>
          <w:szCs w:val="28"/>
          <w:rtl w:val="true"/>
          <w:lang w:bidi="ar-SA"/>
        </w:rPr>
        <w:t>من تصوير التعليق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ذكره المشهور في هذا الفرع من بطلان الجماعة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الجماعة وإن بطلت، لكنّه لا وجه لبطلان الصَّلاة، كما عرفت سابقاً، فما هو المنسوب إلى المشهور من بطلان الصَّلاة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في الفرع الأوّل من صحّة الجماعة فأُورد عليه بابتناء ذلك على ترجيح الإشارة على الاسم في مقام المعارضة وهو غيرُ ثابتٍ‌، ولذا تردّد فيه بعض</w:t>
      </w:r>
      <w:r>
        <w:rPr>
          <w:rStyle w:val="FootnoteAnchor"/>
          <w:rtl w:val="true"/>
        </w:rPr>
        <w:footnoteReference w:id="1293"/>
      </w:r>
      <w:r>
        <w:rPr>
          <w:rFonts w:ascii="Amiri" w:hAnsi="Amiri" w:eastAsia="Amiri" w:cs="Amiri"/>
          <w:color w:val="111111"/>
          <w:sz w:val="28"/>
          <w:sz w:val="28"/>
          <w:szCs w:val="28"/>
          <w:rtl w:val="true"/>
          <w:lang w:bidi="ar-SA"/>
        </w:rPr>
        <w:t>ولم يرجح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المصنّف رحمه الله وجماعة من المتأخّرين عنه، الحكم بالبطلان فيه</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ابتناء المسألة على تقديم الإشارة على الاسم أو عكسه محلّ نظر، بل منع، فإن تلك القاعدة إنّما يرجع إليها لتشخيص ما قصد اللّافظ أوّلاً وبالذات لموضوع حكمه، وهذا لا ربط له بما نحن فيه ممّا يكون القصد معلوماً، وهو الاقتداء بهذا الحاضر المعتقد أنّه زيد، حيث يكون اعتقاده المذكور إمّا من قبيل الدّاعي إلى الصَّلاة خلفه، أو من قبيل المقارنات الاتّفاقيّة، وعلى أيّ تقدير تصحّ الجماعة لتحقّق القصد إلى الإمام المعيّن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 ما ذكره المشهور من التفصيل بين الفرعين في صحّة الجماعة في أحدهما دون الآخر هو الحقّ‌، وإنْ كان ما ذكروه من بطلان الصَّلاة فيما إذا بطلت الجماعة، غير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لم يكن عمروٌ عادلاً، ففي الصورة التي حكمنا فيها ببطلان الجماعة لا كلام في بطلانها في المقام، وأمّا في الصورة التي حكمنا فيها بصحّتها، وهي ما لو نوى الاقتداء بهذا الحاضر معتقداً أنّه زيد فبان عمرو، فهل تصحّ في المقام،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تبتني هذه المسألة على ما سيأتي عند بيان أحكام الجماعة من أنّه لو اقتدى بشخصٍ‌، ثمّ تبيّن أنّه فاسق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بصحّة الجماعة فيها نقول بها في المقام، وإن قلنا بالبطلان فيها نقول به في المقام أيضاً بلا فرق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المقام إذا اقتدى بالحاضر باعتقاد أنّه زيد، وإنْ كان اقتداءً به على كلّ تقدير، إلّاأنّ إحراز عدالة المقتدي الذي اعتبر في صحّة الاقتداء لم يكن في المثال، لأنّ المقتدي هو الشخص القائم في المحراب، مع تجريده عن كونه زيداً، والذي اعتقد عدالته هو زيدٌ بعنوان أنّه زيد، لا الشخص المجرد عن كونه زيداً، كما عن المحقّق اليزدي رحمه الله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أحرز عدالة زيد، واعتقد أنّه هذا القائم في المحراب، فلا محالة يكون مُحرِزاً لعدالة هذا القائم إذ الإحراز لا يقبل التقييد ولا التعليق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الفرق في الحكم المذكور بين كون عمروٌ عادلاً أو غير عادل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684" w:name="pg11801_108475"/>
    </w:p>
    <w:p>
      <w:pPr>
        <w:pStyle w:val="Heading6"/>
        <w:numPr>
          <w:ilvl w:val="5"/>
          <w:numId w:val="1"/>
        </w:numPr>
        <w:rPr/>
      </w:pPr>
      <w:bookmarkStart w:id="685" w:name="__RefHeading___Toc10507224_73709187"/>
      <w:bookmarkStart w:id="686" w:name="_Toc260"/>
      <w:bookmarkEnd w:id="684"/>
      <w:bookmarkEnd w:id="685"/>
      <w:r>
        <w:rPr>
          <w:rtl w:val="true"/>
        </w:rPr>
        <w:t>حكم التداعي في الإمامة والمأموميّة</w:t>
      </w:r>
      <w:bookmarkEnd w:id="686"/>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اثنان، فقال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صلاتهما معاً فرادى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قال كلٌّ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الإمام الصادق عليه السلام، عن أميرالمؤمنين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رجلين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إمامك‌؟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كلّ واحدٍمنهما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أأتمُّ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 فاسدة و ليستأنفا</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كما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98"/>
      </w:r>
      <w:r>
        <w:rPr>
          <w:rFonts w:ascii="Amiri" w:hAnsi="Amiri" w:eastAsia="Amiri" w:cs="Amiri"/>
          <w:color w:val="111111"/>
          <w:sz w:val="28"/>
          <w:sz w:val="28"/>
          <w:szCs w:val="28"/>
          <w:rtl w:val="true"/>
          <w:lang w:bidi="ar-SA"/>
        </w:rPr>
        <w:t>، في غير محلّها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لتوهّم ذلك سوى وجود النوفلي والسَّكوني في الطريق، وذلك لا يوجب قدحاً في السَّند، لاعتبار رواياتهما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الحسين بن يزيد، فقد وردت فيه مدائح تدلّ على اعتبار رواياته، كرواية جماعةٍ من القميّين عنه، وإكثارهم من الرواية عنه، وقولهم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سديد الرواية، مقبول الرواية، وكثير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له كتاباً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السيّد الداماد</w:t>
      </w:r>
      <w:r>
        <w:rPr>
          <w:rStyle w:val="FootnoteAnchor"/>
          <w:rtl w:val="true"/>
        </w:rPr>
        <w:footnoteReference w:id="1299"/>
      </w:r>
      <w:r>
        <w:rPr>
          <w:rFonts w:ascii="Amiri" w:hAnsi="Amiri" w:eastAsia="Amiri" w:cs="Amiri"/>
          <w:color w:val="111111"/>
          <w:sz w:val="28"/>
          <w:sz w:val="28"/>
          <w:szCs w:val="28"/>
          <w:rtl w:val="true"/>
          <w:lang w:bidi="ar-SA"/>
        </w:rPr>
        <w:t xml:space="preserve">إنّه لم يقدح فيه أحدٌ من أئمّة الرجال، وقد اعتمد على </w:t>
      </w:r>
    </w:p>
    <w:p>
      <w:pPr>
        <w:pStyle w:val="BookText"/>
        <w:rPr/>
      </w:pPr>
      <w:r>
        <w:rPr>
          <w:rFonts w:ascii="Amiri" w:hAnsi="Amiri" w:eastAsia="Amiri" w:cs="Amiri"/>
          <w:color w:val="111111"/>
          <w:sz w:val="28"/>
          <w:sz w:val="28"/>
          <w:szCs w:val="28"/>
          <w:rtl w:val="true"/>
          <w:lang w:bidi="ar-SA"/>
        </w:rPr>
        <w:t xml:space="preserve">رواياته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وغيره، والشيخ</w:t>
      </w:r>
      <w:r>
        <w:rPr>
          <w:rStyle w:val="FootnoteAnchor"/>
          <w:rtl w:val="true"/>
        </w:rPr>
        <w:footnoteReference w:id="1301"/>
      </w:r>
      <w:r>
        <w:rPr>
          <w:rFonts w:ascii="Amiri" w:hAnsi="Amiri" w:eastAsia="Amiri" w:cs="Amiri"/>
          <w:color w:val="111111"/>
          <w:sz w:val="28"/>
          <w:sz w:val="28"/>
          <w:szCs w:val="28"/>
          <w:rtl w:val="true"/>
          <w:lang w:bidi="ar-SA"/>
        </w:rPr>
        <w:t>وغيرهما من عظماء الأصحاب</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أبي زياد، 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xml:space="preserve">وغيره في غيرها دعوى إجماع الإماميّة على العمل برواياته، وقد وثَّقه صريحاً جماعةٌ كالمحقّق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الغرية</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الأصحاب بهذا الخبر، فلو كان ضعيفاً فهو منجبر بعمل الأصحاب، فلا إشكال في الخبر من حيث السَّند، وأمّا من حيث الدلالة فمقتضى إطلاقه البطلان في الفرض الثاني، وإنْ أتي كلٌّ منهما بما هو وظيفة المنفرد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في مقام بيان قدح قصد المأموميّة وعدم قدح قصد الإمامة، ولازم ذلك هو البطلان في الصورة الأُولى‌، أي قصد المأموميّة مطلقاً، والصحّة فيما إذا قصد الإمامة، مع إتيان كلّ منهما بما هو وظيفة المنفرد، وأمّا مع إخلال كلٍّ منهما أو أحدهما بذلك، فالأظهر البطلان، لعدم تعرّض الرواية لحكم غير جهة قصد الإمامة،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شكّا فيما أضمراه،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نيّة صاحبه مع إحراز نيّة نفسه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نيّة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قصده الإمامة، فلا كلام في صحّة صلاته، سواءٌ قصد صاحبه الإمامة أو قصد المأموميّة، وإنْ كان قصده المأموميّة، فحيث أنّ الشكّ في صحّة صلاته وجماعته، يكون ناشئاً عن الشكّ في نيّة صاحبه المأموميّة أو الإمامة، إذ على الأوّل تبطلان بخلافه على الثاني، فلا مورد لجريان قاعدة الفراغ في المأتي به، لما تقدّم في مبحث الشكوك من أنّ قاعدة الفراغ من الأمارات النوعيّة، لوقوع المشكوك فيه في ظرفه، فيختصّ جريانها بما إذا كان الشكّ في النقص أو الزيادة من جهة احتمال الغفلة، فلا تكون القاعدة شاملة للمقام، ممّا يكون منشأ الشكّ فعل الغير الخارج عن تحت قدرة هذا الشخص والتفاته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بالاستدلال للصحّة بأصالة عدم قصد صاحبه المأموميّة، ولا تُعارَض بأصالة عدم قصده الإمامة لعدم الأثر لها، فيثبت بها صحّة الصَّلاة ما لم يأت بما يبطل الصَّلاة مطلق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أنّ صاحبه نوى الإمامة، صحّت صلاته، سواءٌ قصد الإمامة أو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تصحّ الجماعة أم لا؟ وجهان، وقد تقدّم الكلام في هذا مفصّلاً</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وإنْ علم أنّه قصد الائتمام، وشكّ في قصد نفسه، وبالتبع يشكّ في صحّة الصَّلاة والجماعة معاً، فالمرجع حينئذٍ لإثبات صحّة الصَّلاة، أصالة عدم الائتمام بالتقريب المتقدّم، بل يثبت بهذا الأصل صحّة الجماعة أيضاً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ترتّب انعقاد الجماعة على نيّة ائتمام أحدهما دون الآخر، ليس ترتّباً شرعيّاً، وعليه فلا تثبت الجماعة بالأصل، فما أفاده بعضٌ من إثبات</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87" w:name="pg11801_108478"/>
    </w:p>
    <w:p>
      <w:pPr>
        <w:pStyle w:val="BookText"/>
        <w:rPr/>
      </w:pPr>
      <w:bookmarkEnd w:id="687"/>
      <w:r>
        <w:rPr>
          <w:rFonts w:ascii="Amiri" w:hAnsi="Amiri" w:eastAsia="Amiri" w:cs="Amiri"/>
          <w:color w:val="111111"/>
          <w:sz w:val="28"/>
          <w:sz w:val="28"/>
          <w:szCs w:val="28"/>
          <w:rtl w:val="true"/>
          <w:lang w:bidi="ar-SA"/>
        </w:rPr>
        <w:t>صحّتها أيضاً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الصورة الثالثة، وحكم ما إذا كان الشكّ في الأثناء</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10507226_73709187"/>
      <w:bookmarkStart w:id="689" w:name="_Toc261"/>
      <w:bookmarkEnd w:id="688"/>
      <w:r>
        <w:rPr>
          <w:rtl w:val="true"/>
        </w:rPr>
        <w:t>نقل النيّة من إمام إلى إمام آخر</w:t>
      </w:r>
      <w:bookmarkEnd w:id="689"/>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جواز نقل نيّته من إمامٍ إلى إمام آخر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07"/>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احتماله إذا كان المنتقل إليه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للجواز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وردت نصوص كثيرة دالّة على جواز العدول، لو عرض للإمام ما يمنعه إتمام صلاته</w:t>
      </w:r>
      <w:r>
        <w:rPr>
          <w:rStyle w:val="FootnoteAnchor"/>
          <w:rtl w:val="true"/>
        </w:rPr>
        <w:footnoteReference w:id="1309"/>
      </w:r>
      <w:r>
        <w:rPr>
          <w:rFonts w:ascii="Amiri" w:hAnsi="Amiri" w:eastAsia="Amiri" w:cs="Amiri"/>
          <w:color w:val="111111"/>
          <w:sz w:val="28"/>
          <w:sz w:val="28"/>
          <w:szCs w:val="28"/>
          <w:rtl w:val="true"/>
          <w:lang w:bidi="ar-SA"/>
        </w:rPr>
        <w:t>، وسيأتي التعرّض لتلك المسألة، فيمكن الاستدلال بتلك النصوص للمقام بإلغاء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ستعرف في الفرع القادم أنّ مقتضى القاعدة جواز العدول من الانفراد إلى الائتمام، كما ستعرف جواز عكس ذلك، أي العدول من الائتمام إلى الانفراد، وعلى ذلك فلا وجه للقول بعدم الجواز في المقام، إذ في المقام عدولٌ من الائتمام إلى الانفراد ومنه إلى الائتمام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إلغاء خصوصيّة المورد في نصوص العدول، إذا عرض للإمام مانعٌ غير ظاهر، وجواز العدول من الانفراد إلى الائتمام سيأتي التأمّل فيه، ومثل </w:t>
      </w:r>
      <w:bookmarkStart w:id="690" w:name="pg11801_108479"/>
    </w:p>
    <w:p>
      <w:pPr>
        <w:pStyle w:val="BookText"/>
        <w:rPr/>
      </w:pPr>
      <w:bookmarkEnd w:id="690"/>
      <w:r>
        <w:rPr>
          <w:rFonts w:ascii="Amiri" w:hAnsi="Amiri" w:eastAsia="Amiri" w:cs="Amiri"/>
          <w:color w:val="111111"/>
          <w:sz w:val="28"/>
          <w:sz w:val="28"/>
          <w:szCs w:val="28"/>
          <w:rtl w:val="true"/>
          <w:lang w:bidi="ar-SA"/>
        </w:rPr>
        <w:t>هذه الجماعة بعيدة عن الطريقة المالوفة، فشمول الإطلاق لها غير ظاهر، والشكّ إنّما هو في مشروعيّة الجماعة الثانية، فلا مورد لإجراء الأصل الذي أسّسناه، فعدم العدول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جواز الائتمام بالثاني فغيرُ جارٍ، إذ المتيقّن إنّما هو جواز الاقتداء به من ابتداء الصَّلاة، والمشكوك فيه الائتمام به في الأثناء</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10507228_73709187"/>
      <w:bookmarkStart w:id="692" w:name="_Toc262"/>
      <w:bookmarkEnd w:id="691"/>
      <w:r>
        <w:rPr>
          <w:rtl w:val="true"/>
        </w:rPr>
        <w:t>الدخول في الجماعة في الأثناء</w:t>
      </w:r>
      <w:bookmarkEnd w:id="692"/>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للمنفرد العدول إلى الائتمام في الأثناء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الاستدلال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أنّمن جملة النصوص الواردة في المقام هوأنّ الإمام إذا طرأ عليه عذر من الإتمام، جاز للمأمومين تقديم إمامٍ آخر ممّا يدلّ على جواز استخلاف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أمَّ قوماً على غير وضوء، فانصرف فقدم رجلاً ولم يدرِ المُقدّم ما صَلّى الإمام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من خَلفه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إمامٍ أَمَّ قوماً فذكر أنّه لم يكن على وضوء، فانصرف وأخذ بيد رجلٍ وأدخله وقدّمه، ولم يعلم الذي قدمه ما صَلّى القوم‌؟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بهم، فإن أخطأ سبّح القوم به، وبنى على صلاة الذي كان قبله</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وظهورهما في استخلاف الأجنبي لا يُنكر، وسيأتي في تلك المسألة تمام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فهما يدلّان على جواز العدول من الانفراد إلى الائتمام، إذ استخلاف الأجنبي ليس كاستخلاف أحد المأمومين، كي يمكن أن يقال بأنّ المأموم الذي صار إماماً بما أنّه كان مع القوم من أوّل صلاتهم، كانت الجماعة معه، كأنّه من الابتداء، بل الجماعة معه جماعة مستقلّة، والمفروض مشروعيّتها من بعد انتفاء الجماعة الأُولى، وصيرورة الصَّلاة فرادى‌، فيستفاد منهما جوازالعدول من الانفراد إلى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في الفرع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الجماعة في أبعاض الصَّلاة وأجزائها، بمعنى تحقّق الجماعة بين أبعاض صلاتي المأموم والإمام،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نفس هذه النصوص، فيستفاد منها المشروعيّة، من غير فرق بين كون الجماعة في الابتداء أو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ذلك يوجب أن يكون المراد من الصَّلاة المذكورة في صحيح زرارة والفضيل المتقدّم في أوّل الجماعة، الذي بنينا على ثبوت الإطلاق له ما يعمّ أجزاءها، فمقتضى إطلاقه حينئذٍ مشروعيّة هذه الجماعة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يرد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الخبرين لا يمكن الاعتماد عليهما لاشتمالهما على إقامة الأجنبي مقام الإمام في الإتيان بما بقي من صلاته، من غير زيادة ونقيصة، كما هو الظاهر منهما، لا سيّما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لذلك مزيد 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93" w:name="pg11801_108481"/>
    </w:p>
    <w:p>
      <w:pPr>
        <w:pStyle w:val="BookText"/>
        <w:rPr/>
      </w:pPr>
      <w:bookmarkEnd w:id="693"/>
      <w:r>
        <w:rPr>
          <w:rFonts w:ascii="Amiri" w:hAnsi="Amiri" w:eastAsia="Amiri" w:cs="Amiri"/>
          <w:color w:val="111111"/>
          <w:sz w:val="28"/>
          <w:sz w:val="28"/>
          <w:szCs w:val="28"/>
          <w:rtl w:val="true"/>
          <w:lang w:bidi="ar-SA"/>
        </w:rPr>
        <w:t>يلتزم به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لموارد عروض المانع للإمام خصوصيّة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يصحّ الاستدلال بهما، ولا بإطلاق سائر النصوص المقتضي لجواز استخلاف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الثاني، فيمكن أن يورد عليه بأنّ ما دلَّ على مشروعيّة الجماعة في أبعاض الصَّلاة مختصٌّ بالابتداء، ولا يوجبُ ذلك التوسعة في الصَّلاة المجعولة موضوعةً في صحيح الفضيل وزرارة، كي يتمسّك بإطلاقه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الأحوط هو عدم العدول من الانفراد إلى الائتمام</w:t>
      </w:r>
      <w:r>
        <w:rPr>
          <w:rFonts w:eastAsia="IRNazanin" w:cs="IRNazanin"/>
          <w:color w:val="111111"/>
          <w:sz w:val="28"/>
          <w:szCs w:val="28"/>
          <w:rtl w:val="true"/>
          <w:lang w:bidi="fa-IR"/>
        </w:rPr>
        <w:t>.</w:t>
      </w:r>
    </w:p>
    <w:p>
      <w:pPr>
        <w:pStyle w:val="Heading6"/>
        <w:numPr>
          <w:ilvl w:val="5"/>
          <w:numId w:val="1"/>
        </w:numPr>
        <w:rPr/>
      </w:pPr>
      <w:bookmarkStart w:id="694" w:name="__RefHeading___Toc10507230_73709187"/>
      <w:bookmarkStart w:id="695" w:name="_Toc263"/>
      <w:bookmarkEnd w:id="694"/>
      <w:r>
        <w:rPr>
          <w:rtl w:val="true"/>
        </w:rPr>
        <w:t>العدول من الائتمام إلى الانفراد</w:t>
      </w:r>
      <w:bookmarkEnd w:id="695"/>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قصد الانفراد في الأثناء كما هو المشهور بين الأصحاب، بل عن غير واحدٍ دعوى نفي الخلاف فيه والإجماع عليه</w:t>
      </w:r>
      <w:r>
        <w:rPr>
          <w:rStyle w:val="FootnoteAnchor"/>
          <w:rtl w:val="true"/>
        </w:rPr>
        <w:footnoteReference w:id="1312"/>
      </w:r>
      <w:r>
        <w:rPr>
          <w:rFonts w:ascii="Amiri" w:hAnsi="Amiri" w:eastAsia="Amiri" w:cs="Amiri"/>
          <w:color w:val="111111"/>
          <w:sz w:val="28"/>
          <w:sz w:val="28"/>
          <w:szCs w:val="28"/>
          <w:rtl w:val="true"/>
          <w:lang w:bidi="ar-SA"/>
        </w:rPr>
        <w:t>، أم لا يجوز؟</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أوّلاً في أنّ نيَّة الانفراد هل تضرّ بصحّة الجماعة أم لا؟ ثمّ في أنّها هل توجب بطلان 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فيه في موضعين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بدا له العدول إلى الانفراد، بعدما كان عازماً على الائتمام إلى آخر صلاة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عازماً على الائتمام في بعض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لصحّة الجماعة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فإنّ مقتضى الأصل في المستحبّ‌، جواز رفع اليد عنه، وعدم وجوبه بالشروع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وباستصحاب جواز الانفراد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الصحّة وعدم بطلانها بنيّة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أدلّة مشروعيّة الجماعة في استحبابها ابتداءً واستدامةً‌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ورد في الموارد المتفرّقة من جواز المفارقة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وجوبها بالشروع فيها أعمٌّ من انعقادها وصحّتها، ألا ترى أنّ صلاة النافلة لا يجبُ إتمامها، لكن لو قطعها لما صحّ المقدار المأتي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جواز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يجري، إذ المتيقّن هو الانفراد من الأوّل، والمشكوك فيه هو الانفراد في الأثناء، مع أنّ الجواز التكليفي غير الجوازالوضعي، ومحلّ الكلام هو الثاني والمتيقّن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استصحاب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يجري أيضاً، إذ الصحّة التأهّليّة المتيقّنة لا شكّ فيها، والصحّة الفعليّة لا يقين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أدلّة مشروعيّة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دالّة على عدم وجوبها بعد الشروع فيها، إلّاأنّها لا تدلّ على صحّتها ومشروعيّتها في بعض الصَّلاة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ورد في الموارد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فلاختصاصه بصورة عروض مانع من إتمام </w:t>
      </w:r>
    </w:p>
    <w:p>
      <w:pPr>
        <w:pStyle w:val="BookText"/>
        <w:rPr/>
      </w:pPr>
      <w:r>
        <w:rPr>
          <w:rFonts w:ascii="Amiri" w:hAnsi="Amiri" w:eastAsia="Amiri" w:cs="Amiri"/>
          <w:color w:val="111111"/>
          <w:sz w:val="28"/>
          <w:sz w:val="28"/>
          <w:szCs w:val="28"/>
          <w:rtl w:val="true"/>
          <w:lang w:bidi="ar-SA"/>
        </w:rPr>
        <w:t>الإمام صلاته،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الاستدلال لمشروعيّتها في الفرض، وجواز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ستعرف من صحّة الجماعة فيما إذا كان من نيّته الانفراد من أوّل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خلف الإمام، فيطيل الإمام التشهّد؟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مَنْ خلفه ويمضي في حاجبته إنْ أحَبّ‌</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جواز الانفراد في حال تشهّد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جواز تقديم السَّلام، بمعنى عدم لزوم المتابعة فيه، فيكون الاقتداء به باقياً إلى آخر السَّلام، فيخرج بالسلام عن الجماعة لا بنيّة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لقصد الانفراد إلّاقصد التقدّم على الإمام بالتسليم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أنّ بالتسليم يخرجُ من الصَّلاة والجماعة، ويعتمد الإتيان به قبل الإمام، يكون ذلك قصداً منه للانفراد به،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لجواز الدخول في الجماعة، مع العزم على أن ينفرد في الأثناء اختياراً ومشروعيّة مثل هذه الجماعة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 الكثيرة الآتي طرف منها، والواردة في المسبوق، وفي إئتمام المُتِمّ بالمُقصّر، والاقتداء في الرباعيّة بالثلاثيّة والثنائيّة، وشرعيّة صلاة ذات الرقاع ونحو ذلك، فإنّ مقتضاها أنّ الجماعة كما تُستحبّ في تمام الصَّلاة، تُستحبّ في أبعاضها، وأنّ مطلوبيّتها إنّما تكون من قبيل تعدّد المطلوب، بمعنى أنّه لا تكون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مشروعيّتها في كلّ ركعةٍ مشروطة ببقائه مأموماً إلى آخر الصَّلاة، ولازم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تقدّم من أنّ الجماعة والفرادى ليستا حقيقتين متغايرتين كالظهر والعصر، بل الجماعة كيفيّة طارئة على الصَّلاة كالمسجديّة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الانفراد، وإنْ كان عازماً عليه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إنّما وردت في مقام الضرورة، أو انتهاء صلاة الإمام، الموجب لحصول الانفراد قهراً، فلا يستفاد منها كون الجماعة بنحو تعدّد المطلوب بالمعنى الذي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الضرورة والمفارقة القهريّة، إنّما تصحّ عُذراً للانفراد في الأثناء، لا لجواز الجماعة في ركعةٍ أو ركعتين مثلاً، ما لم يكن للجماعة فيها مرتبة من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تكبيرةً مع الإمام تعدل كذا وكذا، وركعةً معه تعدل كذا وكذا، وسجدة معه تعدل كذا وكذا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ذلك مطلوبيّة الجماعة في كلّ جزءٍ مستقلّاً لا بشرط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اليزدي رحمه الله</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لو بدا له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تشمله أدلّة الائتمام، فيصير الدخول بذلك مشروعاً، فيلحقه أحكام الائتمام، وأمّا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لو كان بانياً عليه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شمول أدلّة الجماعة له محلُّ تأمّلٍ‌</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إذ لو شملت أدلّة الجماعة للجماعة في بعض الصَّلاة فهو في القسمين، وإلّا فكذلك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بصحّة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أتى بما هو وظيفة المنفرد، صحّت صلاته، سواءٌ أكان ناوياً للإنفراد من الأوّل، أم بدا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للحكم ببطلان الصَّلاة إلّامبطليّة قصد الائتمام في بعضها، أو كون الجماعة منوّعة، وشيءٌ منهما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عدم المبطليّة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الجماعة كيفيّة طارئة كالمسجديّة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لتوهّم بطلان الصَّلاة مضافاً إلى ما عرفت، سوى أنّه إذا قصد بالجماعة الأمر يكون تشريعاً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سراية حرمة التشريع إلى الفعل الخارجي، نقول إنّ الجماعة هي الكيفيّة الطارئة، ولها وجودٌ آخر غير الصَّلاة، تتحقّق بقصد الائتمام، فلا وجه لسراية الحرمة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أخلَّ بوظيفة المنفرد، فإنْ فعل ما يوجب مطلق وجوده البطلان، بطلت الصَّلاة، وإلّا كما لو ترك القراءة، فإنْ كان ناوياً للإنفراد من الأوّل، بطلت صلاته أيضاً، لصيرورة ترك القراءة حينئذٍ تركاً عمديّاً أو عن جهل تقصيري، فلا مورد لجريان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بدا له ذلك بعدُ، فقد يُقال إنّ 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صحّة الصَّلاة، إلّا أنّ في شموله للمقام تأمّلاً، فإنْ نقص صلاته حينئذٍ من حيث القراءة إنّما يكون </w:t>
      </w:r>
    </w:p>
    <w:p>
      <w:pPr>
        <w:pStyle w:val="BookText"/>
        <w:rPr/>
      </w:pPr>
      <w:r>
        <w:rPr>
          <w:rFonts w:ascii="Amiri" w:hAnsi="Amiri" w:eastAsia="Amiri" w:cs="Amiri"/>
          <w:color w:val="111111"/>
          <w:sz w:val="28"/>
          <w:sz w:val="28"/>
          <w:szCs w:val="28"/>
          <w:rtl w:val="true"/>
          <w:lang w:bidi="ar-SA"/>
        </w:rPr>
        <w:t>مستنداً إليه باختياره، وعمده قصد الانفراد، إذ لو لم يقصد ذلك لما نقصت الصَّلاة من هذه الجهة، والحديث مختصٌّ بما إذا انحصر الإتيان بالصّلاة تامّة بالإعادة، وفي المقام لا ينحصر بذلك،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الثامن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مؤلّفه الأحقر،</w:t>
      </w:r>
    </w:p>
    <w:p>
      <w:pPr>
        <w:pStyle w:val="BookText"/>
        <w:rPr/>
      </w:pPr>
      <w:r>
        <w:rPr>
          <w:rFonts w:ascii="Amiri" w:hAnsi="Amiri" w:eastAsia="Amiri" w:cs="Amiri"/>
          <w:color w:val="111111"/>
          <w:sz w:val="28"/>
          <w:sz w:val="28"/>
          <w:szCs w:val="28"/>
          <w:rtl w:val="true"/>
          <w:lang w:bidi="ar-SA"/>
        </w:rPr>
        <w:t>محمّد صادق الحسيني الروحاني عفى اللّه عنه،</w:t>
      </w:r>
    </w:p>
    <w:p>
      <w:pPr>
        <w:pStyle w:val="BookText"/>
        <w:rPr/>
      </w:pPr>
      <w:r>
        <w:rPr>
          <w:rFonts w:ascii="Amiri" w:hAnsi="Amiri" w:eastAsia="Amiri" w:cs="Amiri"/>
          <w:color w:val="111111"/>
          <w:sz w:val="28"/>
          <w:sz w:val="28"/>
          <w:szCs w:val="28"/>
          <w:rtl w:val="true"/>
          <w:lang w:bidi="ar-SA"/>
        </w:rPr>
        <w:t>ويتلوه الجزء التاسع إنْ شاء اللّه تعالى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إلّاباللّه، والحمدُ للّه أوّلاً وآخراً وظاهراً وباطناً</w:t>
      </w:r>
      <w:r>
        <w:rPr>
          <w:rFonts w:eastAsia="Amiri" w:cs="Amiri" w:ascii="Amiri" w:hAnsi="Amiri"/>
          <w:color w:val="111111"/>
          <w:sz w:val="28"/>
          <w:szCs w:val="28"/>
          <w:rtl w:val="true"/>
          <w:lang w:bidi="ar-SA"/>
        </w:rPr>
        <w:t>.</w:t>
      </w:r>
      <w:bookmarkStart w:id="696" w:name="pg11801_108487"/>
    </w:p>
    <w:p>
      <w:pPr>
        <w:pStyle w:val="Heading2"/>
        <w:numPr>
          <w:ilvl w:val="1"/>
          <w:numId w:val="1"/>
        </w:numPr>
        <w:rPr/>
      </w:pPr>
      <w:bookmarkStart w:id="697" w:name="__RefHeading___Toc10507232_73709187"/>
      <w:bookmarkStart w:id="698" w:name="_Toc264"/>
      <w:bookmarkEnd w:id="696"/>
      <w:bookmarkEnd w:id="697"/>
      <w:r>
        <w:rPr>
          <w:rtl w:val="true"/>
        </w:rPr>
        <w:t>فهرس الموضوعات</w:t>
      </w:r>
      <w:bookmarkEnd w:id="698"/>
    </w:p>
    <w:p>
      <w:pPr>
        <w:pStyle w:val="BookText"/>
        <w:rPr/>
      </w:pP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كيفيّة صلاة الآيات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مستحبّات هذه الصَّلاة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وقت صلاة الآيات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موارد وجوب قضاء صلاة الآيات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حدوث الآية في وقت الفريضة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صلاة الاستئجار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لو آجر نفسه فمات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إخراج الصَّلاة من أصل التركة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الأجير يعمل على طبق تكليف نفسه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قضاء الوليّ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في المقضيّ عنه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القاضي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أحكام القضاء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الإيصاء بالإستئجار عنه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نافلة رمضان </w:t>
      </w:r>
      <w:r>
        <w:rPr>
          <w:rFonts w:eastAsia="Amiri" w:cs="Amiri" w:ascii="Amiri" w:hAnsi="Amiri"/>
          <w:color w:val="111111"/>
          <w:sz w:val="28"/>
          <w:szCs w:val="28"/>
          <w:lang w:bidi="ar-SA"/>
        </w:rPr>
        <w:t>71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السَّهو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حكم ترك شيءٍ من الواجبات عمداً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حكم الزيادة العمَديّة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حكم النقيصة سهواً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 الإخلال بالرّكوع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 الإخلال بالسجدتين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إمكان تكليف النّاسي بغير ما نسيه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ثبوت الجزئيّة في حال النسيان وعدمه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مقتضى الأصل العملي عند الشكّ في الجزئيّة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مقتضى القاعدة الثانويّة عند الشكّ في الجزئيّة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البحث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الصحيح لا يشمل العامد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الحديث لا يشمل الجاهل المقصر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الحديث يشمل الجاهل القاصر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شمول الحديث للزيادة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في شمول حديث لا تُعاد للشروط والموانع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المراد من الإعادة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المراد بالطهور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حكم الزيادة السَّهويّة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تردّد المنسيّ بين الرّكن وغيره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حُكم زيادة الرّكوع أو السَّجدتين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حكم زيادة الرّكعة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ما تقتضيه النصوص الخاصّة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حكم نسيان الرّكعة فما زاد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الخَلل في المقدّمات </w:t>
      </w:r>
      <w:r>
        <w:rPr>
          <w:rFonts w:eastAsia="Amiri" w:cs="Amiri" w:ascii="Amiri" w:hAnsi="Amiri"/>
          <w:color w:val="111111"/>
          <w:sz w:val="28"/>
          <w:szCs w:val="28"/>
          <w:lang w:bidi="ar-SA"/>
        </w:rPr>
        <w:t>148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نسيان غير الرّكن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يتدارك من غير سَجدة السَّهو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لو تذكر ترك الرّكوع قبل السّجود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تذكّر ترك السّجدة بعد القيام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حكم التذكّر قبل الدخول في الرّكن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ما يتدارك مع سَجدتي السَّهو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محلّ قضاء السّجدة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قضاء التشهّد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الشكّ في الصَّلاة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حكم الشكّ في عدد الثنائيّة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حكم الشكّ في الصَّلاة المقصورة في مواطن التخيّير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حكم الشكّ في عدد الثلاثيّة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حكم الشكّ في الأوليين من الرباعيّة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ما يحرز به الرَّكعتان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جهل المصلّي بالعدد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عدم جريان الاستصحاب عند الشكّ في الرَّكعات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حكم الشكّ في الأفعال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البحث عن قاعدة التجاوز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جريان القاعدة في الرّكعتين الأوليين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اشتراط جريانها بالدخول في الجزء اللّاحق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جريان القاعدة في الأجزاء غير المستقلّة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عدم كفاية الدخول في الهويّ والنهوض في جريان القاعدة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الشكّ في الرّكوع بعد الانتصاب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حكم الشكّ في الجزء الأخير </w:t>
      </w:r>
      <w:r>
        <w:rPr>
          <w:rFonts w:eastAsia="Amiri" w:cs="Amiri" w:ascii="Amiri" w:hAnsi="Amiri"/>
          <w:color w:val="111111"/>
          <w:sz w:val="28"/>
          <w:szCs w:val="28"/>
          <w:lang w:bidi="ar-SA"/>
        </w:rPr>
        <w:t>238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الشكّ في الشيء مع إحراز الغفلة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كانت صورة العمل محفوظة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حكم الشكّ في الإخلال العَمدي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حكم الشكّ في الشرائط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حكم الظنّ في عدد الرَّكعات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حكم الظنّ بالأفعال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الشكّ الموجب لصلاة الاحتياط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حكم الشكّ بين الإثنتين والثَّلاث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حكم الشكّ بين الثَّلاث والأربع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حكم الشكّ بين الإثنتين والأربع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حكم الشكّ بين الإثنتين والثَّلاث والأربع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حكم الشكّ بين أعداد الرباعيّة وما زاد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الشكّ بين الأربع والخمس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الشكّ بين الأربع والسِّت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حكم الشكّ بين الأربع والخَمس والسِّت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حكم الشكّ بين الثَّلاث والخَمس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حكم الشكّ بين الثَّلاث والأربع والخَمس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حكم الشكّ فيما زاد على أعداد الرباعيّة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بعض فروع الشكوك الصحيحة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الشكّ في أنّ حالته ظنٌ أو شكّ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انقلاب الشكّ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لو شكّ المُصلّي جالساً أحد الشكوك الصحيحة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حكم شكّ كثير الشكّ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حَدّ الكثرة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لا اعتبار بشكّ كلٍّ من الإمام والمأموم مع حفظ الآخر </w:t>
      </w:r>
      <w:r>
        <w:rPr>
          <w:rFonts w:eastAsia="Amiri" w:cs="Amiri" w:ascii="Amiri" w:hAnsi="Amiri"/>
          <w:color w:val="111111"/>
          <w:sz w:val="28"/>
          <w:szCs w:val="28"/>
          <w:lang w:bidi="ar-SA"/>
        </w:rPr>
        <w:t>322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الالتفات إلى السَّهو في السَّهو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الشكّ في النّافلة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في قضاء الأجزاء المنسيّة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موجبات سجود السّهو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القعود في حال القيام والعكس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السَّلام في غير محلّه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الزيادة أو النقيصة غير المبطلة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الشكّ في الزّيادة والنقيصة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بعض أحكام سجود السَّهو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تداخل الأسباب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الترتيب بين هذا السّجود وبين صلاة الاحتياط وقضاء الأجزاء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يجب الإتيان به فوراً، ومع تركه لا تبطل الصَّلاة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لو سجد للكلام فبان أنّ الموجب غيره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شرائط سّجدة السّهو وموانعها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محلّ هذا السّجود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أجزاء سجدة السَّهو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كيفيّة السَّجدتين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حكم التشهّد وكيفيّته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القضاء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وجوب قضاء الفائت مطلقاً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الإخلال بما يعتبر في الصَّلاة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موارد ثبوت وجوب القضاء بدليل خاص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الصَّلاة التي تُركت في حال الجنون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عدم وجوب القضاء على الكافر </w:t>
      </w:r>
      <w:r>
        <w:rPr>
          <w:rFonts w:eastAsia="Amiri" w:cs="Amiri" w:ascii="Amiri" w:hAnsi="Amiri"/>
          <w:color w:val="111111"/>
          <w:sz w:val="28"/>
          <w:szCs w:val="28"/>
          <w:lang w:bidi="ar-SA"/>
        </w:rPr>
        <w:t>422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قضاء الصَّلاة على المخالف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المواسعة والمضايقة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عدم وجوب تقديم الفائتة على الحاضرة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أدلّة اعتبار الترتيب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الترتيب في قضاء الفوائت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عدم اعتبار الترتيب في الفوائت إذا جهل الترتيب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حكم عدم العلم بعدد ركعات الفريضة الفائتة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كيفيّة قضاء الفوائت في الحضر والسّفر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الباب السادس في صلاة الجماعة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لا دليل على مشروعيّتها في مطلق الفرائض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الجماعة الواجبة بالعَرَض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الجماعة المنذورة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عدم مشروعيّة الجماعة في النافلة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الجماعة في صلاة الغدير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ضابط ما يصحّ الإئتمام فيه من الصَّلوات وما لا يصحّ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فيما تنعقد به الجماعة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حكم الشكّ في شرائط الجماعة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اعتبار نيّة الجماعة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 xml:space="preserve">الجماعة من الكيفيّات الطارئة لا من القيود المنوِّعة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بطلان الجماعة لا يوجب بطلان الصَّلاة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الشكّ في نيّة الإتمام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إذا نوى الإقتداء بشخصٍ فبانَ غيره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حكم التداعي في الإمامة والمأموميّة </w:t>
      </w:r>
      <w:r>
        <w:rPr>
          <w:rFonts w:eastAsia="Amiri" w:cs="Amiri" w:ascii="Amiri" w:hAnsi="Amiri"/>
          <w:color w:val="111111"/>
          <w:sz w:val="28"/>
          <w:szCs w:val="28"/>
          <w:lang w:bidi="ar-SA"/>
        </w:rPr>
        <w:t>525</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النيّة من إمام إلى إمام آخر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الدخول في الجماعة في الأثناء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العدول من الائتمام إلى الانفراد </w:t>
      </w:r>
      <w:r>
        <w:rPr>
          <w:rFonts w:eastAsia="IRNazanin" w:cs="IRNazanin"/>
          <w:color w:val="111111"/>
          <w:sz w:val="28"/>
          <w:szCs w:val="28"/>
          <w:lang w:bidi="fa-IR"/>
        </w:rPr>
        <w:t>531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الكافي ثمّ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الزيادة غير موجودة في كتابي التهذيب والوسائل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الأشهر الأقرب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المشهور نقلاً وتحصيلاً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المشهور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المشهور بل يظهر من كلام غير واحد الإجماع عليه إلّامن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الشهيد في محكي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وقد 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بابوية إذا احترق القرص كلّه فصلّها في جماعة، وإن احترق بعضه فصلّها فرادى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الصدوقان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فرغ قبل الإنجلاء فعليه الإعادة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المعتبر والمنتهى‌،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ووافقهما على ذلك الشهيد في الدروس والمحقّق الثاني في جامع المقاصد والجعفريّة وتعليق النافع وفوائد الشرائع وجملة من متأخّري المتأخّرين كصاحب المدارك والكفاية والذخيرة والشافية والمصابيح والحدائق وهو ظاهر المنقول من قول التقي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الوقت ممتدٌّ بمقدار الكسوف والخسوف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وفاقاً لأكثر المتأخّرين ومتأخّريهم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88/158</w:t>
      </w:r>
      <w:r>
        <w:rPr>
          <w:rFonts w:ascii="IRNazanin" w:hAnsi="IRNazanin" w:eastAsia="IRNazanin"/>
          <w:b w:val="false"/>
          <w:b w:val="false"/>
          <w:bCs w:val="false"/>
          <w:i w:val="false"/>
          <w:i w:val="false"/>
          <w:iCs w:val="false"/>
          <w:color w:val="333333"/>
          <w:sz w:val="20"/>
          <w:sz w:val="20"/>
          <w:szCs w:val="20"/>
          <w:rtl w:val="true"/>
        </w:rPr>
        <w:t>، فبعد استعراضه الأقوال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وتردّد الفاضلان في وجوب الصَّلاة لو قصر الوقت عن أخفّ الصَّلاة، مع حكمهما بعد الوجوب في صورة عدم إدراك الرّكعة نظراً إلى أنّ إدراك الرّكعة بمنزلة إدراك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القول بالوجوب مطلقاً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الشيخ الطوسي الإجماع على ذلك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ونقل الشهرة على ذلك 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رواية عمّار فباشتمال سندها على جماعة من الفطحيّة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 إلّاالمفيد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أن يصلّيهما في وقت فريضة حتّى يُصلّي الفريضة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عنهما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انكسفت الشّمس أو انكسف القمر في وقت صلاة فريضة بدأ بصلاة الفريضة قبل صلاة الكسوف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10/350</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أصحابنا الإماميّة جواز الاستيجار للصَّلاة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إجماعيّة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أنّه لا خلاف بين الأصحاب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أعلم في جواز الاستئجار للصَّلاة والصوم عن الميّت، إلّاأنّ بعض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المفاتيح الشيخ الأنصاري في 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وأيضاً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الكفاية 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ودعوى أنّ هذا الأمر توصّلي لا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 تقريرات النائيني للآملي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حاشية المكاسب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آنفاً حكاية الشيخ الأنصاري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المفاتيح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للشيخ الأنصاري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كلام فيه من حيث براءة ذمّة الميّت بفعل الأجير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واعتبرالمحقّق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براءة ذمّة الميّت أمرٌ ضروري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روضة الواعضين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85/305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الذكرى للشهيد الحكم الخامس من أحكام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وسنن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الأصفهاني عن تقديم الحجّ بالأقوى 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كذلك، واستدلّ لذلك بروايات، وفي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واضح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حيث تحدّث عن القضاء في باب الصَّلاة والصوم وغيرهما، وفي الحجّ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والاستئجار على الحجّ عن الميّت والمعضوب جائز بدليل الإجماع المُشار إليه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الواجب القضاء على الوليّ‌، فإن لم يكن له وليّ تصدّق عنه من صلب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الأصحاب وجوب القضاء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استحباب قضاء النوافل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الشيخ الطوسي في الإلحاق ولم يتبنّه،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والصحيح من المذهب والأقوال، أنّ إلحاق المرأة في هذا الحكم بالرِّجال يحتاج إلى دليل، وإنّما إجماعنا منعقد على الوالد يتحمّل ولده الأكبر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الصوم، فصل في حكم قضاء ما فات من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المرأة في هذا الباب حكم الرّجل سواء،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على وليّها القضاء عنها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على وليّه القضاء عنه، والوليّ هو أكبر أولاده الذكور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المشهور بين المتأخّرين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وأولى النّاس بالقضاء عن الميّت أكبر ولده الذكور، وأقرب أوليائه إليه إن لم يكن له ولد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مات الرّجل وعليه من صوم شهر رمضان، فعلى وليّه أن يقضي عنه، وكذلك إذا فاته في السفر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وليّه أن يقضي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للميّت وليّان فعلى أكبرهما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فإنّه بعد حكاية الشهرة على أنّه الولد الأكبر عند المتأخّرين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رأيت ما يدلّ عليه أصلاً، وهم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الوارث أو الذي له التصرّف وأولى النّاس بميراثه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فبعد استعراضه الأقوال،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تقتضيه الأدلّة، ويجب تحصيله في هذه الفتيا، أنّه لا يجب على واحدٍ منهم قضاء ذلك، لأنّ الأصل براءة الذمّة، والإجماع غير منعقد على ذلك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عن الموجز الحاوي، وشرحه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الالتباس عن موجز أبي العبّاس، للصيمري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في الرسائل الفقهيّة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يسقط الوجوب عن الوليّ بالوصيّة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لكونه أكبر الأولياء مع بلوغه وعقله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الحاشية السيّد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حيث اعتبر أنّ الأكبر هو الذي كان مكلّفاً أو اتّصف بذلك، وهذا تعبير عن تقديم البلوغ لأنّه المدار في التكليف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اختصّ أحدهما بكبر السّن والآخر بالبلوغ بالإنبات أو الاحتلام ففي تقديم أيّهما نظر، أقربه تقديم البالغ</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أراد أن يصلّي بعد المغرب اثنتي عشرة ركعة، وبعد العشاء الآخرة ثمان عشرة ركعة، كان أيضاً جائزاً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فإنّه بعد ذكر اختلاف الروايات بذلك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وطرق هذه الروايات كلّها ضعيفة، لكن عمل الأصحاب أسقط اعتبار طرقها، ولا رجحان فيها، فينبغي القول فيها بالتخيير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مفصّلاً المحدّث البحراني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في صلاة ليلة النصف من شعبان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الدعوى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بيان الأصل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الزيادة والنقيصة السَّهويتين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زاد في الصَّلاة ركوعاً عمداً أو سهواً بطلت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جامع الخلاف والوفاق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كلّ ذلك إجماع الإماميّة وطريقة الاحتياط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فتاوى ابن الجُنيد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الأخبار كلّها محمولة على أنّه ينسى الرّكوع في الركعتين الأولتين، فإنّه يجب عليه استئناف الصَّلاة على كلّ حال إذا ذكر، فأمّا إذا كان النسيان في الركعتين الأخيرتين، وذكر وهو بعد في الصَّلاة فليلق السَّجدتين من الرّكعة التي نسي ركوعها ويتمّ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استدلّ بالروايتين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 مُعلّى بن خنيس ضعيف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المعارضة بما هو أصحّ سنداً وأكثر عدداً وأصرح دلالةً‌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تقريرات النائيني للكاظمي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لا يخفى أنّ الأصل فيما إذا شكّ في جزئيّة شيء أو شرطيّته في حال نسيانه عقلاً ونقلاً ما ذكر في الشكّ في أصل الجزئيّة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 الخبر بما عدا العامد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النقيصة السَّهويّة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 غير واحدٍ من الأعلام؛ منهم المحقّق النائيني في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الإخلال بركن سهواً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قول الميرزا الشيرازي مجمع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الشيخ غير واحدٍ عن بعض مقرّري درسه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كلامه البجنوردي في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الخوئي قدس سره عن المحقّق النائيني في كتاب الصَّلاة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موسوعة الإمام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البحث عنه 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وقعت الصَّلاة في غير المأكول جهلاً أو نسياناً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عبد الكريم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التحقيق في حديث لا تُعاد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السيّد الخوئي قدس سره في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كالجواهري والسيّد الخوئي،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أغلب الفقهاء في كتبهم إرسال المُسلَّمات، وحكى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عن بعضٍ ونفي الخلاف عن آخرين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الرسائل العشر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والأركان ما إذا تركه عامداً أوناسياً بطلت صلاته إذا ذكرها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النيّة ركن بمعنى أنّ الصَّلاة تبطل مع الإخلال بها عمداً وسهواً بإجماع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واختاره الشيخ الأعظم الأنصاري في 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وأيضاً صاحب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مذهب ابن الجُنيد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والبناء على الأقل يحتمل زيادة الرّكعة، وهي مُبطلة عمداً وسهواً، كما بيّنا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وإعراض المشهور عنها وموافقتها للعامّة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لأبي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أنْ عَدَّ موارد وجوب الإعادة،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ينقص ركعة ولا يذكر حتّى ينصرف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السَّهو في الصَّلاة وأحكامه وما يجب منه إعادة الصَّلاة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 وأحكامه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تبصرة المتعلّمين للعلّامة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يوجب بطلان الصَّلاة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واحتمل جملة من المتأخّرين منهم شيخنا المجلسي في البحار هذه الأخبار على التقيّة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الصَّلاة للكاظمي تقرير 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 كما عن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عليه بين الأصحاب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ردّ علمه إلى أهله أولى من ارتكاب مثل هذا التوجيه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الشهرة الشيخ عبد الكريم الحائري في كتاب الصَّلاة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وحكاها عن غير واحد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يقوم منحنياً إلى حَدّ الراكع كما قاله غير واحد من الأصحاب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كتاب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ابن أبي عقيل العُماني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مركز المعجم الفقهي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ركع فاستيقن أنّه لم يكن سجد إلّاسجدة أو لم يسجد شيئاً فعليه إعادة الصَّلاة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وأيضاً ابن حمزة الطوسي 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في أحكام السَّهو</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قال بذلك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وفي الرسائل العشر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جامع الخلاف والوفاق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 عِدّة روايات بحقّ المُعلّى بن خُنيس، راجع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واللّه لقد دخل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الشيخ في 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ومنهم المُعلّى بن خنيس، وكان من قوّام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قتله داود بن عليّ بسببه، وكان محموداً عنده، ومضى على منهاجه، وأمره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في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مُعلّى، بعد نقله كلام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يقتضي وصفه بالعدالة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كتابه رجال العلّامة الحِلّي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الفائدة الثامنة،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المُعلّى بن خُنيس مولى الصادق عليه السلام 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طريق الشيخ</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أرى الاعتماد على شيء من حديثه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هذا الباب مُعلّى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 جدّاً، لا يعوّل عليه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 خلاصة الأقوال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مُعلّى، القول بالتضعيف، فإنّه نقل أقوال الطرفين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وروى فيه أحاديث تقتضي الذمّ وأُخرى تقتضي المدح وقد ذكرناها في الكتاب الكبير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عمل على طبق روايته العماني والكليني كما سبق القول بذلك في المباحث السابقة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بل لم ينقل الخلاف فيه إلّاعن المفيد في الرسالة العِزيّة وأبي الحسن علي بن بابويه في رسالته إلى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غير واحد منهم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9/357</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لم نعرف الخلاف إلّاما حكي عن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العِزيّة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وأبي الحسن علي بن بابويه في رسالته إلى ولده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والسيّد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فتاوى ابن الجُنيد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9/149</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يعبّر بالصدوقين يقصد بهما كما هو المتعارف عند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القمّي، وابنه محمّد بن علي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رحمهما الله، وقد 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الشهيد في البيان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حياة ابن أبي عقيل العُمّاني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ابتداءً من ح </w:t>
      </w:r>
      <w:r>
        <w:rPr>
          <w:rFonts w:eastAsia="IRNazanin" w:cs="IRNazanin"/>
          <w:b w:val="false"/>
          <w:bCs w:val="false"/>
          <w:i w:val="false"/>
          <w:iCs w:val="false"/>
          <w:color w:val="333333"/>
          <w:sz w:val="20"/>
          <w:szCs w:val="20"/>
        </w:rPr>
        <w:t>10561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وحكاه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المفيد أيضاً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ركوعه في الثالثة مضى في صلاته، فإذا سلّم قضاه وتشهّد، ثمّ سجد سجدتي السَّهو</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الصّلوات المفروضة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الشهرة بين الأصحاب المحقّق النراقي في كتابه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حياة ابن أبي عقيل العُمّاني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إعداد مركزالمعجم الفقهي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الثالثة من نسي التشهّد ولم يذكر حتّى ركع، قضاه وسجد سجدتي السَّهو عند المصنّف، أمّا وجوب السّجود فنقل بعض الشارحين للشرائع أنّه لا خلاف فيه بين الأصحاب، ونقل في المختلف والذكرى الخلاف فيه عن ابن أبي عقيل، والشيخ في الجمل والاقتصاد، ولم يذكره أبو الصّلاح فيما يوجب سجدة السَّهو، والصحيح الوجوب، ويدلّ عليه صحيحة سليمان بن خالد، وصحيحة عبد اللّه بن أبي يعفور وحسنة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عبد الكريم اليزدي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 أحكام المقصد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الخَلل الواقع في الصَّلاة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ادّعى الإجماع المركّب على اختصاص أوّل الوقت بالظهروآخره بالعصر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حكاه عنه العلّامة في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شكّ في عدد الثنائيّة كالصبح وصلاة السفر والجمعة والكسوف وفي الثلاثيّة كالمغرب أو في الأولتين من الرباعيّات أعاد، ذهب إليه علماؤنا أجمع، إلّاابن بابويه، فإنّه جوّز له البناء على الأقلّ والإعادة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نعثر على ما يدلّ على ذلك بل الظاهر من الفقيه خلافه كما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والأصل في السَّهو أنّ من سها في الرّكعتين الأولتين من كل صلاة فعليه الإعادة، ومن شكّ في المغرب فعليه الإعادة، ومن شكّ في الغداة فعليه الإعادة ومن شكّ في الجمعة فعليه الإعادة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كتاب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شككت في الفجر فأعد وإذا شككت في المغرب فأعد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المُحدِّث البحراني في مقام تعجّبه من نقل الخلاف عن ابن بابوية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اشتهر في كلام الأصحاب من العلّامة فمن دونه نقل الخلاف عن ابن بابويه في مواضع من الشكوك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لا أصل له، وهذا من أعجب العجاب عند ذوي الألباب، والسبب في ذلك هو تقليد المتأخّر للمتقدّم من غير مراجعةٍ لكلام ابن بابويه، والنظر فيه بعين التأمّل والتحقيق، راجع وتأمّل بما أفدناك به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10395</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الكفاية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تُطبع لحدّ الآن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يظهر ذلك من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سهوت فيما بين اثنتين أو ثلاث أو أربع أو خمس، تبني على الأقلّ‌، وتسجدبعد ذلك سجدتي السَّهو</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شكّ في الثانية والثالثة، أو في الثالثة والرابعة، فليبنِ على الأكثر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المصابيح عن السيّد ابن طاووس في البشرى والمحقّق في الفتاوى البغداديّة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ويتحقّق إكمالها بتمام السّجدة الثانية وإن لم يرفع رأسه منها على الظاهر، لأنّ الرفع ليس جزءً من السّجود وإنّما هو واجب آخر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لو كان ساجداً في الثانية، ولما يرفع رأسه، وتعلّق الشكّ‌، لم أستبعدصحّته، لحصول مسمّى الرّكعة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تقرير بحث النائيني للكاظمي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حيث وافقه على ذلك عدّة من المحشّين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 كفاية الأحكام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شكّ ولم يعلم كم صلّى على المشهور بين الأصحاب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قاعدة التجاوز والفراغ</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تعليقته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والأحوط الاقتصارعلى الأجزاء المستقلّة دون أجزاء الأجزاء فضلاً عن مقدّماتها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محلّ كلّ فعل يزول بالدخول في فعل آخر حقيقي ذاتي، وهو الفعل المعهود شرعاً، المعدود عند الفقهاء فعلاً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الروايتين المذكورتين قد تعارضتا في هذا الحكم فالقول بهما قول بالمتناقضين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القسم الثالث</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المشهور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9/206</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الخَلل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لما حكي عنه في غير مورد من الاُصول والفقه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عقيب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شككت فابنِ على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المراد من البناء على اليقين هو البناء على الأكثر، والإتيان بركعات الاحتياط مفصولة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الصَّلاة للكاظمي تقرير 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والاحتياط بما يحتمل نقصه وعليه إجماع الإماميّة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البناء على الأكثر والاحتياط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مفاد البناء الأكثر هو الحكم الظاهري المجعول في باب الاُصول العمليّة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أحكام الخَلل في الصَّلاة للشيخ الأنصاري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المشهور، بل حُكي الإجماع عن الانتصار والخلاف وظاهر السرائر، وعن الصدوق أنّه من دين الإماميّة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وحكاه أيضاً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عن بعض القدماء من تعيين القيام لا يلتفت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لا يلتفت إلى ما عن العُماني والجُعفي من تعيين الجلوس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المقدّس الأردبيلي رحمه الله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قول معظم الأصحاب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بابويه، وابن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شكّ بين الاثنتين والثَّلاث والأربع بنى على الأربع ويُصلّي ركعة من قيام وركعتين من جلوس</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والمفيد في الرسالة العِزيّة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الشهيد الثاني في روض الجنان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اُريد تركيب مسائل الشكّ الخمسة تركيباً ثنائيّاً وثلاثيّاً ورباعيّاً حصل منه إحدى عشرة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ضربت في الصور التسع كانت تسعاً وتسعين مسألة تظهر بأدنى تأمّل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9/245</w:t>
      </w:r>
      <w:r>
        <w:rPr>
          <w:rFonts w:ascii="IRNazanin" w:hAnsi="IRNazanin" w:eastAsia="IRNazanin"/>
          <w:b w:val="false"/>
          <w:b w:val="false"/>
          <w:bCs w:val="false"/>
          <w:i w:val="false"/>
          <w:i w:val="false"/>
          <w:iCs w:val="false"/>
          <w:color w:val="333333"/>
          <w:sz w:val="20"/>
          <w:sz w:val="20"/>
          <w:szCs w:val="20"/>
          <w:rtl w:val="true"/>
        </w:rPr>
        <w:t>،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في صلاة رباعيّة إلى الخامسة سهواً، فإن ذكر قبل الرّكوع عاد فجلس، وتمّم تشهّده وسلّم، وإن لم يذكر إلّابعد الرّكوع بطلت صلاته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الخَلل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9/248</w:t>
      </w:r>
      <w:r>
        <w:rPr>
          <w:rFonts w:ascii="IRNazanin" w:hAnsi="IRNazanin" w:eastAsia="IRNazanin"/>
          <w:b w:val="false"/>
          <w:b w:val="false"/>
          <w:bCs w:val="false"/>
          <w:i w:val="false"/>
          <w:i w:val="false"/>
          <w:iCs w:val="false"/>
          <w:color w:val="333333"/>
          <w:sz w:val="20"/>
          <w:sz w:val="20"/>
          <w:szCs w:val="20"/>
          <w:rtl w:val="true"/>
        </w:rPr>
        <w:t>، وقد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المشهور بين الأصحاب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المصابيح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قطع الصَّلاة للإزالة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عبد الكريم الحائري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8/227/10495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اللّواحق وفيه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سهو على من كثر سهوه، فله البناءعلى وقوع ما شكّ به تخفيفاً عنه، ولما في تداركه من حرج المنفيّ‌، ولقول الباقر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كثُرَ عليك السَّهو فامضي في صلاتك، فإنّه يوشكّ أن يدعك، إنّما هو من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أن يغلب على الطرف الآخر ويبني عليه ويتمّ صلاته، ما لم يحصل له هناك مرجّح من علم أو ما يقوم مقامه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الخَلل في الصَّلاة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في أحكام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9/268</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الميسيّة والمقاصد العليّة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9/270</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حكاية المشهور عن العلّامة المجلسي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9/258</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عبد الكريم الحائري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جملة الشكوك التي لا اعتبار بها الشكّفي النافلة، والمعروف التخيّير بين البناء على الأقلّ والأكثر، ولم أجد ما يدلّ على ذلك، نعم البناء على الأقلّ مقتضى الأصل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إلّاأنّه حكى الحمل على الاستحباب عن الشيخ،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 حمل الحديثين على التقيّة لموافقتهما لجميع العامّة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لا أجد فيه خلاف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الدرة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إجماع الأُمّة من دون استثناء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الجواهر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لم أجده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الدرّة والذكرى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الحدائق عن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بعض متأخّري أصحابنا نقل عن القطب الرواندي في شرح النهاية الطوسيّة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سلّم قام ليضيف ما شكّ فيه إلى ما يتحقّق، قام بلا تكبيرة الإحرام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حكي عن الدروس وكتاب الدرّة وقد تقدّم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التعبير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يقرأ فيهما فاتحة الكتاب أو يسبِّح فيهما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المحقّق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الحدائق الناظرة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 الشيخ الأعظم رحمه الله أحكام الخَلل في الصَّلاة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الأعظم رحمه الله أحكام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تمام من وجه وصلاة منفردة من وجه وهو اختيار والدي المصنّف ذكره لي مذاكرة جمعاً بين الأدلّة وهو الأقوى عندي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تقريرات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 الاحتياط صلاة مستقلّة رُوعي فيها البدليّة عمّا يحتمل نقصه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نزاع فيها بل هي واجبة إجماعاً كما ادّعاه في الذكرى‌، وإنّما النزاع في أنّه لمخالفتها هل يأثم خاصّة أو تبطل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بين الثَّلاث والأربع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الخَلل في الصَّلاة للشيخ الأعظم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شكّ في صلاته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الإعادة على من 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السَّهو في الصَّلاة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ما تقدّم ذكره في الصَّلاة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المسألة الخامسة من صلاة الاحتياط</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رحمه الله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الإعادة على من 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السَّهو في الصَّلاة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ما تقدّم ذكره في الصَّلاة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تفصيل ما تقدّم ذكره في الصَّلاة، مع اختلاف يسير في التعبير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الإعادة على من 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السَّهو في الصَّلاة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ما تقدّم ذكره في الصَّلاة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دليلنا إجماع الفرقة المحقّة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الشيخ الأعظم رحمه الله في كتاب الصَّلاة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عدم الخلاف في عدم إبطاله وادّعي عليه جماعة الإجماع</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القول بعدم الوجوب إليهم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حكاه المحقّق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فيتكلّم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عن والد الصدوق الوجوب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وأوجب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سجدتي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عقيل العمّاني، فقه ابن أبي عقيل العُمّاني، إعداد مركز المعجم الفقهي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ذكر السّجود أو التشهّد ولما يركع بعده أتى بما قد فاته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نجيب الدين في الجامع كما عن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 موردي القيام في موضع الجلوس ممّا يتلافى‌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الأظهر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الغُنية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السَّهو في الصَّلاة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الحُرّ العاملي في وسائل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السَّهو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ابن أبي عقيل العُمّاني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يتدارك مع سجدتي السّهو</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التشهّد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على قول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سجود السَّهو يجب لكلّ زيادة ونقيصة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ومثله في 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أم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في صلاته أم نقص</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وقد وردت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أزاد في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بعض من تناقلها كمختلف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صلاته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القديمة راجع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وراجع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وفي الطبعة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سجدتا السَّهو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أكثر الأصحاب</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قد يشعر ما في شرح مولى الأكبر بالإجماع عليه كما أنّه في الذخيرة والكفاية نسب وجوب المبادرة إليهما قبل فعل المنافي للأصحاب مشعرين بدعوى الإجماع</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10440</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سجود السّهو واجب وشرط في صحّة الصلاة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في سجدتي السَّهو</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الهمداني في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الوجهين 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والمحقّق السبزواري في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10543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10442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ابن الجُنيد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بحث النائيني للكاظمي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استحبابها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في كلام الأصحاب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أن يسجد سجدتي السَّهو استفتح بالتكبير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10516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ذكرها أبو الصّلاح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9/333</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حكاه عن جماعة من الأصحاب، وأمّا رأيه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الأشبه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يجب فيهما الذّكر مطلقاً، المشهور نعم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ذلك أجمع علماؤنا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8289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 </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10486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10519</w:t>
      </w:r>
      <w:r>
        <w:rPr>
          <w:rFonts w:ascii="IRNazanin" w:hAnsi="IRNazanin" w:eastAsia="IRNazanin"/>
          <w:b w:val="false"/>
          <w:b w:val="false"/>
          <w:bCs w:val="false"/>
          <w:i w:val="false"/>
          <w:i w:val="false"/>
          <w:iCs w:val="false"/>
          <w:color w:val="333333"/>
          <w:sz w:val="20"/>
          <w:sz w:val="20"/>
          <w:szCs w:val="20"/>
          <w:rtl w:val="true"/>
        </w:rPr>
        <w:t>،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9/331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الفاضلان في المعتبر والمنتهى إنّه قول علمائنا أجمع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يجب قضاء الفائتة إذا كانت واجبة إجماعاً محصّلاً ومنقولاً وكتاباً وسُنّة مستفيضة إن لم تكن متواترة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دراسات في علم الاُصول للمحقّق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الميسيّة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العلّامة،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نام عن صلاة العشاءحتّى خرج نصف اللّيل أصبح صائماً ندباً على رأي، وفاقاً لابن إدريس الحِلّي والمحقّق، وأطلق الشيخان وجماعة إنّه يصبح صائماً، وصرّح السيّد في الانتصار بالوجوب عليه وادّعى الإجماع عليه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بعد انتصاف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بإجماع العلماء كما في المنتهى‌</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 لك هذه 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10618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10616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 </w:t>
      </w:r>
      <w:r>
        <w:rPr>
          <w:rFonts w:eastAsia="IRNazanin" w:cs="IRNazanin"/>
          <w:b w:val="false"/>
          <w:bCs w:val="false"/>
          <w:i w:val="false"/>
          <w:iCs w:val="false"/>
          <w:color w:val="333333"/>
          <w:sz w:val="20"/>
          <w:szCs w:val="20"/>
        </w:rPr>
        <w:t>10617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قصاء الصَّلوات ح </w:t>
      </w:r>
      <w:r>
        <w:rPr>
          <w:rFonts w:eastAsia="IRNazanin" w:cs="IRNazanin"/>
          <w:b w:val="false"/>
          <w:bCs w:val="false"/>
          <w:i w:val="false"/>
          <w:iCs w:val="false"/>
          <w:color w:val="333333"/>
          <w:sz w:val="20"/>
          <w:szCs w:val="20"/>
        </w:rPr>
        <w:t>10587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 لك هذه الأشياء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مابعدها؛ 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العشرات من الكتب التفسيريّة وبعض المراجع الروائيّة وغيرهما، لا سيّما في كتب أهل العامّة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المجلّد الثالث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قصّة إسلام أخي عثمان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المجلّد الثالث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إسلام هبّار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17/304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في المتن والقواعد والدروس ومحكي المعتبر والمنتهى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المدارك نسبته إلى الشيخ وأكثر الأصحاب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سليمان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معرفتي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وأكثر الأصحاب على وجوب الفوريّة وتأخير الحاضرة وهو 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إدريس والسيّد في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ولكن تظهر مخالفته لبعض شقوق هذه الدعوى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فالمتقدّمون منهم على قولين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بالفوريّة وهو مذهب الأكثر، إلّاأنّهم بين مصرّحٍ ببطلان الحاضرة لو قدّمها مع سِعة الوقت، والقول بالمواسعة وهو مذهب الصدوقيين، وظاهر النقل عنهما استحباب تقديم الحاضرة في السِّعة، والمتأخّرون على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 بينهم هو ما ذهب إليه الصدوقان من المواسعة، إلّاأنّهم يستحبّون تقديم الفائتة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الشهرة عن القدماء بأنّها مستفيضة، بل حكى الإجماع عليه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جماعة الشيخ الأعظم رحمه الله في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للشيخ الأعظم رحمه الله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شرعاً كما عن السيّد مدّعياً إجماع الصحابة والتابعين عليه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الأعظم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فليقضها إذا ذكرها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المستصفى للغزالي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نسيها فليصلّها إذا ذكرها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10569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الإيراد كما يظهر للمحقّق حسين الطباطبائي البروجردي في نهاية التقرير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 بين الفائتة والحاضرة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الاُصول تقريرات السيّد محمّد الروحاني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ascii="IRNazanin" w:hAnsi="IRNazanin" w:eastAsia="IRNazanin"/>
          <w:b w:val="false"/>
          <w:b w:val="false"/>
          <w:bCs w:val="false"/>
          <w:i w:val="false"/>
          <w:i w:val="false"/>
          <w:iCs w:val="false"/>
          <w:color w:val="333333"/>
          <w:sz w:val="20"/>
          <w:sz w:val="20"/>
          <w:szCs w:val="20"/>
          <w:rtl w:val="true"/>
        </w:rPr>
        <w:t xml:space="preserve">، وقد نقلنا كلامه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تعرّض لأقوال المتقدّمين والمتأخّرين،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الأولى الاشتغال بالفائتة إلى أن تتضيّق الحاضرة وهو مذهب والدي رحمه الله وأكثر من عاصرناه من المشائخ</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الذِّكر لما فات من الفروض وقت القضاء</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القضاء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الأصحاب على وجوب الفوريّة وتأخير الحاضرة وهو أحوط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الإجماع عليه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والغنية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 ورسالتي المفيد، والحِلّي،</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عندي التفصيل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رسائل فقهيّة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الفوائت فقد اتّفق الأصحاب على ترتيبها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فاتته صلاة يوميّة واجبة وعلم الترتيب تجب مراعاته في 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محقّقاً ومحكيّاً في الخلاف والمعتبر والمنتهى والتنقيح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فقهيّة الشيخ الأعظم رحمه الله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المنقول وبعض الأخبار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الشيخ الأعظم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كتاب الطهارة للشيخ الأعظم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الترتيب لازماً لوجوب المبادرة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وقد تقدّم قبل قليل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يوثّقه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باب من نام عن الصَّلاة أو سها عنها،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على المشهور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وروض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القديمة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في الحديث غير معتمد عليه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اليه علماؤنا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فاتته صلاة يوميّة واجبة وعلم الترتيب تجب مراعاته في قضائها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محقّقاً ومحكيّاً في الخلاف والمعتبر والمنتهى والتنقيح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رسائل فقهيّة الشيخ الأعظم رحمه الله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المنقول وبعض الأخبار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الفوائت فقد اتّفق الأصحاب على ترتيبها</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 أجمع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الشيخ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المنقول وبعض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مرّ</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يستفاد ذلك من صحيح زرارة المذكور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ومضمونه في كثير من الأخبار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فالأكثر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ذكرها صاحب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روض الجنان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هذا الحديث غير موجود إلّافي الكتب الفقهيّة الاستدلاليّة مثل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2/110</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الموجود في الكتب الروائيّة أحاديث كثيرة بهذا المفهوم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كتاب العليل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الأكثر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الأشهر، ويدلّ 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الفوات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14/382</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بين المتأخّرين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المبسوط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حكياه عن السيّد والإسكافي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المبسوط، ولكن حكاه عنه في الجواهر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والشيخ في مبسوطه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الموافق للأدلّة وإجماع أصحابنا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10623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معجم رجال الحديث، 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إيراد من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صاحب الجواهر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إجماع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علمائناأجمع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إجماعاً ونصّاً وفتوىً‌، والأخبار بذلك متظافرة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على ذلك المحقّق النراقي في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تجب الجماعة بالأصالة إلّا في الجمعة والعيدين، وقد تقدّمتا، وهذا الحكم إجماعيّ بين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النائيني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وبه قال أكثر علمائنا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دعوى الإجماع</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الجماعة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هذه الدعوى السيّد الحكيم قدس سره في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الكاظمي لبحث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صلاة الجماعة للإصفهاني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الوجه المحقّق الشيخ محمّد حسين الإصفهاني في كتابه صلاة الجماعة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27666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مشاهير الفتاوى أنّه لا يجوز الاقتداء في 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أجد إجماعاً صريحاً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الجماعة في النوافل فأجمع علماء أهل البيت عليهم السلام على تحريمها إلّافي نفل أصله فرض، كالإعادة والعيدين والاستسقاء لما فيها من غرض الاجتماع لإجابة الدعاء</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لأمير المؤمنين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10830</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ظاهر المشهور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تقرير الكاظمي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7/171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الكاظمي لبحث النائيني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المعروف من مذهب الأصحاب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وعن ابنه في المقنع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وأيضاً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المعمول بها بين معظم الأصحاب بل لم أجد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عن والد الصدوق من منع اقتداء المسافر بالحاضر وبالعكس</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إليه علماؤنا أجمع</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الإجماع</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ح </w:t>
      </w:r>
      <w:r>
        <w:rPr>
          <w:rFonts w:eastAsia="IRNazanin" w:cs="IRNazanin"/>
          <w:b w:val="false"/>
          <w:bCs w:val="false"/>
          <w:i w:val="false"/>
          <w:iCs w:val="false"/>
          <w:color w:val="333333"/>
          <w:sz w:val="20"/>
          <w:szCs w:val="20"/>
        </w:rPr>
        <w:t>11006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قول فقهاء الأمصار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أجده فيه كما اعترف فيه في المنتهى والرياض والمفاتيح بل في التذكّرة وعن كشف الالتباس الإجماع عليه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شرائط إمامة الجماعة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ذلك ما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يستحبّ له نيّة الإمامة ليفوز بثوابه يقيناً، فلو لم ينوها احتمل عدم الثواب له عليها 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لكلّ امرئٍ ما نوى‌</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الوجوب العديد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و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والسيّد 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 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الجعفريّة وحاشية الإرشاد والمصابيح</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الدعوة الشيخ الأنصاري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أجاب عنها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الظاهرإمكان دعوى الاتّفاق على خلافه، مع عدم مساعدة الدليل عليه، بل لعلّ الأصل على خلافه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ظاهر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القراءة،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الصَّلاة خلفه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10946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10941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وجوب الإعادة على من 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السَّهو في الصَّلاة ح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تفصيل ما تقدّم ذكره في الصَّلاة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ظهر ممّا ذكرنا أنّ ترك القراءة بزعم الجماعة لا يضرّ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محسن الحكيم قدس سره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شكّ في أنّه نوى الائتمام أم لا؟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 عدم الالتفاتيولحوق أحكام الجماعة، وإنْ كان الأحوط الإتمام منفرداً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الصحّة غير واحد كما في 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كاشف الغطاء في حاشيته على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وقد تعرّض الشيخ الأعظم لهذه المسألة في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والمُحدِّث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أحكام الجماعة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لكنّها ضعيفة جدّاً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 للمحقّق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فإنّه استشهد في الرواية في مقام الاستدلال</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وضعف الخبر مجبور باشتهاره بين الأصحاب فتوىً ورواية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المنجبر ضعفه بعمل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ولأجل ما قلناه عملت الطائفة بما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والسكوني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الحُرّ العاملي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الثانية عشر</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وغيره من الأبواب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الحكم بالجواز العديد من الأعلام إرسال المسلّمات، وعدم دعوى الإجماع منهم قد يكون لوضوحه عند الأغلب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للحائري اليزدي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الجماعة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image" Target="media/image2.jpeg"/><Relationship Id="rId550" Type="http://schemas.openxmlformats.org/officeDocument/2006/relationships/image" Target="media/image2.jpeg"/><Relationship Id="rId551" Type="http://schemas.openxmlformats.org/officeDocument/2006/relationships/footer" Target="footer544.xml"/><Relationship Id="rId552" Type="http://schemas.openxmlformats.org/officeDocument/2006/relationships/footnotes" Target="footnotes.xml"/><Relationship Id="rId553" Type="http://schemas.openxmlformats.org/officeDocument/2006/relationships/numbering" Target="numbering.xml"/><Relationship Id="rId554" Type="http://schemas.openxmlformats.org/officeDocument/2006/relationships/fontTable" Target="fontTable.xml"/><Relationship Id="rId555" Type="http://schemas.openxmlformats.org/officeDocument/2006/relationships/settings" Target="settings.xml"/><Relationship Id="rId5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73455</Words>
  <Characters>329870</Characters>
  <CharactersWithSpaces>399872</CharactersWithSpaces>
  <Paragraphs>3831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2026-08-22T07:51:44Z</dcterms:created>
  <dc:creator>ghaemiyeh.com</dc:creator>
  <dc:description/>
  <dc:language>en-US</dc:language>
  <cp:lastModifiedBy/>
  <dcterms:modified xsi:type="dcterms:W3CDTF">2026-08-22T11:22:05Z</dcterms:modified>
  <cp:revision>1</cp:revision>
  <dc:subject/>
  <dc:title>فقه الصادق علیه السلام جلد 8</dc:title>
</cp:coreProperties>
</file>

<file path=docProps/custom.xml><?xml version="1.0" encoding="utf-8"?>
<Properties xmlns="http://schemas.openxmlformats.org/officeDocument/2006/custom-properties" xmlns:vt="http://schemas.openxmlformats.org/officeDocument/2006/docPropsVTypes"/>
</file>