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77731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477733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477735_73709187">
            <w:r>
              <w:rPr>
                <w:webHidden/>
                <w:rStyle w:val="IndexLink"/>
                <w:rtl w:val="true"/>
              </w:rPr>
              <w:t>تتمة كتاب الصلاة</w:t>
            </w:r>
            <w:r>
              <w:rPr>
                <w:rStyle w:val="IndexLink"/>
                <w:rtl w:val="true"/>
              </w:rPr>
              <w:tab/>
            </w:r>
            <w:r>
              <w:rPr>
                <w:rStyle w:val="IndexLink"/>
              </w:rPr>
              <w:t>13</w:t>
            </w:r>
          </w:hyperlink>
        </w:p>
        <w:p>
          <w:pPr>
            <w:pStyle w:val="Contents3"/>
            <w:tabs>
              <w:tab w:val="clear" w:pos="8459"/>
              <w:tab w:val="right" w:pos="9026" w:leader="dot"/>
            </w:tabs>
            <w:rPr/>
          </w:pPr>
          <w:hyperlink w:anchor="__RefHeading___Toc10477737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0477739_73709187">
            <w:r>
              <w:rPr>
                <w:webHidden/>
                <w:rStyle w:val="IndexLink"/>
                <w:rtl w:val="true"/>
              </w:rPr>
              <w:t>الباب الثاني في أفعال الصلاة</w:t>
            </w:r>
            <w:r>
              <w:rPr>
                <w:rStyle w:val="IndexLink"/>
                <w:rtl w:val="true"/>
              </w:rPr>
              <w:tab/>
            </w:r>
            <w:r>
              <w:rPr>
                <w:rStyle w:val="IndexLink"/>
              </w:rPr>
              <w:t>13</w:t>
            </w:r>
          </w:hyperlink>
        </w:p>
        <w:p>
          <w:pPr>
            <w:pStyle w:val="Contents4"/>
            <w:tabs>
              <w:tab w:val="clear" w:pos="8176"/>
              <w:tab w:val="right" w:pos="9026" w:leader="dot"/>
            </w:tabs>
            <w:rPr/>
          </w:pPr>
          <w:hyperlink w:anchor="__RefHeading___Toc10477741_7370918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0477743_73709187">
            <w:r>
              <w:rPr>
                <w:webHidden/>
                <w:rStyle w:val="IndexLink"/>
                <w:rtl w:val="true"/>
              </w:rPr>
              <w:t>الفصل الأوّل</w:t>
            </w:r>
            <w:r>
              <w:rPr>
                <w:rStyle w:val="IndexLink"/>
                <w:rtl w:val="true"/>
              </w:rPr>
              <w:t xml:space="preserve">: </w:t>
            </w:r>
            <w:r>
              <w:rPr>
                <w:rStyle w:val="IndexLink"/>
                <w:rtl w:val="true"/>
              </w:rPr>
              <w:t>الواجباتُ ثمانية</w:t>
            </w:r>
            <w:r>
              <w:rPr>
                <w:rStyle w:val="IndexLink"/>
                <w:rtl w:val="true"/>
              </w:rPr>
              <w:tab/>
            </w:r>
            <w:r>
              <w:rPr>
                <w:rStyle w:val="IndexLink"/>
              </w:rPr>
              <w:t>13</w:t>
            </w:r>
          </w:hyperlink>
        </w:p>
        <w:p>
          <w:pPr>
            <w:pStyle w:val="Contents5"/>
            <w:tabs>
              <w:tab w:val="clear" w:pos="7892"/>
              <w:tab w:val="right" w:pos="9026" w:leader="dot"/>
            </w:tabs>
            <w:rPr/>
          </w:pPr>
          <w:hyperlink w:anchor="__RefHeading___Toc10477745_73709187">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10477747_73709187">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13</w:t>
            </w:r>
          </w:hyperlink>
        </w:p>
        <w:p>
          <w:pPr>
            <w:pStyle w:val="Contents6"/>
            <w:tabs>
              <w:tab w:val="clear" w:pos="7609"/>
              <w:tab w:val="right" w:pos="9026" w:leader="dot"/>
            </w:tabs>
            <w:rPr/>
          </w:pPr>
          <w:hyperlink w:anchor="__RefHeading___Toc10477749_73709187">
            <w:r>
              <w:rPr>
                <w:webHidden/>
                <w:rStyle w:val="IndexLink"/>
                <w:rtl w:val="true"/>
              </w:rPr>
              <w:t>اشارة</w:t>
            </w:r>
            <w:r>
              <w:rPr>
                <w:rStyle w:val="IndexLink"/>
                <w:rtl w:val="true"/>
              </w:rPr>
              <w:tab/>
            </w:r>
            <w:r>
              <w:rPr>
                <w:rStyle w:val="IndexLink"/>
              </w:rPr>
              <w:t>13</w:t>
            </w:r>
          </w:hyperlink>
        </w:p>
        <w:p>
          <w:pPr>
            <w:pStyle w:val="Contents6"/>
            <w:tabs>
              <w:tab w:val="clear" w:pos="7609"/>
              <w:tab w:val="right" w:pos="9026" w:leader="dot"/>
            </w:tabs>
            <w:rPr/>
          </w:pPr>
          <w:hyperlink w:anchor="__RefHeading___Toc10477751_73709187">
            <w:r>
              <w:rPr>
                <w:webHidden/>
                <w:rStyle w:val="IndexLink"/>
                <w:rtl w:val="true"/>
              </w:rPr>
              <w:t>اشتراط تقارن التكبيرة</w:t>
            </w:r>
            <w:r>
              <w:rPr>
                <w:rStyle w:val="IndexLink"/>
                <w:rtl w:val="true"/>
              </w:rPr>
              <w:tab/>
            </w:r>
            <w:r>
              <w:rPr>
                <w:rStyle w:val="IndexLink"/>
              </w:rPr>
              <w:t>15</w:t>
            </w:r>
          </w:hyperlink>
        </w:p>
        <w:p>
          <w:pPr>
            <w:pStyle w:val="Contents6"/>
            <w:tabs>
              <w:tab w:val="clear" w:pos="7609"/>
              <w:tab w:val="right" w:pos="9026" w:leader="dot"/>
            </w:tabs>
            <w:rPr/>
          </w:pPr>
          <w:hyperlink w:anchor="__RefHeading___Toc10477753_73709187">
            <w:r>
              <w:rPr>
                <w:webHidden/>
                <w:rStyle w:val="IndexLink"/>
                <w:rtl w:val="true"/>
              </w:rPr>
              <w:t>نيّة القُربة</w:t>
            </w:r>
            <w:r>
              <w:rPr>
                <w:rStyle w:val="IndexLink"/>
                <w:rtl w:val="true"/>
              </w:rPr>
              <w:tab/>
            </w:r>
            <w:r>
              <w:rPr>
                <w:rStyle w:val="IndexLink"/>
              </w:rPr>
              <w:t>16</w:t>
            </w:r>
          </w:hyperlink>
        </w:p>
        <w:p>
          <w:pPr>
            <w:pStyle w:val="Contents6"/>
            <w:tabs>
              <w:tab w:val="clear" w:pos="7609"/>
              <w:tab w:val="right" w:pos="9026" w:leader="dot"/>
            </w:tabs>
            <w:rPr/>
          </w:pPr>
          <w:hyperlink w:anchor="__RefHeading___Toc10477755_73709187">
            <w:r>
              <w:rPr>
                <w:webHidden/>
                <w:rStyle w:val="IndexLink"/>
                <w:rtl w:val="true"/>
              </w:rPr>
              <w:t>مسائل</w:t>
            </w:r>
            <w:r>
              <w:rPr>
                <w:rStyle w:val="IndexLink"/>
                <w:rtl w:val="true"/>
              </w:rPr>
              <w:t>:</w:t>
              <w:tab/>
            </w:r>
            <w:r>
              <w:rPr>
                <w:rStyle w:val="IndexLink"/>
              </w:rPr>
              <w:t>19</w:t>
            </w:r>
          </w:hyperlink>
        </w:p>
        <w:p>
          <w:pPr>
            <w:pStyle w:val="Contents6"/>
            <w:tabs>
              <w:tab w:val="clear" w:pos="7609"/>
              <w:tab w:val="right" w:pos="9026" w:leader="dot"/>
            </w:tabs>
            <w:rPr/>
          </w:pPr>
          <w:hyperlink w:anchor="__RefHeading___Toc10477757_73709187">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10477759_73709187">
            <w:r>
              <w:rPr>
                <w:webHidden/>
                <w:rStyle w:val="IndexLink"/>
                <w:rtl w:val="true"/>
              </w:rPr>
              <w:t>لزوم التعيّين</w:t>
            </w:r>
            <w:r>
              <w:rPr>
                <w:rStyle w:val="IndexLink"/>
                <w:rtl w:val="true"/>
              </w:rPr>
              <w:tab/>
            </w:r>
            <w:r>
              <w:rPr>
                <w:rStyle w:val="IndexLink"/>
              </w:rPr>
              <w:t>19</w:t>
            </w:r>
          </w:hyperlink>
        </w:p>
        <w:p>
          <w:pPr>
            <w:pStyle w:val="Contents6"/>
            <w:tabs>
              <w:tab w:val="clear" w:pos="7609"/>
              <w:tab w:val="right" w:pos="9026" w:leader="dot"/>
            </w:tabs>
            <w:rPr/>
          </w:pPr>
          <w:hyperlink w:anchor="__RefHeading___Toc10477761_73709187">
            <w:r>
              <w:rPr>
                <w:webHidden/>
                <w:rStyle w:val="IndexLink"/>
                <w:rtl w:val="true"/>
              </w:rPr>
              <w:t>لا يجبُ قصد الوجوب أو الندب</w:t>
            </w:r>
            <w:r>
              <w:rPr>
                <w:rStyle w:val="IndexLink"/>
                <w:rtl w:val="true"/>
              </w:rPr>
              <w:tab/>
            </w:r>
            <w:r>
              <w:rPr>
                <w:rStyle w:val="IndexLink"/>
              </w:rPr>
              <w:t>21</w:t>
            </w:r>
          </w:hyperlink>
        </w:p>
        <w:p>
          <w:pPr>
            <w:pStyle w:val="Contents6"/>
            <w:tabs>
              <w:tab w:val="clear" w:pos="7609"/>
              <w:tab w:val="right" w:pos="9026" w:leader="dot"/>
            </w:tabs>
            <w:rPr/>
          </w:pPr>
          <w:hyperlink w:anchor="__RefHeading___Toc10477763_73709187">
            <w:r>
              <w:rPr>
                <w:webHidden/>
                <w:rStyle w:val="IndexLink"/>
                <w:rtl w:val="true"/>
              </w:rPr>
              <w:t>لا يجب قصد الأداء أو القضاء</w:t>
            </w:r>
            <w:r>
              <w:rPr>
                <w:rStyle w:val="IndexLink"/>
                <w:rtl w:val="true"/>
              </w:rPr>
              <w:tab/>
            </w:r>
            <w:r>
              <w:rPr>
                <w:rStyle w:val="IndexLink"/>
              </w:rPr>
              <w:t>21</w:t>
            </w:r>
          </w:hyperlink>
        </w:p>
        <w:p>
          <w:pPr>
            <w:pStyle w:val="Contents6"/>
            <w:tabs>
              <w:tab w:val="clear" w:pos="7609"/>
              <w:tab w:val="right" w:pos="9026" w:leader="dot"/>
            </w:tabs>
            <w:rPr/>
          </w:pPr>
          <w:hyperlink w:anchor="__RefHeading___Toc10477765_73709187">
            <w:r>
              <w:rPr>
                <w:webHidden/>
                <w:rStyle w:val="IndexLink"/>
                <w:rtl w:val="true"/>
              </w:rPr>
              <w:t>اعتبار استمرار النيّة إلى آخر الصَّلاة</w:t>
            </w:r>
            <w:r>
              <w:rPr>
                <w:rStyle w:val="IndexLink"/>
                <w:rtl w:val="true"/>
              </w:rPr>
              <w:tab/>
            </w:r>
            <w:r>
              <w:rPr>
                <w:rStyle w:val="IndexLink"/>
              </w:rPr>
              <w:t>23</w:t>
            </w:r>
          </w:hyperlink>
        </w:p>
        <w:p>
          <w:pPr>
            <w:pStyle w:val="Contents6"/>
            <w:tabs>
              <w:tab w:val="clear" w:pos="7609"/>
              <w:tab w:val="right" w:pos="9026" w:leader="dot"/>
            </w:tabs>
            <w:rPr/>
          </w:pPr>
          <w:hyperlink w:anchor="__RefHeading___Toc10477767_73709187">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10477769_73709187">
            <w:r>
              <w:rPr>
                <w:webHidden/>
                <w:rStyle w:val="IndexLink"/>
                <w:rtl w:val="true"/>
              </w:rPr>
              <w:t>نيّة القطع أو القاطع</w:t>
            </w:r>
            <w:r>
              <w:rPr>
                <w:rStyle w:val="IndexLink"/>
                <w:rtl w:val="true"/>
              </w:rPr>
              <w:tab/>
            </w:r>
            <w:r>
              <w:rPr>
                <w:rStyle w:val="IndexLink"/>
              </w:rPr>
              <w:t>25</w:t>
            </w:r>
          </w:hyperlink>
        </w:p>
        <w:p>
          <w:pPr>
            <w:pStyle w:val="Contents6"/>
            <w:tabs>
              <w:tab w:val="clear" w:pos="7609"/>
              <w:tab w:val="right" w:pos="9026" w:leader="dot"/>
            </w:tabs>
            <w:rPr/>
          </w:pPr>
          <w:hyperlink w:anchor="__RefHeading___Toc10477771_73709187">
            <w:r>
              <w:rPr>
                <w:webHidden/>
                <w:rStyle w:val="IndexLink"/>
                <w:rtl w:val="true"/>
              </w:rPr>
              <w:t>الضمائم المنضمّة إلى قصد الطاعة</w:t>
            </w:r>
            <w:r>
              <w:rPr>
                <w:rStyle w:val="IndexLink"/>
                <w:rtl w:val="true"/>
              </w:rPr>
              <w:tab/>
            </w:r>
            <w:r>
              <w:rPr>
                <w:rStyle w:val="IndexLink"/>
              </w:rPr>
              <w:t>28</w:t>
            </w:r>
          </w:hyperlink>
        </w:p>
        <w:p>
          <w:pPr>
            <w:pStyle w:val="Contents6"/>
            <w:tabs>
              <w:tab w:val="clear" w:pos="7609"/>
              <w:tab w:val="right" w:pos="9026" w:leader="dot"/>
            </w:tabs>
            <w:rPr/>
          </w:pPr>
          <w:hyperlink w:anchor="__RefHeading___Toc10477773_73709187">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0477775_73709187">
            <w:r>
              <w:rPr>
                <w:webHidden/>
                <w:rStyle w:val="IndexLink"/>
                <w:rtl w:val="true"/>
              </w:rPr>
              <w:t>حكم الضميمة المحرّمة في النيّة</w:t>
            </w:r>
            <w:r>
              <w:rPr>
                <w:rStyle w:val="IndexLink"/>
                <w:rtl w:val="true"/>
              </w:rPr>
              <w:tab/>
            </w:r>
            <w:r>
              <w:rPr>
                <w:rStyle w:val="IndexLink"/>
              </w:rPr>
              <w:t>28</w:t>
            </w:r>
          </w:hyperlink>
        </w:p>
        <w:p>
          <w:pPr>
            <w:pStyle w:val="Contents6"/>
            <w:tabs>
              <w:tab w:val="clear" w:pos="7609"/>
              <w:tab w:val="right" w:pos="9026" w:leader="dot"/>
            </w:tabs>
            <w:rPr/>
          </w:pPr>
          <w:hyperlink w:anchor="__RefHeading___Toc10477777_73709187">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0477779_73709187">
            <w:r>
              <w:rPr>
                <w:webHidden/>
                <w:rStyle w:val="IndexLink"/>
                <w:rtl w:val="true"/>
              </w:rPr>
              <w:t>أقسام الرّياء</w:t>
            </w:r>
            <w:r>
              <w:rPr>
                <w:rStyle w:val="IndexLink"/>
                <w:rtl w:val="true"/>
              </w:rPr>
              <w:tab/>
            </w:r>
            <w:r>
              <w:rPr>
                <w:rStyle w:val="IndexLink"/>
              </w:rPr>
              <w:t>29</w:t>
            </w:r>
          </w:hyperlink>
        </w:p>
        <w:p>
          <w:pPr>
            <w:pStyle w:val="Contents6"/>
            <w:tabs>
              <w:tab w:val="clear" w:pos="7609"/>
              <w:tab w:val="right" w:pos="9026" w:leader="dot"/>
            </w:tabs>
            <w:rPr/>
          </w:pPr>
          <w:hyperlink w:anchor="__RefHeading___Toc10477781_73709187">
            <w:r>
              <w:rPr>
                <w:webHidden/>
                <w:rStyle w:val="IndexLink"/>
                <w:rtl w:val="true"/>
              </w:rPr>
              <w:t>الضميمة الرّاجحة</w:t>
            </w:r>
            <w:r>
              <w:rPr>
                <w:rStyle w:val="IndexLink"/>
                <w:rtl w:val="true"/>
              </w:rPr>
              <w:tab/>
            </w:r>
            <w:r>
              <w:rPr>
                <w:rStyle w:val="IndexLink"/>
              </w:rPr>
              <w:t>32</w:t>
            </w:r>
          </w:hyperlink>
        </w:p>
        <w:p>
          <w:pPr>
            <w:pStyle w:val="Contents6"/>
            <w:tabs>
              <w:tab w:val="clear" w:pos="7609"/>
              <w:tab w:val="right" w:pos="9026" w:leader="dot"/>
            </w:tabs>
            <w:rPr/>
          </w:pPr>
          <w:hyperlink w:anchor="__RefHeading___Toc10477783_73709187">
            <w:r>
              <w:rPr>
                <w:webHidden/>
                <w:rStyle w:val="IndexLink"/>
                <w:rtl w:val="true"/>
              </w:rPr>
              <w:t>الضميمة المُباحة</w:t>
            </w:r>
            <w:r>
              <w:rPr>
                <w:rStyle w:val="IndexLink"/>
                <w:rtl w:val="true"/>
              </w:rPr>
              <w:tab/>
            </w:r>
            <w:r>
              <w:rPr>
                <w:rStyle w:val="IndexLink"/>
              </w:rPr>
              <w:t>33</w:t>
            </w:r>
          </w:hyperlink>
        </w:p>
        <w:p>
          <w:pPr>
            <w:pStyle w:val="Contents6"/>
            <w:tabs>
              <w:tab w:val="clear" w:pos="7609"/>
              <w:tab w:val="right" w:pos="9026" w:leader="dot"/>
            </w:tabs>
            <w:rPr/>
          </w:pPr>
          <w:hyperlink w:anchor="__RefHeading___Toc10477785_73709187">
            <w:r>
              <w:rPr>
                <w:webHidden/>
                <w:rStyle w:val="IndexLink"/>
                <w:rtl w:val="true"/>
              </w:rPr>
              <w:t>العدول من صلاةٍ إلى اُخرى</w:t>
            </w:r>
            <w:r>
              <w:rPr>
                <w:rStyle w:val="IndexLink"/>
                <w:rtl w:val="true"/>
              </w:rPr>
              <w:tab/>
            </w:r>
            <w:r>
              <w:rPr>
                <w:rStyle w:val="IndexLink"/>
              </w:rPr>
              <w:t>36</w:t>
            </w:r>
          </w:hyperlink>
        </w:p>
        <w:p>
          <w:pPr>
            <w:pStyle w:val="Contents6"/>
            <w:tabs>
              <w:tab w:val="clear" w:pos="7609"/>
              <w:tab w:val="right" w:pos="9026" w:leader="dot"/>
            </w:tabs>
            <w:rPr/>
          </w:pPr>
          <w:hyperlink w:anchor="__RefHeading___Toc10477787_7370918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10477789_73709187">
            <w:r>
              <w:rPr>
                <w:webHidden/>
                <w:rStyle w:val="IndexLink"/>
                <w:rtl w:val="true"/>
              </w:rPr>
              <w:t>موارد جَواز العدول</w:t>
            </w:r>
            <w:r>
              <w:rPr>
                <w:rStyle w:val="IndexLink"/>
                <w:rtl w:val="true"/>
              </w:rPr>
              <w:tab/>
            </w:r>
            <w:r>
              <w:rPr>
                <w:rStyle w:val="IndexLink"/>
              </w:rPr>
              <w:t>36</w:t>
            </w:r>
          </w:hyperlink>
        </w:p>
        <w:p>
          <w:pPr>
            <w:pStyle w:val="Contents5"/>
            <w:tabs>
              <w:tab w:val="clear" w:pos="7892"/>
              <w:tab w:val="right" w:pos="9026" w:leader="dot"/>
            </w:tabs>
            <w:rPr/>
          </w:pPr>
          <w:hyperlink w:anchor="__RefHeading___Toc10477791_73709187">
            <w:r>
              <w:rPr>
                <w:webHidden/>
                <w:rStyle w:val="IndexLink"/>
                <w:rtl w:val="true"/>
              </w:rPr>
              <w:t>الثاني</w:t>
            </w:r>
            <w:r>
              <w:rPr>
                <w:rStyle w:val="IndexLink"/>
                <w:rtl w:val="true"/>
              </w:rPr>
              <w:t xml:space="preserve">: </w:t>
            </w:r>
            <w:r>
              <w:rPr>
                <w:rStyle w:val="IndexLink"/>
                <w:rtl w:val="true"/>
              </w:rPr>
              <w:t>تكبيرة الإحرام</w:t>
            </w:r>
            <w:r>
              <w:rPr>
                <w:rStyle w:val="IndexLink"/>
                <w:rtl w:val="true"/>
              </w:rPr>
              <w:tab/>
            </w:r>
            <w:r>
              <w:rPr>
                <w:rStyle w:val="IndexLink"/>
              </w:rPr>
              <w:t>43</w:t>
            </w:r>
          </w:hyperlink>
        </w:p>
        <w:p>
          <w:pPr>
            <w:pStyle w:val="Contents6"/>
            <w:tabs>
              <w:tab w:val="clear" w:pos="7609"/>
              <w:tab w:val="right" w:pos="9026" w:leader="dot"/>
            </w:tabs>
            <w:rPr/>
          </w:pPr>
          <w:hyperlink w:anchor="__RefHeading___Toc10477793_73709187">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0477795_73709187">
            <w:r>
              <w:rPr>
                <w:webHidden/>
                <w:rStyle w:val="IndexLink"/>
                <w:rtl w:val="true"/>
              </w:rPr>
              <w:t>تكبيرة الإحرام من الأركان</w:t>
            </w:r>
            <w:r>
              <w:rPr>
                <w:rStyle w:val="IndexLink"/>
                <w:rtl w:val="true"/>
              </w:rPr>
              <w:tab/>
            </w:r>
            <w:r>
              <w:rPr>
                <w:rStyle w:val="IndexLink"/>
              </w:rPr>
              <w:t>44</w:t>
            </w:r>
          </w:hyperlink>
        </w:p>
        <w:p>
          <w:pPr>
            <w:pStyle w:val="Contents6"/>
            <w:tabs>
              <w:tab w:val="clear" w:pos="7609"/>
              <w:tab w:val="right" w:pos="9026" w:leader="dot"/>
            </w:tabs>
            <w:rPr/>
          </w:pPr>
          <w:hyperlink w:anchor="__RefHeading___Toc10477797_73709187">
            <w:r>
              <w:rPr>
                <w:webHidden/>
                <w:rStyle w:val="IndexLink"/>
                <w:rtl w:val="true"/>
              </w:rPr>
              <w:t>صورة تكبيرة الإحرام</w:t>
            </w:r>
            <w:r>
              <w:rPr>
                <w:rStyle w:val="IndexLink"/>
                <w:rtl w:val="true"/>
              </w:rPr>
              <w:tab/>
            </w:r>
            <w:r>
              <w:rPr>
                <w:rStyle w:val="IndexLink"/>
              </w:rPr>
              <w:t>48</w:t>
            </w:r>
          </w:hyperlink>
        </w:p>
        <w:p>
          <w:pPr>
            <w:pStyle w:val="Contents6"/>
            <w:tabs>
              <w:tab w:val="clear" w:pos="7609"/>
              <w:tab w:val="right" w:pos="9026" w:leader="dot"/>
            </w:tabs>
            <w:rPr/>
          </w:pPr>
          <w:hyperlink w:anchor="__RefHeading___Toc10477799_73709187">
            <w:r>
              <w:rPr>
                <w:webHidden/>
                <w:rStyle w:val="IndexLink"/>
                <w:rtl w:val="true"/>
              </w:rPr>
              <w:t>العاجز عن النطق بالتكبيرة صحيحاً</w:t>
            </w:r>
            <w:r>
              <w:rPr>
                <w:rStyle w:val="IndexLink"/>
                <w:rtl w:val="true"/>
              </w:rPr>
              <w:tab/>
            </w:r>
            <w:r>
              <w:rPr>
                <w:rStyle w:val="IndexLink"/>
              </w:rPr>
              <w:t>50</w:t>
            </w:r>
          </w:hyperlink>
        </w:p>
        <w:p>
          <w:pPr>
            <w:pStyle w:val="Contents6"/>
            <w:tabs>
              <w:tab w:val="clear" w:pos="7609"/>
              <w:tab w:val="right" w:pos="9026" w:leader="dot"/>
            </w:tabs>
            <w:rPr/>
          </w:pPr>
          <w:hyperlink w:anchor="__RefHeading___Toc10477801_73709187">
            <w:r>
              <w:rPr>
                <w:webHidden/>
                <w:rStyle w:val="IndexLink"/>
                <w:rtl w:val="true"/>
              </w:rPr>
              <w:t>تكبيرة الأخرس</w:t>
            </w:r>
            <w:r>
              <w:rPr>
                <w:rStyle w:val="IndexLink"/>
                <w:rtl w:val="true"/>
              </w:rPr>
              <w:tab/>
            </w:r>
            <w:r>
              <w:rPr>
                <w:rStyle w:val="IndexLink"/>
              </w:rPr>
              <w:t>53</w:t>
            </w:r>
          </w:hyperlink>
        </w:p>
        <w:p>
          <w:pPr>
            <w:pStyle w:val="Contents6"/>
            <w:tabs>
              <w:tab w:val="clear" w:pos="7609"/>
              <w:tab w:val="right" w:pos="9026" w:leader="dot"/>
            </w:tabs>
            <w:rPr/>
          </w:pPr>
          <w:hyperlink w:anchor="__RefHeading___Toc10477803_73709187">
            <w:r>
              <w:rPr>
                <w:webHidden/>
                <w:rStyle w:val="IndexLink"/>
                <w:rtl w:val="true"/>
              </w:rPr>
              <w:t>رَفعُ اليدين حال التكبيرة</w:t>
            </w:r>
            <w:r>
              <w:rPr>
                <w:rStyle w:val="IndexLink"/>
                <w:rtl w:val="true"/>
              </w:rPr>
              <w:tab/>
            </w:r>
            <w:r>
              <w:rPr>
                <w:rStyle w:val="IndexLink"/>
              </w:rPr>
              <w:t>55</w:t>
            </w:r>
          </w:hyperlink>
        </w:p>
        <w:p>
          <w:pPr>
            <w:pStyle w:val="Contents5"/>
            <w:tabs>
              <w:tab w:val="clear" w:pos="7892"/>
              <w:tab w:val="right" w:pos="9026" w:leader="dot"/>
            </w:tabs>
            <w:rPr/>
          </w:pPr>
          <w:hyperlink w:anchor="__RefHeading___Toc10477805_73709187">
            <w:r>
              <w:rPr>
                <w:webHidden/>
                <w:rStyle w:val="IndexLink"/>
                <w:rtl w:val="true"/>
              </w:rPr>
              <w:t>الثالث</w:t>
            </w:r>
            <w:r>
              <w:rPr>
                <w:rStyle w:val="IndexLink"/>
                <w:rtl w:val="true"/>
              </w:rPr>
              <w:t xml:space="preserve">: </w:t>
            </w:r>
            <w:r>
              <w:rPr>
                <w:rStyle w:val="IndexLink"/>
                <w:rtl w:val="true"/>
              </w:rPr>
              <w:t>القيام</w:t>
            </w:r>
            <w:r>
              <w:rPr>
                <w:rStyle w:val="IndexLink"/>
                <w:rtl w:val="true"/>
              </w:rPr>
              <w:tab/>
            </w:r>
            <w:r>
              <w:rPr>
                <w:rStyle w:val="IndexLink"/>
              </w:rPr>
              <w:t>59</w:t>
            </w:r>
          </w:hyperlink>
        </w:p>
        <w:p>
          <w:pPr>
            <w:pStyle w:val="Contents6"/>
            <w:tabs>
              <w:tab w:val="clear" w:pos="7609"/>
              <w:tab w:val="right" w:pos="9026" w:leader="dot"/>
            </w:tabs>
            <w:rPr/>
          </w:pPr>
          <w:hyperlink w:anchor="__RefHeading___Toc10477807_73709187">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0477809_73709187">
            <w:r>
              <w:rPr>
                <w:webHidden/>
                <w:rStyle w:val="IndexLink"/>
                <w:rtl w:val="true"/>
              </w:rPr>
              <w:t>ما يعتبرُ في القيام</w:t>
            </w:r>
            <w:r>
              <w:rPr>
                <w:rStyle w:val="IndexLink"/>
                <w:rtl w:val="true"/>
              </w:rPr>
              <w:tab/>
            </w:r>
            <w:r>
              <w:rPr>
                <w:rStyle w:val="IndexLink"/>
              </w:rPr>
              <w:t>61</w:t>
            </w:r>
          </w:hyperlink>
        </w:p>
        <w:p>
          <w:pPr>
            <w:pStyle w:val="Contents6"/>
            <w:tabs>
              <w:tab w:val="clear" w:pos="7609"/>
              <w:tab w:val="right" w:pos="9026" w:leader="dot"/>
            </w:tabs>
            <w:rPr/>
          </w:pPr>
          <w:hyperlink w:anchor="__RefHeading___Toc10477811_73709187">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10477813_73709187">
            <w:r>
              <w:rPr>
                <w:webHidden/>
                <w:rStyle w:val="IndexLink"/>
                <w:rtl w:val="true"/>
              </w:rPr>
              <w:t>إقامة الصُّلب</w:t>
            </w:r>
            <w:r>
              <w:rPr>
                <w:rStyle w:val="IndexLink"/>
                <w:rtl w:val="true"/>
              </w:rPr>
              <w:tab/>
            </w:r>
            <w:r>
              <w:rPr>
                <w:rStyle w:val="IndexLink"/>
              </w:rPr>
              <w:t>61</w:t>
            </w:r>
          </w:hyperlink>
        </w:p>
        <w:p>
          <w:pPr>
            <w:pStyle w:val="Contents6"/>
            <w:tabs>
              <w:tab w:val="clear" w:pos="7609"/>
              <w:tab w:val="right" w:pos="9026" w:leader="dot"/>
            </w:tabs>
            <w:rPr/>
          </w:pPr>
          <w:hyperlink w:anchor="__RefHeading___Toc10477815_73709187">
            <w:r>
              <w:rPr>
                <w:webHidden/>
                <w:rStyle w:val="IndexLink"/>
                <w:rtl w:val="true"/>
              </w:rPr>
              <w:t>الإستقرار</w:t>
            </w:r>
            <w:r>
              <w:rPr>
                <w:rStyle w:val="IndexLink"/>
                <w:rtl w:val="true"/>
              </w:rPr>
              <w:tab/>
            </w:r>
            <w:r>
              <w:rPr>
                <w:rStyle w:val="IndexLink"/>
              </w:rPr>
              <w:t>62</w:t>
            </w:r>
          </w:hyperlink>
        </w:p>
        <w:p>
          <w:pPr>
            <w:pStyle w:val="Contents6"/>
            <w:tabs>
              <w:tab w:val="clear" w:pos="7609"/>
              <w:tab w:val="right" w:pos="9026" w:leader="dot"/>
            </w:tabs>
            <w:rPr/>
          </w:pPr>
          <w:hyperlink w:anchor="__RefHeading___Toc10477817_73709187">
            <w:r>
              <w:rPr>
                <w:webHidden/>
                <w:rStyle w:val="IndexLink"/>
                <w:rtl w:val="true"/>
              </w:rPr>
              <w:t>الإستقلال على المشهور</w:t>
            </w:r>
            <w:r>
              <w:rPr>
                <w:rStyle w:val="IndexLink"/>
                <w:rtl w:val="true"/>
              </w:rPr>
              <w:tab/>
            </w:r>
            <w:r>
              <w:rPr>
                <w:rStyle w:val="IndexLink"/>
              </w:rPr>
              <w:t>63</w:t>
            </w:r>
          </w:hyperlink>
        </w:p>
        <w:p>
          <w:pPr>
            <w:pStyle w:val="Contents6"/>
            <w:tabs>
              <w:tab w:val="clear" w:pos="7609"/>
              <w:tab w:val="right" w:pos="9026" w:leader="dot"/>
            </w:tabs>
            <w:rPr/>
          </w:pPr>
          <w:hyperlink w:anchor="__RefHeading___Toc10477819_73709187">
            <w:r>
              <w:rPr>
                <w:webHidden/>
                <w:rStyle w:val="IndexLink"/>
                <w:rtl w:val="true"/>
              </w:rPr>
              <w:t>عدم التفريج الفاحش بين الرِّجلين</w:t>
            </w:r>
            <w:r>
              <w:rPr>
                <w:rStyle w:val="IndexLink"/>
                <w:rtl w:val="true"/>
              </w:rPr>
              <w:tab/>
            </w:r>
            <w:r>
              <w:rPr>
                <w:rStyle w:val="IndexLink"/>
              </w:rPr>
              <w:t>65</w:t>
            </w:r>
          </w:hyperlink>
        </w:p>
        <w:p>
          <w:pPr>
            <w:pStyle w:val="Contents6"/>
            <w:tabs>
              <w:tab w:val="clear" w:pos="7609"/>
              <w:tab w:val="right" w:pos="9026" w:leader="dot"/>
            </w:tabs>
            <w:rPr/>
          </w:pPr>
          <w:hyperlink w:anchor="__RefHeading___Toc10477821_73709187">
            <w:r>
              <w:rPr>
                <w:webHidden/>
                <w:rStyle w:val="IndexLink"/>
                <w:rtl w:val="true"/>
              </w:rPr>
              <w:t>القيام على رجلين</w:t>
            </w:r>
            <w:r>
              <w:rPr>
                <w:rStyle w:val="IndexLink"/>
                <w:rtl w:val="true"/>
              </w:rPr>
              <w:tab/>
            </w:r>
            <w:r>
              <w:rPr>
                <w:rStyle w:val="IndexLink"/>
              </w:rPr>
              <w:t>66</w:t>
            </w:r>
          </w:hyperlink>
        </w:p>
        <w:p>
          <w:pPr>
            <w:pStyle w:val="Contents6"/>
            <w:tabs>
              <w:tab w:val="clear" w:pos="7609"/>
              <w:tab w:val="right" w:pos="9026" w:leader="dot"/>
            </w:tabs>
            <w:rPr/>
          </w:pPr>
          <w:hyperlink w:anchor="__RefHeading___Toc10477823_73709187">
            <w:r>
              <w:rPr>
                <w:webHidden/>
                <w:rStyle w:val="IndexLink"/>
                <w:rtl w:val="true"/>
              </w:rPr>
              <w:t>تنبيهات</w:t>
            </w:r>
            <w:r>
              <w:rPr>
                <w:rStyle w:val="IndexLink"/>
                <w:rtl w:val="true"/>
              </w:rPr>
              <w:t>:</w:t>
              <w:tab/>
            </w:r>
            <w:r>
              <w:rPr>
                <w:rStyle w:val="IndexLink"/>
              </w:rPr>
              <w:t>68</w:t>
            </w:r>
          </w:hyperlink>
        </w:p>
        <w:p>
          <w:pPr>
            <w:pStyle w:val="Contents6"/>
            <w:tabs>
              <w:tab w:val="clear" w:pos="7609"/>
              <w:tab w:val="right" w:pos="9026" w:leader="dot"/>
            </w:tabs>
            <w:rPr/>
          </w:pPr>
          <w:hyperlink w:anchor="__RefHeading___Toc10477825_73709187">
            <w:r>
              <w:rPr>
                <w:webHidden/>
                <w:rStyle w:val="IndexLink"/>
                <w:rtl w:val="true"/>
              </w:rPr>
              <w:t>نسيان الإنتصاب أو الاستقلال أو الاستقرار</w:t>
            </w:r>
            <w:r>
              <w:rPr>
                <w:rStyle w:val="IndexLink"/>
                <w:rtl w:val="true"/>
              </w:rPr>
              <w:tab/>
            </w:r>
            <w:r>
              <w:rPr>
                <w:rStyle w:val="IndexLink"/>
              </w:rPr>
              <w:t>68</w:t>
            </w:r>
          </w:hyperlink>
        </w:p>
        <w:p>
          <w:pPr>
            <w:pStyle w:val="Contents6"/>
            <w:tabs>
              <w:tab w:val="clear" w:pos="7609"/>
              <w:tab w:val="right" w:pos="9026" w:leader="dot"/>
            </w:tabs>
            <w:rPr/>
          </w:pPr>
          <w:hyperlink w:anchor="__RefHeading___Toc10477827_73709187">
            <w:r>
              <w:rPr>
                <w:webHidden/>
                <w:rStyle w:val="IndexLink"/>
                <w:rtl w:val="true"/>
              </w:rPr>
              <w:t>دوران الأمر بين القيام الاضطراري والجلوس</w:t>
            </w:r>
            <w:r>
              <w:rPr>
                <w:rStyle w:val="IndexLink"/>
                <w:rtl w:val="true"/>
              </w:rPr>
              <w:tab/>
            </w:r>
            <w:r>
              <w:rPr>
                <w:rStyle w:val="IndexLink"/>
              </w:rPr>
              <w:t>70</w:t>
            </w:r>
          </w:hyperlink>
        </w:p>
        <w:p>
          <w:pPr>
            <w:pStyle w:val="Contents6"/>
            <w:tabs>
              <w:tab w:val="clear" w:pos="7609"/>
              <w:tab w:val="right" w:pos="9026" w:leader="dot"/>
            </w:tabs>
            <w:rPr/>
          </w:pPr>
          <w:hyperlink w:anchor="__RefHeading___Toc10477829_73709187">
            <w:r>
              <w:rPr>
                <w:webHidden/>
                <w:rStyle w:val="IndexLink"/>
                <w:rtl w:val="true"/>
              </w:rPr>
              <w:t>دوران الأمر بين الاُمور المعتبرة في الصَّلاة</w:t>
            </w:r>
            <w:r>
              <w:rPr>
                <w:rStyle w:val="IndexLink"/>
                <w:rtl w:val="true"/>
              </w:rPr>
              <w:tab/>
            </w:r>
            <w:r>
              <w:rPr>
                <w:rStyle w:val="IndexLink"/>
              </w:rPr>
              <w:t>73</w:t>
            </w:r>
          </w:hyperlink>
        </w:p>
        <w:p>
          <w:pPr>
            <w:pStyle w:val="Contents6"/>
            <w:tabs>
              <w:tab w:val="clear" w:pos="7609"/>
              <w:tab w:val="right" w:pos="9026" w:leader="dot"/>
            </w:tabs>
            <w:rPr/>
          </w:pPr>
          <w:hyperlink w:anchor="__RefHeading___Toc10477831_73709187">
            <w:r>
              <w:rPr>
                <w:webHidden/>
                <w:rStyle w:val="IndexLink"/>
                <w:rtl w:val="true"/>
              </w:rPr>
              <w:t>بدليّة الجلوس عن القيام</w:t>
            </w:r>
            <w:r>
              <w:rPr>
                <w:rStyle w:val="IndexLink"/>
                <w:rtl w:val="true"/>
              </w:rPr>
              <w:tab/>
            </w:r>
            <w:r>
              <w:rPr>
                <w:rStyle w:val="IndexLink"/>
              </w:rPr>
              <w:t>76</w:t>
            </w:r>
          </w:hyperlink>
        </w:p>
        <w:p>
          <w:pPr>
            <w:pStyle w:val="Contents6"/>
            <w:tabs>
              <w:tab w:val="clear" w:pos="7609"/>
              <w:tab w:val="right" w:pos="9026" w:leader="dot"/>
            </w:tabs>
            <w:rPr/>
          </w:pPr>
          <w:hyperlink w:anchor="__RefHeading___Toc10477833_73709187">
            <w:r>
              <w:rPr>
                <w:webHidden/>
                <w:rStyle w:val="IndexLink"/>
                <w:rtl w:val="true"/>
              </w:rPr>
              <w:t>صلاة المُضطَجع</w:t>
            </w:r>
            <w:r>
              <w:rPr>
                <w:rStyle w:val="IndexLink"/>
                <w:rtl w:val="true"/>
              </w:rPr>
              <w:tab/>
            </w:r>
            <w:r>
              <w:rPr>
                <w:rStyle w:val="IndexLink"/>
              </w:rPr>
              <w:t>79</w:t>
            </w:r>
          </w:hyperlink>
        </w:p>
        <w:p>
          <w:pPr>
            <w:pStyle w:val="Contents6"/>
            <w:tabs>
              <w:tab w:val="clear" w:pos="7609"/>
              <w:tab w:val="right" w:pos="9026" w:leader="dot"/>
            </w:tabs>
            <w:rPr/>
          </w:pPr>
          <w:hyperlink w:anchor="__RefHeading___Toc10477835_73709187">
            <w:r>
              <w:rPr>
                <w:webHidden/>
                <w:rStyle w:val="IndexLink"/>
                <w:rtl w:val="true"/>
              </w:rPr>
              <w:t>الإيماء للرّكوع والسّجود</w:t>
            </w:r>
            <w:r>
              <w:rPr>
                <w:rStyle w:val="IndexLink"/>
                <w:rtl w:val="true"/>
              </w:rPr>
              <w:tab/>
            </w:r>
            <w:r>
              <w:rPr>
                <w:rStyle w:val="IndexLink"/>
              </w:rPr>
              <w:t>82</w:t>
            </w:r>
          </w:hyperlink>
        </w:p>
        <w:p>
          <w:pPr>
            <w:pStyle w:val="Contents6"/>
            <w:tabs>
              <w:tab w:val="clear" w:pos="7609"/>
              <w:tab w:val="right" w:pos="9026" w:leader="dot"/>
            </w:tabs>
            <w:rPr/>
          </w:pPr>
          <w:hyperlink w:anchor="__RefHeading___Toc10477837_7370918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0477839_73709187">
            <w:r>
              <w:rPr>
                <w:webHidden/>
                <w:rStyle w:val="IndexLink"/>
                <w:rtl w:val="true"/>
              </w:rPr>
              <w:t>أقول</w:t>
            </w:r>
            <w:r>
              <w:rPr>
                <w:rStyle w:val="IndexLink"/>
                <w:rtl w:val="true"/>
              </w:rPr>
              <w:t xml:space="preserve">: </w:t>
            </w:r>
            <w:r>
              <w:rPr>
                <w:rStyle w:val="IndexLink"/>
                <w:rtl w:val="true"/>
              </w:rPr>
              <w:t>بقي الكلام في أمرين</w:t>
            </w:r>
            <w:r>
              <w:rPr>
                <w:rStyle w:val="IndexLink"/>
                <w:rtl w:val="true"/>
              </w:rPr>
              <w:t>:</w:t>
              <w:tab/>
            </w:r>
            <w:r>
              <w:rPr>
                <w:rStyle w:val="IndexLink"/>
              </w:rPr>
              <w:t>85</w:t>
            </w:r>
          </w:hyperlink>
        </w:p>
        <w:p>
          <w:pPr>
            <w:pStyle w:val="Contents6"/>
            <w:tabs>
              <w:tab w:val="clear" w:pos="7609"/>
              <w:tab w:val="right" w:pos="9026" w:leader="dot"/>
            </w:tabs>
            <w:rPr/>
          </w:pPr>
          <w:hyperlink w:anchor="__RefHeading___Toc10477841_73709187">
            <w:r>
              <w:rPr>
                <w:webHidden/>
                <w:rStyle w:val="IndexLink"/>
                <w:rtl w:val="true"/>
              </w:rPr>
              <w:t>جعل إيماء سجوده أخفض منه لركوعه</w:t>
            </w:r>
            <w:r>
              <w:rPr>
                <w:rStyle w:val="IndexLink"/>
                <w:rtl w:val="true"/>
              </w:rPr>
              <w:tab/>
            </w:r>
            <w:r>
              <w:rPr>
                <w:rStyle w:val="IndexLink"/>
              </w:rPr>
              <w:t>85</w:t>
            </w:r>
          </w:hyperlink>
        </w:p>
        <w:p>
          <w:pPr>
            <w:pStyle w:val="Contents6"/>
            <w:tabs>
              <w:tab w:val="clear" w:pos="7609"/>
              <w:tab w:val="right" w:pos="9026" w:leader="dot"/>
            </w:tabs>
            <w:rPr/>
          </w:pPr>
          <w:hyperlink w:anchor="__RefHeading___Toc10477843_73709187">
            <w:r>
              <w:rPr>
                <w:webHidden/>
                <w:rStyle w:val="IndexLink"/>
                <w:rtl w:val="true"/>
              </w:rPr>
              <w:t>الواجبُ هو الإيماء المجرّد</w:t>
            </w:r>
            <w:r>
              <w:rPr>
                <w:rStyle w:val="IndexLink"/>
                <w:rtl w:val="true"/>
              </w:rPr>
              <w:tab/>
            </w:r>
            <w:r>
              <w:rPr>
                <w:rStyle w:val="IndexLink"/>
              </w:rPr>
              <w:t>86</w:t>
            </w:r>
          </w:hyperlink>
        </w:p>
        <w:p>
          <w:pPr>
            <w:pStyle w:val="Contents6"/>
            <w:tabs>
              <w:tab w:val="clear" w:pos="7609"/>
              <w:tab w:val="right" w:pos="9026" w:leader="dot"/>
            </w:tabs>
            <w:rPr/>
          </w:pPr>
          <w:hyperlink w:anchor="__RefHeading___Toc10477845_73709187">
            <w:r>
              <w:rPr>
                <w:webHidden/>
                <w:rStyle w:val="IndexLink"/>
                <w:rtl w:val="true"/>
              </w:rPr>
              <w:t>هل يجوز للعاجز البدار</w:t>
            </w:r>
            <w:r>
              <w:rPr>
                <w:rStyle w:val="IndexLink"/>
                <w:rtl w:val="true"/>
              </w:rPr>
              <w:tab/>
            </w:r>
            <w:r>
              <w:rPr>
                <w:rStyle w:val="IndexLink"/>
              </w:rPr>
              <w:t>89</w:t>
            </w:r>
          </w:hyperlink>
        </w:p>
        <w:p>
          <w:pPr>
            <w:pStyle w:val="Contents5"/>
            <w:tabs>
              <w:tab w:val="clear" w:pos="7892"/>
              <w:tab w:val="right" w:pos="9026" w:leader="dot"/>
            </w:tabs>
            <w:rPr/>
          </w:pPr>
          <w:hyperlink w:anchor="__RefHeading___Toc10477847_73709187">
            <w:r>
              <w:rPr>
                <w:webHidden/>
                <w:rStyle w:val="IndexLink"/>
                <w:rtl w:val="true"/>
              </w:rPr>
              <w:t>الرابع</w:t>
            </w:r>
            <w:r>
              <w:rPr>
                <w:rStyle w:val="IndexLink"/>
                <w:rtl w:val="true"/>
              </w:rPr>
              <w:t xml:space="preserve">: </w:t>
            </w:r>
            <w:r>
              <w:rPr>
                <w:rStyle w:val="IndexLink"/>
                <w:rtl w:val="true"/>
              </w:rPr>
              <w:t>القراءة</w:t>
            </w:r>
            <w:r>
              <w:rPr>
                <w:rStyle w:val="IndexLink"/>
                <w:rtl w:val="true"/>
              </w:rPr>
              <w:tab/>
            </w:r>
            <w:r>
              <w:rPr>
                <w:rStyle w:val="IndexLink"/>
              </w:rPr>
              <w:t>91</w:t>
            </w:r>
          </w:hyperlink>
        </w:p>
        <w:p>
          <w:pPr>
            <w:pStyle w:val="Contents6"/>
            <w:tabs>
              <w:tab w:val="clear" w:pos="7609"/>
              <w:tab w:val="right" w:pos="9026" w:leader="dot"/>
            </w:tabs>
            <w:rPr/>
          </w:pPr>
          <w:hyperlink w:anchor="__RefHeading___Toc10477849_73709187">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0477851_73709187">
            <w:r>
              <w:rPr>
                <w:webHidden/>
                <w:rStyle w:val="IndexLink"/>
                <w:rtl w:val="true"/>
              </w:rPr>
              <w:t>وجوب السّورة في الثنائية والأوليين من غيرها</w:t>
            </w:r>
            <w:r>
              <w:rPr>
                <w:rStyle w:val="IndexLink"/>
                <w:rtl w:val="true"/>
              </w:rPr>
              <w:tab/>
            </w:r>
            <w:r>
              <w:rPr>
                <w:rStyle w:val="IndexLink"/>
              </w:rPr>
              <w:t>93</w:t>
            </w:r>
          </w:hyperlink>
        </w:p>
        <w:p>
          <w:pPr>
            <w:pStyle w:val="Contents6"/>
            <w:tabs>
              <w:tab w:val="clear" w:pos="7609"/>
              <w:tab w:val="right" w:pos="9026" w:leader="dot"/>
            </w:tabs>
            <w:rPr/>
          </w:pPr>
          <w:hyperlink w:anchor="__RefHeading___Toc10477853_73709187">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0477855_73709187">
            <w:r>
              <w:rPr>
                <w:webHidden/>
                <w:rStyle w:val="IndexLink"/>
                <w:rtl w:val="true"/>
              </w:rPr>
              <w:t>أدلّة وجوبُ السّورة</w:t>
            </w:r>
            <w:r>
              <w:rPr>
                <w:rStyle w:val="IndexLink"/>
                <w:rtl w:val="true"/>
              </w:rPr>
              <w:tab/>
            </w:r>
            <w:r>
              <w:rPr>
                <w:rStyle w:val="IndexLink"/>
              </w:rPr>
              <w:t>94</w:t>
            </w:r>
          </w:hyperlink>
        </w:p>
        <w:p>
          <w:pPr>
            <w:pStyle w:val="Contents6"/>
            <w:tabs>
              <w:tab w:val="clear" w:pos="7609"/>
              <w:tab w:val="right" w:pos="9026" w:leader="dot"/>
            </w:tabs>
            <w:rPr/>
          </w:pPr>
          <w:hyperlink w:anchor="__RefHeading___Toc10477857_73709187">
            <w:r>
              <w:rPr>
                <w:webHidden/>
                <w:rStyle w:val="IndexLink"/>
                <w:rtl w:val="true"/>
              </w:rPr>
              <w:t>عدم وجوب السّورة الكاملة في الصَّلاة</w:t>
            </w:r>
            <w:r>
              <w:rPr>
                <w:rStyle w:val="IndexLink"/>
                <w:rtl w:val="true"/>
              </w:rPr>
              <w:tab/>
            </w:r>
            <w:r>
              <w:rPr>
                <w:rStyle w:val="IndexLink"/>
              </w:rPr>
              <w:t>100</w:t>
            </w:r>
          </w:hyperlink>
        </w:p>
        <w:p>
          <w:pPr>
            <w:pStyle w:val="Contents6"/>
            <w:tabs>
              <w:tab w:val="clear" w:pos="7609"/>
              <w:tab w:val="right" w:pos="9026" w:leader="dot"/>
            </w:tabs>
            <w:rPr/>
          </w:pPr>
          <w:hyperlink w:anchor="__RefHeading___Toc10477859_73709187">
            <w:r>
              <w:rPr>
                <w:webHidden/>
                <w:rStyle w:val="IndexLink"/>
                <w:rtl w:val="true"/>
              </w:rPr>
              <w:t>موارد سقوط السُّورة</w:t>
            </w:r>
            <w:r>
              <w:rPr>
                <w:rStyle w:val="IndexLink"/>
                <w:rtl w:val="true"/>
              </w:rPr>
              <w:tab/>
            </w:r>
            <w:r>
              <w:rPr>
                <w:rStyle w:val="IndexLink"/>
              </w:rPr>
              <w:t>103</w:t>
            </w:r>
          </w:hyperlink>
        </w:p>
        <w:p>
          <w:pPr>
            <w:pStyle w:val="Contents6"/>
            <w:tabs>
              <w:tab w:val="clear" w:pos="7609"/>
              <w:tab w:val="right" w:pos="9026" w:leader="dot"/>
            </w:tabs>
            <w:rPr/>
          </w:pPr>
          <w:hyperlink w:anchor="__RefHeading___Toc10477861_73709187">
            <w:r>
              <w:rPr>
                <w:webHidden/>
                <w:rStyle w:val="IndexLink"/>
                <w:rtl w:val="true"/>
              </w:rPr>
              <w:t>حُكم من لا يُحسِنُ القراءة</w:t>
            </w:r>
            <w:r>
              <w:rPr>
                <w:rStyle w:val="IndexLink"/>
                <w:rtl w:val="true"/>
              </w:rPr>
              <w:tab/>
            </w:r>
            <w:r>
              <w:rPr>
                <w:rStyle w:val="IndexLink"/>
              </w:rPr>
              <w:t>105</w:t>
            </w:r>
          </w:hyperlink>
        </w:p>
        <w:p>
          <w:pPr>
            <w:pStyle w:val="Contents6"/>
            <w:tabs>
              <w:tab w:val="clear" w:pos="7609"/>
              <w:tab w:val="right" w:pos="9026" w:leader="dot"/>
            </w:tabs>
            <w:rPr/>
          </w:pPr>
          <w:hyperlink w:anchor="__RefHeading___Toc10477863_73709187">
            <w:r>
              <w:rPr>
                <w:webHidden/>
                <w:rStyle w:val="IndexLink"/>
                <w:rtl w:val="true"/>
              </w:rPr>
              <w:t>حكم من لا يُحسِن القراءة، ولا يتمكّن من التعلّم</w:t>
            </w:r>
            <w:r>
              <w:rPr>
                <w:rStyle w:val="IndexLink"/>
                <w:rtl w:val="true"/>
              </w:rPr>
              <w:tab/>
            </w:r>
            <w:r>
              <w:rPr>
                <w:rStyle w:val="IndexLink"/>
              </w:rPr>
              <w:t>107</w:t>
            </w:r>
          </w:hyperlink>
        </w:p>
        <w:p>
          <w:pPr>
            <w:pStyle w:val="Contents6"/>
            <w:tabs>
              <w:tab w:val="clear" w:pos="7609"/>
              <w:tab w:val="right" w:pos="9026" w:leader="dot"/>
            </w:tabs>
            <w:rPr/>
          </w:pPr>
          <w:hyperlink w:anchor="__RefHeading___Toc10477865_73709187">
            <w:r>
              <w:rPr>
                <w:webHidden/>
                <w:rStyle w:val="IndexLink"/>
                <w:rtl w:val="true"/>
              </w:rPr>
              <w:t>قراءة الأخرس</w:t>
            </w:r>
            <w:r>
              <w:rPr>
                <w:rStyle w:val="IndexLink"/>
                <w:rtl w:val="true"/>
              </w:rPr>
              <w:tab/>
            </w:r>
            <w:r>
              <w:rPr>
                <w:rStyle w:val="IndexLink"/>
              </w:rPr>
              <w:t>116</w:t>
            </w:r>
          </w:hyperlink>
        </w:p>
        <w:p>
          <w:pPr>
            <w:pStyle w:val="Contents6"/>
            <w:tabs>
              <w:tab w:val="clear" w:pos="7609"/>
              <w:tab w:val="right" w:pos="9026" w:leader="dot"/>
            </w:tabs>
            <w:rPr/>
          </w:pPr>
          <w:hyperlink w:anchor="__RefHeading___Toc10477867_73709187">
            <w:r>
              <w:rPr>
                <w:webHidden/>
                <w:rStyle w:val="IndexLink"/>
                <w:rtl w:val="true"/>
              </w:rPr>
              <w:t>ما يجبُ في الرّكعات الأخيرة</w:t>
            </w:r>
            <w:r>
              <w:rPr>
                <w:rStyle w:val="IndexLink"/>
                <w:rtl w:val="true"/>
              </w:rPr>
              <w:tab/>
            </w:r>
            <w:r>
              <w:rPr>
                <w:rStyle w:val="IndexLink"/>
              </w:rPr>
              <w:t>117</w:t>
            </w:r>
          </w:hyperlink>
        </w:p>
        <w:p>
          <w:pPr>
            <w:pStyle w:val="Contents6"/>
            <w:tabs>
              <w:tab w:val="clear" w:pos="7609"/>
              <w:tab w:val="right" w:pos="9026" w:leader="dot"/>
            </w:tabs>
            <w:rPr/>
          </w:pPr>
          <w:hyperlink w:anchor="__RefHeading___Toc10477869_73709187">
            <w:r>
              <w:rPr>
                <w:webHidden/>
                <w:rStyle w:val="IndexLink"/>
                <w:rtl w:val="true"/>
              </w:rPr>
              <w:t>القراءة أفضل أو التسبيح</w:t>
            </w:r>
            <w:r>
              <w:rPr>
                <w:rStyle w:val="IndexLink"/>
                <w:rtl w:val="true"/>
              </w:rPr>
              <w:tab/>
            </w:r>
            <w:r>
              <w:rPr>
                <w:rStyle w:val="IndexLink"/>
              </w:rPr>
              <w:t>121</w:t>
            </w:r>
          </w:hyperlink>
        </w:p>
        <w:p>
          <w:pPr>
            <w:pStyle w:val="Contents6"/>
            <w:tabs>
              <w:tab w:val="clear" w:pos="7609"/>
              <w:tab w:val="right" w:pos="9026" w:leader="dot"/>
            </w:tabs>
            <w:rPr/>
          </w:pPr>
          <w:hyperlink w:anchor="__RefHeading___Toc10477871_73709187">
            <w:r>
              <w:rPr>
                <w:webHidden/>
                <w:rStyle w:val="IndexLink"/>
                <w:rtl w:val="true"/>
              </w:rPr>
              <w:t>إجزاء المرّة من التسبيحات</w:t>
            </w:r>
            <w:r>
              <w:rPr>
                <w:rStyle w:val="IndexLink"/>
                <w:rtl w:val="true"/>
              </w:rPr>
              <w:tab/>
            </w:r>
            <w:r>
              <w:rPr>
                <w:rStyle w:val="IndexLink"/>
              </w:rPr>
              <w:t>125</w:t>
            </w:r>
          </w:hyperlink>
        </w:p>
        <w:p>
          <w:pPr>
            <w:pStyle w:val="Contents6"/>
            <w:tabs>
              <w:tab w:val="clear" w:pos="7609"/>
              <w:tab w:val="right" w:pos="9026" w:leader="dot"/>
            </w:tabs>
            <w:rPr/>
          </w:pPr>
          <w:hyperlink w:anchor="__RefHeading___Toc10477873_73709187">
            <w:r>
              <w:rPr>
                <w:webHidden/>
                <w:rStyle w:val="IndexLink"/>
                <w:rtl w:val="true"/>
              </w:rPr>
              <w:t>مسائل</w:t>
            </w:r>
            <w:r>
              <w:rPr>
                <w:rStyle w:val="IndexLink"/>
                <w:rtl w:val="true"/>
              </w:rPr>
              <w:t>:</w:t>
              <w:tab/>
            </w:r>
            <w:r>
              <w:rPr>
                <w:rStyle w:val="IndexLink"/>
              </w:rPr>
              <w:t>132</w:t>
            </w:r>
          </w:hyperlink>
        </w:p>
        <w:p>
          <w:pPr>
            <w:pStyle w:val="Contents6"/>
            <w:tabs>
              <w:tab w:val="clear" w:pos="7609"/>
              <w:tab w:val="right" w:pos="9026" w:leader="dot"/>
            </w:tabs>
            <w:rPr/>
          </w:pPr>
          <w:hyperlink w:anchor="__RefHeading___Toc10477875_73709187">
            <w:r>
              <w:rPr>
                <w:webHidden/>
                <w:rStyle w:val="IndexLink"/>
                <w:rtl w:val="true"/>
              </w:rPr>
              <w:t>الخَلل في القِراءة</w:t>
            </w:r>
            <w:r>
              <w:rPr>
                <w:rStyle w:val="IndexLink"/>
                <w:rtl w:val="true"/>
              </w:rPr>
              <w:tab/>
            </w:r>
            <w:r>
              <w:rPr>
                <w:rStyle w:val="IndexLink"/>
              </w:rPr>
              <w:t>132</w:t>
            </w:r>
          </w:hyperlink>
        </w:p>
        <w:p>
          <w:pPr>
            <w:pStyle w:val="Contents6"/>
            <w:tabs>
              <w:tab w:val="clear" w:pos="7609"/>
              <w:tab w:val="right" w:pos="9026" w:leader="dot"/>
            </w:tabs>
            <w:rPr/>
          </w:pPr>
          <w:hyperlink w:anchor="__RefHeading___Toc10477877_73709187">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0477879_73709187">
            <w:r>
              <w:rPr>
                <w:webHidden/>
                <w:rStyle w:val="IndexLink"/>
                <w:rtl w:val="true"/>
              </w:rPr>
              <w:t>أقسام المَدّ</w:t>
            </w:r>
            <w:r>
              <w:rPr>
                <w:rStyle w:val="IndexLink"/>
                <w:rtl w:val="true"/>
              </w:rPr>
              <w:tab/>
            </w:r>
            <w:r>
              <w:rPr>
                <w:rStyle w:val="IndexLink"/>
              </w:rPr>
              <w:t>132</w:t>
            </w:r>
          </w:hyperlink>
        </w:p>
        <w:p>
          <w:pPr>
            <w:pStyle w:val="Contents6"/>
            <w:tabs>
              <w:tab w:val="clear" w:pos="7609"/>
              <w:tab w:val="right" w:pos="9026" w:leader="dot"/>
            </w:tabs>
            <w:rPr/>
          </w:pPr>
          <w:hyperlink w:anchor="__RefHeading___Toc10477881_73709187">
            <w:r>
              <w:rPr>
                <w:webHidden/>
                <w:rStyle w:val="IndexLink"/>
                <w:rtl w:val="true"/>
              </w:rPr>
              <w:t>الإدغام الواجب</w:t>
            </w:r>
            <w:r>
              <w:rPr>
                <w:rStyle w:val="IndexLink"/>
                <w:rtl w:val="true"/>
              </w:rPr>
              <w:tab/>
            </w:r>
            <w:r>
              <w:rPr>
                <w:rStyle w:val="IndexLink"/>
              </w:rPr>
              <w:t>134</w:t>
            </w:r>
          </w:hyperlink>
        </w:p>
        <w:p>
          <w:pPr>
            <w:pStyle w:val="Contents6"/>
            <w:tabs>
              <w:tab w:val="clear" w:pos="7609"/>
              <w:tab w:val="right" w:pos="9026" w:leader="dot"/>
            </w:tabs>
            <w:rPr/>
          </w:pPr>
          <w:hyperlink w:anchor="__RefHeading___Toc10477883_73709187">
            <w:r>
              <w:rPr>
                <w:webHidden/>
                <w:rStyle w:val="IndexLink"/>
                <w:rtl w:val="true"/>
              </w:rPr>
              <w:t>الوقف بالحركة، والوصل بالسّكون</w:t>
            </w:r>
            <w:r>
              <w:rPr>
                <w:rStyle w:val="IndexLink"/>
                <w:rtl w:val="true"/>
              </w:rPr>
              <w:tab/>
            </w:r>
            <w:r>
              <w:rPr>
                <w:rStyle w:val="IndexLink"/>
              </w:rPr>
              <w:t>137</w:t>
            </w:r>
          </w:hyperlink>
        </w:p>
        <w:p>
          <w:pPr>
            <w:pStyle w:val="Contents6"/>
            <w:tabs>
              <w:tab w:val="clear" w:pos="7609"/>
              <w:tab w:val="right" w:pos="9026" w:leader="dot"/>
            </w:tabs>
            <w:rPr/>
          </w:pPr>
          <w:hyperlink w:anchor="__RefHeading___Toc10477885_73709187">
            <w:r>
              <w:rPr>
                <w:webHidden/>
                <w:rStyle w:val="IndexLink"/>
                <w:rtl w:val="true"/>
              </w:rPr>
              <w:t>القراءات السّبع</w:t>
            </w:r>
            <w:r>
              <w:rPr>
                <w:rStyle w:val="IndexLink"/>
                <w:rtl w:val="true"/>
              </w:rPr>
              <w:tab/>
            </w:r>
            <w:r>
              <w:rPr>
                <w:rStyle w:val="IndexLink"/>
              </w:rPr>
              <w:t>139</w:t>
            </w:r>
          </w:hyperlink>
        </w:p>
        <w:p>
          <w:pPr>
            <w:pStyle w:val="Contents6"/>
            <w:tabs>
              <w:tab w:val="clear" w:pos="7609"/>
              <w:tab w:val="right" w:pos="9026" w:leader="dot"/>
            </w:tabs>
            <w:rPr/>
          </w:pPr>
          <w:hyperlink w:anchor="__RefHeading___Toc10477887_73709187">
            <w:r>
              <w:rPr>
                <w:webHidden/>
                <w:rStyle w:val="IndexLink"/>
                <w:rtl w:val="true"/>
              </w:rPr>
              <w:t>جُزئيّة البَسملة من كلّ سورة</w:t>
            </w:r>
            <w:r>
              <w:rPr>
                <w:rStyle w:val="IndexLink"/>
                <w:rtl w:val="true"/>
              </w:rPr>
              <w:tab/>
            </w:r>
            <w:r>
              <w:rPr>
                <w:rStyle w:val="IndexLink"/>
              </w:rPr>
              <w:t>142</w:t>
            </w:r>
          </w:hyperlink>
        </w:p>
        <w:p>
          <w:pPr>
            <w:pStyle w:val="Contents6"/>
            <w:tabs>
              <w:tab w:val="clear" w:pos="7609"/>
              <w:tab w:val="right" w:pos="9026" w:leader="dot"/>
            </w:tabs>
            <w:rPr/>
          </w:pPr>
          <w:hyperlink w:anchor="__RefHeading___Toc10477889_73709187">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0477891_73709187">
            <w:r>
              <w:rPr>
                <w:webHidden/>
                <w:rStyle w:val="IndexLink"/>
                <w:rtl w:val="true"/>
              </w:rPr>
              <w:t>تعيين البسملة للسُّورة</w:t>
            </w:r>
            <w:r>
              <w:rPr>
                <w:rStyle w:val="IndexLink"/>
                <w:rtl w:val="true"/>
              </w:rPr>
              <w:tab/>
            </w:r>
            <w:r>
              <w:rPr>
                <w:rStyle w:val="IndexLink"/>
              </w:rPr>
              <w:t>144</w:t>
            </w:r>
          </w:hyperlink>
        </w:p>
        <w:p>
          <w:pPr>
            <w:pStyle w:val="Contents6"/>
            <w:tabs>
              <w:tab w:val="clear" w:pos="7609"/>
              <w:tab w:val="right" w:pos="9026" w:leader="dot"/>
            </w:tabs>
            <w:rPr/>
          </w:pPr>
          <w:hyperlink w:anchor="__RefHeading___Toc10477893_73709187">
            <w:r>
              <w:rPr>
                <w:webHidden/>
                <w:rStyle w:val="IndexLink"/>
                <w:rtl w:val="true"/>
              </w:rPr>
              <w:t>العدول مِنْ سورةٍ إلى اُخرى</w:t>
            </w:r>
            <w:r>
              <w:rPr>
                <w:rStyle w:val="IndexLink"/>
                <w:rtl w:val="true"/>
              </w:rPr>
              <w:tab/>
            </w:r>
            <w:r>
              <w:rPr>
                <w:rStyle w:val="IndexLink"/>
              </w:rPr>
              <w:t>147</w:t>
            </w:r>
          </w:hyperlink>
        </w:p>
        <w:p>
          <w:pPr>
            <w:pStyle w:val="Contents6"/>
            <w:tabs>
              <w:tab w:val="clear" w:pos="7609"/>
              <w:tab w:val="right" w:pos="9026" w:leader="dot"/>
            </w:tabs>
            <w:rPr/>
          </w:pPr>
          <w:hyperlink w:anchor="__RefHeading___Toc10477895_73709187">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0477897_73709187">
            <w:r>
              <w:rPr>
                <w:webHidden/>
                <w:rStyle w:val="IndexLink"/>
                <w:rtl w:val="true"/>
              </w:rPr>
              <w:t>فهاهنا فروع</w:t>
            </w:r>
            <w:r>
              <w:rPr>
                <w:rStyle w:val="IndexLink"/>
                <w:rtl w:val="true"/>
              </w:rPr>
              <w:t>:</w:t>
              <w:tab/>
            </w:r>
            <w:r>
              <w:rPr>
                <w:rStyle w:val="IndexLink"/>
              </w:rPr>
              <w:t>147</w:t>
            </w:r>
          </w:hyperlink>
        </w:p>
        <w:p>
          <w:pPr>
            <w:pStyle w:val="Contents6"/>
            <w:tabs>
              <w:tab w:val="clear" w:pos="7609"/>
              <w:tab w:val="right" w:pos="9026" w:leader="dot"/>
            </w:tabs>
            <w:rPr/>
          </w:pPr>
          <w:hyperlink w:anchor="__RefHeading___Toc10477899_73709187">
            <w:r>
              <w:rPr>
                <w:webHidden/>
                <w:rStyle w:val="IndexLink"/>
                <w:rtl w:val="true"/>
              </w:rPr>
              <w:t>يجوز العدول من كلّ سورةٍ إلي غيرها في الجملة</w:t>
            </w:r>
            <w:r>
              <w:rPr>
                <w:rStyle w:val="IndexLink"/>
                <w:rtl w:val="true"/>
              </w:rPr>
              <w:tab/>
            </w:r>
            <w:r>
              <w:rPr>
                <w:rStyle w:val="IndexLink"/>
              </w:rPr>
              <w:t>147</w:t>
            </w:r>
          </w:hyperlink>
        </w:p>
        <w:p>
          <w:pPr>
            <w:pStyle w:val="Contents6"/>
            <w:tabs>
              <w:tab w:val="clear" w:pos="7609"/>
              <w:tab w:val="right" w:pos="9026" w:leader="dot"/>
            </w:tabs>
            <w:rPr/>
          </w:pPr>
          <w:hyperlink w:anchor="__RefHeading___Toc10477901_73709187">
            <w:r>
              <w:rPr>
                <w:webHidden/>
                <w:rStyle w:val="IndexLink"/>
                <w:rtl w:val="true"/>
              </w:rPr>
              <w:t>لا يجوزُ العدول من سورتي الجحد والتوحيد إلى غيرهما</w:t>
            </w:r>
            <w:r>
              <w:rPr>
                <w:rStyle w:val="IndexLink"/>
                <w:rtl w:val="true"/>
              </w:rPr>
              <w:tab/>
            </w:r>
            <w:r>
              <w:rPr>
                <w:rStyle w:val="IndexLink"/>
              </w:rPr>
              <w:t>148</w:t>
            </w:r>
          </w:hyperlink>
        </w:p>
        <w:p>
          <w:pPr>
            <w:pStyle w:val="Contents6"/>
            <w:tabs>
              <w:tab w:val="clear" w:pos="7609"/>
              <w:tab w:val="right" w:pos="9026" w:leader="dot"/>
            </w:tabs>
            <w:rPr/>
          </w:pPr>
          <w:hyperlink w:anchor="__RefHeading___Toc10477903_73709187">
            <w:r>
              <w:rPr>
                <w:webHidden/>
                <w:rStyle w:val="IndexLink"/>
                <w:rtl w:val="true"/>
              </w:rPr>
              <w:t>العدول من الجَحد والتوحيد إلى الجمعة والمنافقين</w:t>
            </w:r>
            <w:r>
              <w:rPr>
                <w:rStyle w:val="IndexLink"/>
                <w:rtl w:val="true"/>
              </w:rPr>
              <w:tab/>
            </w:r>
            <w:r>
              <w:rPr>
                <w:rStyle w:val="IndexLink"/>
              </w:rPr>
              <w:t>149</w:t>
            </w:r>
          </w:hyperlink>
        </w:p>
        <w:p>
          <w:pPr>
            <w:pStyle w:val="Contents6"/>
            <w:tabs>
              <w:tab w:val="clear" w:pos="7609"/>
              <w:tab w:val="right" w:pos="9026" w:leader="dot"/>
            </w:tabs>
            <w:rPr/>
          </w:pPr>
          <w:hyperlink w:anchor="__RefHeading___Toc10477905_73709187">
            <w:r>
              <w:rPr>
                <w:webHidden/>
                <w:rStyle w:val="IndexLink"/>
                <w:rtl w:val="true"/>
              </w:rPr>
              <w:t>لا يجوز العدول بعد الثُّلثين</w:t>
            </w:r>
            <w:r>
              <w:rPr>
                <w:rStyle w:val="IndexLink"/>
                <w:rtl w:val="true"/>
              </w:rPr>
              <w:tab/>
            </w:r>
            <w:r>
              <w:rPr>
                <w:rStyle w:val="IndexLink"/>
              </w:rPr>
              <w:t>152</w:t>
            </w:r>
          </w:hyperlink>
        </w:p>
        <w:p>
          <w:pPr>
            <w:pStyle w:val="Contents6"/>
            <w:tabs>
              <w:tab w:val="clear" w:pos="7609"/>
              <w:tab w:val="right" w:pos="9026" w:leader="dot"/>
            </w:tabs>
            <w:rPr/>
          </w:pPr>
          <w:hyperlink w:anchor="__RefHeading___Toc10477907_73709187">
            <w:r>
              <w:rPr>
                <w:webHidden/>
                <w:rStyle w:val="IndexLink"/>
                <w:rtl w:val="true"/>
              </w:rPr>
              <w:t>العدول في مورد الضرورة</w:t>
            </w:r>
            <w:r>
              <w:rPr>
                <w:rStyle w:val="IndexLink"/>
                <w:rtl w:val="true"/>
              </w:rPr>
              <w:tab/>
            </w:r>
            <w:r>
              <w:rPr>
                <w:rStyle w:val="IndexLink"/>
              </w:rPr>
              <w:t>156</w:t>
            </w:r>
          </w:hyperlink>
        </w:p>
        <w:p>
          <w:pPr>
            <w:pStyle w:val="Contents6"/>
            <w:tabs>
              <w:tab w:val="clear" w:pos="7609"/>
              <w:tab w:val="right" w:pos="9026" w:leader="dot"/>
            </w:tabs>
            <w:rPr/>
          </w:pPr>
          <w:hyperlink w:anchor="__RefHeading___Toc10477909_73709187">
            <w:r>
              <w:rPr>
                <w:webHidden/>
                <w:rStyle w:val="IndexLink"/>
                <w:rtl w:val="true"/>
              </w:rPr>
              <w:t>نذر قراءة سورة معيّنة</w:t>
            </w:r>
            <w:r>
              <w:rPr>
                <w:rStyle w:val="IndexLink"/>
                <w:rtl w:val="true"/>
              </w:rPr>
              <w:tab/>
            </w:r>
            <w:r>
              <w:rPr>
                <w:rStyle w:val="IndexLink"/>
              </w:rPr>
              <w:t>157</w:t>
            </w:r>
          </w:hyperlink>
        </w:p>
        <w:p>
          <w:pPr>
            <w:pStyle w:val="Contents6"/>
            <w:tabs>
              <w:tab w:val="clear" w:pos="7609"/>
              <w:tab w:val="right" w:pos="9026" w:leader="dot"/>
            </w:tabs>
            <w:rPr/>
          </w:pPr>
          <w:hyperlink w:anchor="__RefHeading___Toc10477911_73709187">
            <w:r>
              <w:rPr>
                <w:webHidden/>
                <w:rStyle w:val="IndexLink"/>
                <w:rtl w:val="true"/>
              </w:rPr>
              <w:t>القراءة من المصحف</w:t>
            </w:r>
            <w:r>
              <w:rPr>
                <w:rStyle w:val="IndexLink"/>
                <w:rtl w:val="true"/>
              </w:rPr>
              <w:tab/>
            </w:r>
            <w:r>
              <w:rPr>
                <w:rStyle w:val="IndexLink"/>
              </w:rPr>
              <w:t>159</w:t>
            </w:r>
          </w:hyperlink>
        </w:p>
        <w:p>
          <w:pPr>
            <w:pStyle w:val="Contents6"/>
            <w:tabs>
              <w:tab w:val="clear" w:pos="7609"/>
              <w:tab w:val="right" w:pos="9026" w:leader="dot"/>
            </w:tabs>
            <w:rPr/>
          </w:pPr>
          <w:hyperlink w:anchor="__RefHeading___Toc10477913_73709187">
            <w:r>
              <w:rPr>
                <w:webHidden/>
                <w:rStyle w:val="IndexLink"/>
                <w:rtl w:val="true"/>
              </w:rPr>
              <w:t>اتّحاد الفيل ولإيلاف</w:t>
            </w:r>
            <w:r>
              <w:rPr>
                <w:rStyle w:val="IndexLink"/>
                <w:rtl w:val="true"/>
              </w:rPr>
              <w:tab/>
            </w:r>
            <w:r>
              <w:rPr>
                <w:rStyle w:val="IndexLink"/>
              </w:rPr>
              <w:t>161</w:t>
            </w:r>
          </w:hyperlink>
        </w:p>
        <w:p>
          <w:pPr>
            <w:pStyle w:val="Contents6"/>
            <w:tabs>
              <w:tab w:val="clear" w:pos="7609"/>
              <w:tab w:val="right" w:pos="9026" w:leader="dot"/>
            </w:tabs>
            <w:rPr/>
          </w:pPr>
          <w:hyperlink w:anchor="__RefHeading___Toc10477915_73709187">
            <w:r>
              <w:rPr>
                <w:webHidden/>
                <w:rStyle w:val="IndexLink"/>
                <w:rtl w:val="true"/>
              </w:rPr>
              <w:t>الجَهرُ بالقراءة على الرِّجال</w:t>
            </w:r>
            <w:r>
              <w:rPr>
                <w:rStyle w:val="IndexLink"/>
                <w:rtl w:val="true"/>
              </w:rPr>
              <w:tab/>
            </w:r>
            <w:r>
              <w:rPr>
                <w:rStyle w:val="IndexLink"/>
              </w:rPr>
              <w:t>165</w:t>
            </w:r>
          </w:hyperlink>
        </w:p>
        <w:p>
          <w:pPr>
            <w:pStyle w:val="Contents6"/>
            <w:tabs>
              <w:tab w:val="clear" w:pos="7609"/>
              <w:tab w:val="right" w:pos="9026" w:leader="dot"/>
            </w:tabs>
            <w:rPr/>
          </w:pPr>
          <w:hyperlink w:anchor="__RefHeading___Toc10477917_73709187">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10477919_73709187">
            <w:r>
              <w:rPr>
                <w:webHidden/>
                <w:rStyle w:val="IndexLink"/>
                <w:rtl w:val="true"/>
              </w:rPr>
              <w:t>يجبُ الجهر على الرِّجال في الصبح والمغرب والعشاء</w:t>
            </w:r>
            <w:r>
              <w:rPr>
                <w:rStyle w:val="IndexLink"/>
                <w:rtl w:val="true"/>
              </w:rPr>
              <w:tab/>
            </w:r>
            <w:r>
              <w:rPr>
                <w:rStyle w:val="IndexLink"/>
              </w:rPr>
              <w:t>165</w:t>
            </w:r>
          </w:hyperlink>
        </w:p>
        <w:p>
          <w:pPr>
            <w:pStyle w:val="Contents6"/>
            <w:tabs>
              <w:tab w:val="clear" w:pos="7609"/>
              <w:tab w:val="right" w:pos="9026" w:leader="dot"/>
            </w:tabs>
            <w:rPr/>
          </w:pPr>
          <w:hyperlink w:anchor="__RefHeading___Toc10477921_73709187">
            <w:r>
              <w:rPr>
                <w:webHidden/>
                <w:rStyle w:val="IndexLink"/>
                <w:rtl w:val="true"/>
              </w:rPr>
              <w:t>لا يجبُ الجَهر والإخفات في غير القراءة في الرّكعتين الأولتين</w:t>
            </w:r>
            <w:r>
              <w:rPr>
                <w:rStyle w:val="IndexLink"/>
                <w:rtl w:val="true"/>
              </w:rPr>
              <w:tab/>
            </w:r>
            <w:r>
              <w:rPr>
                <w:rStyle w:val="IndexLink"/>
              </w:rPr>
              <w:t>167</w:t>
            </w:r>
          </w:hyperlink>
        </w:p>
        <w:p>
          <w:pPr>
            <w:pStyle w:val="Contents6"/>
            <w:tabs>
              <w:tab w:val="clear" w:pos="7609"/>
              <w:tab w:val="right" w:pos="9026" w:leader="dot"/>
            </w:tabs>
            <w:rPr/>
          </w:pPr>
          <w:hyperlink w:anchor="__RefHeading___Toc10477923_73709187">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0477925_73709187">
            <w:r>
              <w:rPr>
                <w:webHidden/>
                <w:rStyle w:val="IndexLink"/>
                <w:rtl w:val="true"/>
              </w:rPr>
              <w:t>الإخفات في الرّكعتين الأخيرتين</w:t>
            </w:r>
            <w:r>
              <w:rPr>
                <w:rStyle w:val="IndexLink"/>
                <w:rtl w:val="true"/>
              </w:rPr>
              <w:tab/>
            </w:r>
            <w:r>
              <w:rPr>
                <w:rStyle w:val="IndexLink"/>
              </w:rPr>
              <w:t>169</w:t>
            </w:r>
          </w:hyperlink>
        </w:p>
        <w:p>
          <w:pPr>
            <w:pStyle w:val="Contents6"/>
            <w:tabs>
              <w:tab w:val="clear" w:pos="7609"/>
              <w:tab w:val="right" w:pos="9026" w:leader="dot"/>
            </w:tabs>
            <w:rPr/>
          </w:pPr>
          <w:hyperlink w:anchor="__RefHeading___Toc10477927_73709187">
            <w:r>
              <w:rPr>
                <w:webHidden/>
                <w:rStyle w:val="IndexLink"/>
                <w:rtl w:val="true"/>
              </w:rPr>
              <w:t>الجَهرُ في ظهر يوم الجمعة</w:t>
            </w:r>
            <w:r>
              <w:rPr>
                <w:rStyle w:val="IndexLink"/>
                <w:rtl w:val="true"/>
              </w:rPr>
              <w:tab/>
            </w:r>
            <w:r>
              <w:rPr>
                <w:rStyle w:val="IndexLink"/>
              </w:rPr>
              <w:t>171</w:t>
            </w:r>
          </w:hyperlink>
        </w:p>
        <w:p>
          <w:pPr>
            <w:pStyle w:val="Contents6"/>
            <w:tabs>
              <w:tab w:val="clear" w:pos="7609"/>
              <w:tab w:val="right" w:pos="9026" w:leader="dot"/>
            </w:tabs>
            <w:rPr/>
          </w:pPr>
          <w:hyperlink w:anchor="__RefHeading___Toc10477929_73709187">
            <w:r>
              <w:rPr>
                <w:webHidden/>
                <w:rStyle w:val="IndexLink"/>
                <w:rtl w:val="true"/>
              </w:rPr>
              <w:t>لا جَهر على النِّساء في الصّلوات الجَهريّة</w:t>
            </w:r>
            <w:r>
              <w:rPr>
                <w:rStyle w:val="IndexLink"/>
                <w:rtl w:val="true"/>
              </w:rPr>
              <w:tab/>
            </w:r>
            <w:r>
              <w:rPr>
                <w:rStyle w:val="IndexLink"/>
              </w:rPr>
              <w:t>173</w:t>
            </w:r>
          </w:hyperlink>
        </w:p>
        <w:p>
          <w:pPr>
            <w:pStyle w:val="Contents6"/>
            <w:tabs>
              <w:tab w:val="clear" w:pos="7609"/>
              <w:tab w:val="right" w:pos="9026" w:leader="dot"/>
            </w:tabs>
            <w:rPr/>
          </w:pPr>
          <w:hyperlink w:anchor="__RefHeading___Toc10477931_73709187">
            <w:r>
              <w:rPr>
                <w:webHidden/>
                <w:rStyle w:val="IndexLink"/>
                <w:rtl w:val="true"/>
              </w:rPr>
              <w:t>حكم الجهر في موضع الإخفات</w:t>
            </w:r>
            <w:r>
              <w:rPr>
                <w:rStyle w:val="IndexLink"/>
                <w:rtl w:val="true"/>
              </w:rPr>
              <w:tab/>
            </w:r>
            <w:r>
              <w:rPr>
                <w:rStyle w:val="IndexLink"/>
              </w:rPr>
              <w:t>175</w:t>
            </w:r>
          </w:hyperlink>
        </w:p>
        <w:p>
          <w:pPr>
            <w:pStyle w:val="Contents6"/>
            <w:tabs>
              <w:tab w:val="clear" w:pos="7609"/>
              <w:tab w:val="right" w:pos="9026" w:leader="dot"/>
            </w:tabs>
            <w:rPr/>
          </w:pPr>
          <w:hyperlink w:anchor="__RefHeading___Toc10477933_73709187">
            <w:r>
              <w:rPr>
                <w:webHidden/>
                <w:rStyle w:val="IndexLink"/>
                <w:rtl w:val="true"/>
              </w:rPr>
              <w:t>التمييز بين الجهر والإخفات</w:t>
            </w:r>
            <w:r>
              <w:rPr>
                <w:rStyle w:val="IndexLink"/>
                <w:rtl w:val="true"/>
              </w:rPr>
              <w:tab/>
            </w:r>
            <w:r>
              <w:rPr>
                <w:rStyle w:val="IndexLink"/>
              </w:rPr>
              <w:t>177</w:t>
            </w:r>
          </w:hyperlink>
        </w:p>
        <w:p>
          <w:pPr>
            <w:pStyle w:val="Contents6"/>
            <w:tabs>
              <w:tab w:val="clear" w:pos="7609"/>
              <w:tab w:val="right" w:pos="9026" w:leader="dot"/>
            </w:tabs>
            <w:rPr/>
          </w:pPr>
          <w:hyperlink w:anchor="__RefHeading___Toc10477935_73709187">
            <w:r>
              <w:rPr>
                <w:webHidden/>
                <w:rStyle w:val="IndexLink"/>
                <w:rtl w:val="true"/>
              </w:rPr>
              <w:t>قراءة العزيمة في الفريضة</w:t>
            </w:r>
            <w:r>
              <w:rPr>
                <w:rStyle w:val="IndexLink"/>
                <w:rtl w:val="true"/>
              </w:rPr>
              <w:tab/>
            </w:r>
            <w:r>
              <w:rPr>
                <w:rStyle w:val="IndexLink"/>
              </w:rPr>
              <w:t>180</w:t>
            </w:r>
          </w:hyperlink>
        </w:p>
        <w:p>
          <w:pPr>
            <w:pStyle w:val="Contents6"/>
            <w:tabs>
              <w:tab w:val="clear" w:pos="7609"/>
              <w:tab w:val="right" w:pos="9026" w:leader="dot"/>
            </w:tabs>
            <w:rPr/>
          </w:pPr>
          <w:hyperlink w:anchor="__RefHeading___Toc10477937_73709187">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0477939_73709187">
            <w:r>
              <w:rPr>
                <w:webHidden/>
                <w:rStyle w:val="IndexLink"/>
                <w:rtl w:val="true"/>
              </w:rPr>
              <w:t>استماع آية السَّجدة في الصَّلاة</w:t>
            </w:r>
            <w:r>
              <w:rPr>
                <w:rStyle w:val="IndexLink"/>
                <w:rtl w:val="true"/>
              </w:rPr>
              <w:tab/>
            </w:r>
            <w:r>
              <w:rPr>
                <w:rStyle w:val="IndexLink"/>
              </w:rPr>
              <w:t>182</w:t>
            </w:r>
          </w:hyperlink>
        </w:p>
        <w:p>
          <w:pPr>
            <w:pStyle w:val="Contents6"/>
            <w:tabs>
              <w:tab w:val="clear" w:pos="7609"/>
              <w:tab w:val="right" w:pos="9026" w:leader="dot"/>
            </w:tabs>
            <w:rPr/>
          </w:pPr>
          <w:hyperlink w:anchor="__RefHeading___Toc10477941_73709187">
            <w:r>
              <w:rPr>
                <w:webHidden/>
                <w:rStyle w:val="IndexLink"/>
                <w:rtl w:val="true"/>
              </w:rPr>
              <w:t>قراءة العزيمة سهواً</w:t>
            </w:r>
            <w:r>
              <w:rPr>
                <w:rStyle w:val="IndexLink"/>
                <w:rtl w:val="true"/>
              </w:rPr>
              <w:tab/>
            </w:r>
            <w:r>
              <w:rPr>
                <w:rStyle w:val="IndexLink"/>
              </w:rPr>
              <w:t>183</w:t>
            </w:r>
          </w:hyperlink>
        </w:p>
        <w:p>
          <w:pPr>
            <w:pStyle w:val="Contents6"/>
            <w:tabs>
              <w:tab w:val="clear" w:pos="7609"/>
              <w:tab w:val="right" w:pos="9026" w:leader="dot"/>
            </w:tabs>
            <w:rPr/>
          </w:pPr>
          <w:hyperlink w:anchor="__RefHeading___Toc10477943_73709187">
            <w:r>
              <w:rPr>
                <w:webHidden/>
                <w:rStyle w:val="IndexLink"/>
                <w:rtl w:val="true"/>
              </w:rPr>
              <w:t>المُحرّم قراءة آية السَّجدة</w:t>
            </w:r>
            <w:r>
              <w:rPr>
                <w:rStyle w:val="IndexLink"/>
                <w:rtl w:val="true"/>
              </w:rPr>
              <w:tab/>
            </w:r>
            <w:r>
              <w:rPr>
                <w:rStyle w:val="IndexLink"/>
              </w:rPr>
              <w:t>186</w:t>
            </w:r>
          </w:hyperlink>
        </w:p>
        <w:p>
          <w:pPr>
            <w:pStyle w:val="Contents6"/>
            <w:tabs>
              <w:tab w:val="clear" w:pos="7609"/>
              <w:tab w:val="right" w:pos="9026" w:leader="dot"/>
            </w:tabs>
            <w:rPr/>
          </w:pPr>
          <w:hyperlink w:anchor="__RefHeading___Toc10477945_73709187">
            <w:r>
              <w:rPr>
                <w:webHidden/>
                <w:rStyle w:val="IndexLink"/>
                <w:rtl w:val="true"/>
              </w:rPr>
              <w:t>لا يجوزُ قراءة ما يفوت الوقت بقراءته</w:t>
            </w:r>
            <w:r>
              <w:rPr>
                <w:rStyle w:val="IndexLink"/>
                <w:rtl w:val="true"/>
              </w:rPr>
              <w:tab/>
            </w:r>
            <w:r>
              <w:rPr>
                <w:rStyle w:val="IndexLink"/>
              </w:rPr>
              <w:t>189</w:t>
            </w:r>
          </w:hyperlink>
        </w:p>
        <w:p>
          <w:pPr>
            <w:pStyle w:val="Contents6"/>
            <w:tabs>
              <w:tab w:val="clear" w:pos="7609"/>
              <w:tab w:val="right" w:pos="9026" w:leader="dot"/>
            </w:tabs>
            <w:rPr/>
          </w:pPr>
          <w:hyperlink w:anchor="__RefHeading___Toc10477947_73709187">
            <w:r>
              <w:rPr>
                <w:webHidden/>
                <w:rStyle w:val="IndexLink"/>
                <w:rtl w:val="true"/>
              </w:rPr>
              <w:t>في القِران بين سورتين أو أزيد</w:t>
            </w:r>
            <w:r>
              <w:rPr>
                <w:rStyle w:val="IndexLink"/>
                <w:rtl w:val="true"/>
              </w:rPr>
              <w:tab/>
            </w:r>
            <w:r>
              <w:rPr>
                <w:rStyle w:val="IndexLink"/>
              </w:rPr>
              <w:t>192</w:t>
            </w:r>
          </w:hyperlink>
        </w:p>
        <w:p>
          <w:pPr>
            <w:pStyle w:val="Contents6"/>
            <w:tabs>
              <w:tab w:val="clear" w:pos="7609"/>
              <w:tab w:val="right" w:pos="9026" w:leader="dot"/>
            </w:tabs>
            <w:rPr/>
          </w:pPr>
          <w:hyperlink w:anchor="__RefHeading___Toc10477949_73709187">
            <w:r>
              <w:rPr>
                <w:webHidden/>
                <w:rStyle w:val="IndexLink"/>
                <w:rtl w:val="true"/>
              </w:rPr>
              <w:t>يستحبُّ الجهر بالبسملة</w:t>
            </w:r>
            <w:r>
              <w:rPr>
                <w:rStyle w:val="IndexLink"/>
                <w:rtl w:val="true"/>
              </w:rPr>
              <w:tab/>
            </w:r>
            <w:r>
              <w:rPr>
                <w:rStyle w:val="IndexLink"/>
              </w:rPr>
              <w:t>196</w:t>
            </w:r>
          </w:hyperlink>
        </w:p>
        <w:p>
          <w:pPr>
            <w:pStyle w:val="Contents6"/>
            <w:tabs>
              <w:tab w:val="clear" w:pos="7609"/>
              <w:tab w:val="right" w:pos="9026" w:leader="dot"/>
            </w:tabs>
            <w:rPr/>
          </w:pPr>
          <w:hyperlink w:anchor="__RefHeading___Toc10477951_73709187">
            <w:r>
              <w:rPr>
                <w:webHidden/>
                <w:rStyle w:val="IndexLink"/>
                <w:rtl w:val="true"/>
              </w:rPr>
              <w:t>يستحبُّ قراءة بعض السّور في بعض الصلوات</w:t>
            </w:r>
            <w:r>
              <w:rPr>
                <w:rStyle w:val="IndexLink"/>
                <w:rtl w:val="true"/>
              </w:rPr>
              <w:tab/>
            </w:r>
            <w:r>
              <w:rPr>
                <w:rStyle w:val="IndexLink"/>
              </w:rPr>
              <w:t>201</w:t>
            </w:r>
          </w:hyperlink>
        </w:p>
        <w:p>
          <w:pPr>
            <w:pStyle w:val="Contents6"/>
            <w:tabs>
              <w:tab w:val="clear" w:pos="7609"/>
              <w:tab w:val="right" w:pos="9026" w:leader="dot"/>
            </w:tabs>
            <w:rPr/>
          </w:pPr>
          <w:hyperlink w:anchor="__RefHeading___Toc10477953_73709187">
            <w:r>
              <w:rPr>
                <w:webHidden/>
                <w:rStyle w:val="IndexLink"/>
                <w:rtl w:val="true"/>
              </w:rPr>
              <w:t>تنبيهان حول القراءة</w:t>
            </w:r>
            <w:r>
              <w:rPr>
                <w:rStyle w:val="IndexLink"/>
                <w:rtl w:val="true"/>
              </w:rPr>
              <w:tab/>
            </w:r>
            <w:r>
              <w:rPr>
                <w:rStyle w:val="IndexLink"/>
              </w:rPr>
              <w:t>206</w:t>
            </w:r>
          </w:hyperlink>
        </w:p>
        <w:p>
          <w:pPr>
            <w:pStyle w:val="Contents5"/>
            <w:tabs>
              <w:tab w:val="clear" w:pos="7892"/>
              <w:tab w:val="right" w:pos="9026" w:leader="dot"/>
            </w:tabs>
            <w:rPr/>
          </w:pPr>
          <w:hyperlink w:anchor="__RefHeading___Toc10477955_73709187">
            <w:r>
              <w:rPr>
                <w:webHidden/>
                <w:rStyle w:val="IndexLink"/>
                <w:rtl w:val="true"/>
              </w:rPr>
              <w:t>الخامس</w:t>
            </w:r>
            <w:r>
              <w:rPr>
                <w:rStyle w:val="IndexLink"/>
                <w:rtl w:val="true"/>
              </w:rPr>
              <w:t xml:space="preserve">: </w:t>
            </w:r>
            <w:r>
              <w:rPr>
                <w:rStyle w:val="IndexLink"/>
                <w:rtl w:val="true"/>
              </w:rPr>
              <w:t>الرّكوع</w:t>
            </w:r>
            <w:r>
              <w:rPr>
                <w:rStyle w:val="IndexLink"/>
                <w:rtl w:val="true"/>
              </w:rPr>
              <w:tab/>
            </w:r>
            <w:r>
              <w:rPr>
                <w:rStyle w:val="IndexLink"/>
              </w:rPr>
              <w:t>209</w:t>
            </w:r>
          </w:hyperlink>
        </w:p>
        <w:p>
          <w:pPr>
            <w:pStyle w:val="Contents6"/>
            <w:tabs>
              <w:tab w:val="clear" w:pos="7609"/>
              <w:tab w:val="right" w:pos="9026" w:leader="dot"/>
            </w:tabs>
            <w:rPr/>
          </w:pPr>
          <w:hyperlink w:anchor="__RefHeading___Toc10477957_73709187">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0477959_73709187">
            <w:r>
              <w:rPr>
                <w:webHidden/>
                <w:rStyle w:val="IndexLink"/>
                <w:rtl w:val="true"/>
              </w:rPr>
              <w:t>واجبات الركوع</w:t>
            </w:r>
            <w:r>
              <w:rPr>
                <w:rStyle w:val="IndexLink"/>
                <w:rtl w:val="true"/>
              </w:rPr>
              <w:tab/>
            </w:r>
            <w:r>
              <w:rPr>
                <w:rStyle w:val="IndexLink"/>
              </w:rPr>
              <w:t>210</w:t>
            </w:r>
          </w:hyperlink>
        </w:p>
        <w:p>
          <w:pPr>
            <w:pStyle w:val="Contents6"/>
            <w:tabs>
              <w:tab w:val="clear" w:pos="7609"/>
              <w:tab w:val="right" w:pos="9026" w:leader="dot"/>
            </w:tabs>
            <w:rPr/>
          </w:pPr>
          <w:hyperlink w:anchor="__RefHeading___Toc10477961_7370918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0477963_73709187">
            <w:r>
              <w:rPr>
                <w:webHidden/>
                <w:rStyle w:val="IndexLink"/>
                <w:rtl w:val="true"/>
              </w:rPr>
              <w:t>أنْ ينحني بقدر أن يصل كَفّاه إلى رُكبتيه</w:t>
            </w:r>
            <w:r>
              <w:rPr>
                <w:rStyle w:val="IndexLink"/>
                <w:rtl w:val="true"/>
              </w:rPr>
              <w:tab/>
            </w:r>
            <w:r>
              <w:rPr>
                <w:rStyle w:val="IndexLink"/>
              </w:rPr>
              <w:t>210</w:t>
            </w:r>
          </w:hyperlink>
        </w:p>
        <w:p>
          <w:pPr>
            <w:pStyle w:val="Contents6"/>
            <w:tabs>
              <w:tab w:val="clear" w:pos="7609"/>
              <w:tab w:val="right" w:pos="9026" w:leader="dot"/>
            </w:tabs>
            <w:rPr/>
          </w:pPr>
          <w:hyperlink w:anchor="__RefHeading___Toc10477965_7370918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0477967_73709187">
            <w:r>
              <w:rPr>
                <w:webHidden/>
                <w:rStyle w:val="IndexLink"/>
                <w:rtl w:val="true"/>
              </w:rPr>
              <w:t>فروع</w:t>
            </w:r>
            <w:r>
              <w:rPr>
                <w:rStyle w:val="IndexLink"/>
                <w:rtl w:val="true"/>
              </w:rPr>
              <w:t>:</w:t>
              <w:tab/>
            </w:r>
            <w:r>
              <w:rPr>
                <w:rStyle w:val="IndexLink"/>
              </w:rPr>
              <w:t>213</w:t>
            </w:r>
          </w:hyperlink>
        </w:p>
        <w:p>
          <w:pPr>
            <w:pStyle w:val="Contents6"/>
            <w:tabs>
              <w:tab w:val="clear" w:pos="7609"/>
              <w:tab w:val="right" w:pos="9026" w:leader="dot"/>
            </w:tabs>
            <w:rPr/>
          </w:pPr>
          <w:hyperlink w:anchor="__RefHeading___Toc10477969_73709187">
            <w:r>
              <w:rPr>
                <w:webHidden/>
                <w:rStyle w:val="IndexLink"/>
                <w:rtl w:val="true"/>
              </w:rPr>
              <w:t>غير مستوي الخلقة يرجعُ إلى المستوي</w:t>
            </w:r>
            <w:r>
              <w:rPr>
                <w:rStyle w:val="IndexLink"/>
                <w:rtl w:val="true"/>
              </w:rPr>
              <w:tab/>
            </w:r>
            <w:r>
              <w:rPr>
                <w:rStyle w:val="IndexLink"/>
              </w:rPr>
              <w:t>213</w:t>
            </w:r>
          </w:hyperlink>
        </w:p>
        <w:p>
          <w:pPr>
            <w:pStyle w:val="Contents6"/>
            <w:tabs>
              <w:tab w:val="clear" w:pos="7609"/>
              <w:tab w:val="right" w:pos="9026" w:leader="dot"/>
            </w:tabs>
            <w:rPr/>
          </w:pPr>
          <w:hyperlink w:anchor="__RefHeading___Toc10477971_73709187">
            <w:r>
              <w:rPr>
                <w:webHidden/>
                <w:rStyle w:val="IndexLink"/>
                <w:rtl w:val="true"/>
              </w:rPr>
              <w:t>ولو عَجَز من الإنحناء أتى بالممكن</w:t>
            </w:r>
            <w:r>
              <w:rPr>
                <w:rStyle w:val="IndexLink"/>
                <w:rtl w:val="true"/>
              </w:rPr>
              <w:tab/>
            </w:r>
            <w:r>
              <w:rPr>
                <w:rStyle w:val="IndexLink"/>
              </w:rPr>
              <w:t>214</w:t>
            </w:r>
          </w:hyperlink>
        </w:p>
        <w:p>
          <w:pPr>
            <w:pStyle w:val="Contents6"/>
            <w:tabs>
              <w:tab w:val="clear" w:pos="7609"/>
              <w:tab w:val="right" w:pos="9026" w:leader="dot"/>
            </w:tabs>
            <w:rPr/>
          </w:pPr>
          <w:hyperlink w:anchor="__RefHeading___Toc10477973_73709187">
            <w:r>
              <w:rPr>
                <w:webHidden/>
                <w:rStyle w:val="IndexLink"/>
                <w:rtl w:val="true"/>
              </w:rPr>
              <w:t>ركوع الجالس</w:t>
            </w:r>
            <w:r>
              <w:rPr>
                <w:rStyle w:val="IndexLink"/>
                <w:rtl w:val="true"/>
              </w:rPr>
              <w:tab/>
            </w:r>
            <w:r>
              <w:rPr>
                <w:rStyle w:val="IndexLink"/>
              </w:rPr>
              <w:t>216</w:t>
            </w:r>
          </w:hyperlink>
        </w:p>
        <w:p>
          <w:pPr>
            <w:pStyle w:val="Contents6"/>
            <w:tabs>
              <w:tab w:val="clear" w:pos="7609"/>
              <w:tab w:val="right" w:pos="9026" w:leader="dot"/>
            </w:tabs>
            <w:rPr/>
          </w:pPr>
          <w:hyperlink w:anchor="__RefHeading___Toc10477975_73709187">
            <w:r>
              <w:rPr>
                <w:webHidden/>
                <w:rStyle w:val="IndexLink"/>
                <w:rtl w:val="true"/>
              </w:rPr>
              <w:t>اعتبار الطمأنينة</w:t>
            </w:r>
            <w:r>
              <w:rPr>
                <w:rStyle w:val="IndexLink"/>
                <w:rtl w:val="true"/>
              </w:rPr>
              <w:tab/>
            </w:r>
            <w:r>
              <w:rPr>
                <w:rStyle w:val="IndexLink"/>
              </w:rPr>
              <w:t>219</w:t>
            </w:r>
          </w:hyperlink>
        </w:p>
        <w:p>
          <w:pPr>
            <w:pStyle w:val="Contents6"/>
            <w:tabs>
              <w:tab w:val="clear" w:pos="7609"/>
              <w:tab w:val="right" w:pos="9026" w:leader="dot"/>
            </w:tabs>
            <w:rPr/>
          </w:pPr>
          <w:hyperlink w:anchor="__RefHeading___Toc10477977_73709187">
            <w:r>
              <w:rPr>
                <w:webHidden/>
                <w:rStyle w:val="IndexLink"/>
                <w:rtl w:val="true"/>
              </w:rPr>
              <w:t>اعتبار الذّكر في الرّكوع</w:t>
            </w:r>
            <w:r>
              <w:rPr>
                <w:rStyle w:val="IndexLink"/>
                <w:rtl w:val="true"/>
              </w:rPr>
              <w:tab/>
            </w:r>
            <w:r>
              <w:rPr>
                <w:rStyle w:val="IndexLink"/>
              </w:rPr>
              <w:t>222</w:t>
            </w:r>
          </w:hyperlink>
        </w:p>
        <w:p>
          <w:pPr>
            <w:pStyle w:val="Contents6"/>
            <w:tabs>
              <w:tab w:val="clear" w:pos="7609"/>
              <w:tab w:val="right" w:pos="9026" w:leader="dot"/>
            </w:tabs>
            <w:rPr/>
          </w:pPr>
          <w:hyperlink w:anchor="__RefHeading___Toc10477979_73709187">
            <w:r>
              <w:rPr>
                <w:webHidden/>
                <w:rStyle w:val="IndexLink"/>
                <w:rtl w:val="true"/>
              </w:rPr>
              <w:t>الانتصاب بعد الرّكوع</w:t>
            </w:r>
            <w:r>
              <w:rPr>
                <w:rStyle w:val="IndexLink"/>
                <w:rtl w:val="true"/>
              </w:rPr>
              <w:tab/>
            </w:r>
            <w:r>
              <w:rPr>
                <w:rStyle w:val="IndexLink"/>
              </w:rPr>
              <w:t>228</w:t>
            </w:r>
          </w:hyperlink>
        </w:p>
        <w:p>
          <w:pPr>
            <w:pStyle w:val="Contents6"/>
            <w:tabs>
              <w:tab w:val="clear" w:pos="7609"/>
              <w:tab w:val="right" w:pos="9026" w:leader="dot"/>
            </w:tabs>
            <w:rPr/>
          </w:pPr>
          <w:hyperlink w:anchor="__RefHeading___Toc10477981_73709187">
            <w:r>
              <w:rPr>
                <w:webHidden/>
                <w:rStyle w:val="IndexLink"/>
                <w:rtl w:val="true"/>
              </w:rPr>
              <w:t>مستحبات الركوع</w:t>
            </w:r>
            <w:r>
              <w:rPr>
                <w:rStyle w:val="IndexLink"/>
                <w:rtl w:val="true"/>
              </w:rPr>
              <w:tab/>
            </w:r>
            <w:r>
              <w:rPr>
                <w:rStyle w:val="IndexLink"/>
              </w:rPr>
              <w:t>233</w:t>
            </w:r>
          </w:hyperlink>
        </w:p>
        <w:p>
          <w:pPr>
            <w:pStyle w:val="Contents6"/>
            <w:tabs>
              <w:tab w:val="clear" w:pos="7609"/>
              <w:tab w:val="right" w:pos="9026" w:leader="dot"/>
            </w:tabs>
            <w:rPr/>
          </w:pPr>
          <w:hyperlink w:anchor="__RefHeading___Toc10477983_73709187">
            <w:r>
              <w:rPr>
                <w:webHidden/>
                <w:rStyle w:val="IndexLink"/>
                <w:rtl w:val="true"/>
              </w:rPr>
              <w:t>مكروهات الرّكوع</w:t>
            </w:r>
            <w:r>
              <w:rPr>
                <w:rStyle w:val="IndexLink"/>
                <w:rtl w:val="true"/>
              </w:rPr>
              <w:tab/>
            </w:r>
            <w:r>
              <w:rPr>
                <w:rStyle w:val="IndexLink"/>
              </w:rPr>
              <w:t>242</w:t>
            </w:r>
          </w:hyperlink>
        </w:p>
        <w:p>
          <w:pPr>
            <w:pStyle w:val="Contents5"/>
            <w:tabs>
              <w:tab w:val="clear" w:pos="7892"/>
              <w:tab w:val="right" w:pos="9026" w:leader="dot"/>
            </w:tabs>
            <w:rPr/>
          </w:pPr>
          <w:hyperlink w:anchor="__RefHeading___Toc10477985_73709187">
            <w:r>
              <w:rPr>
                <w:webHidden/>
                <w:rStyle w:val="IndexLink"/>
                <w:rtl w:val="true"/>
              </w:rPr>
              <w:t>السّادس</w:t>
            </w:r>
            <w:r>
              <w:rPr>
                <w:rStyle w:val="IndexLink"/>
                <w:rtl w:val="true"/>
              </w:rPr>
              <w:t xml:space="preserve">: </w:t>
            </w:r>
            <w:r>
              <w:rPr>
                <w:rStyle w:val="IndexLink"/>
                <w:rtl w:val="true"/>
              </w:rPr>
              <w:t>السّجود</w:t>
            </w:r>
            <w:r>
              <w:rPr>
                <w:rStyle w:val="IndexLink"/>
                <w:rtl w:val="true"/>
              </w:rPr>
              <w:tab/>
            </w:r>
            <w:r>
              <w:rPr>
                <w:rStyle w:val="IndexLink"/>
              </w:rPr>
              <w:t>244</w:t>
            </w:r>
          </w:hyperlink>
        </w:p>
        <w:p>
          <w:pPr>
            <w:pStyle w:val="Contents6"/>
            <w:tabs>
              <w:tab w:val="clear" w:pos="7609"/>
              <w:tab w:val="right" w:pos="9026" w:leader="dot"/>
            </w:tabs>
            <w:rPr/>
          </w:pPr>
          <w:hyperlink w:anchor="__RefHeading___Toc10477987_73709187">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0477989_73709187">
            <w:r>
              <w:rPr>
                <w:webHidden/>
                <w:rStyle w:val="IndexLink"/>
                <w:rtl w:val="true"/>
              </w:rPr>
              <w:t>واجبات السّجود</w:t>
            </w:r>
            <w:r>
              <w:rPr>
                <w:rStyle w:val="IndexLink"/>
                <w:rtl w:val="true"/>
              </w:rPr>
              <w:tab/>
            </w:r>
            <w:r>
              <w:rPr>
                <w:rStyle w:val="IndexLink"/>
              </w:rPr>
              <w:t>246</w:t>
            </w:r>
          </w:hyperlink>
        </w:p>
        <w:p>
          <w:pPr>
            <w:pStyle w:val="Contents6"/>
            <w:tabs>
              <w:tab w:val="clear" w:pos="7609"/>
              <w:tab w:val="right" w:pos="9026" w:leader="dot"/>
            </w:tabs>
            <w:rPr/>
          </w:pPr>
          <w:hyperlink w:anchor="__RefHeading___Toc10477991_73709187">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0477993_73709187">
            <w:r>
              <w:rPr>
                <w:webHidden/>
                <w:rStyle w:val="IndexLink"/>
                <w:rtl w:val="true"/>
              </w:rPr>
              <w:t>يجبُ السّجود على سبعة أعضاء</w:t>
            </w:r>
            <w:r>
              <w:rPr>
                <w:rStyle w:val="IndexLink"/>
                <w:rtl w:val="true"/>
              </w:rPr>
              <w:tab/>
            </w:r>
            <w:r>
              <w:rPr>
                <w:rStyle w:val="IndexLink"/>
              </w:rPr>
              <w:t>246</w:t>
            </w:r>
          </w:hyperlink>
        </w:p>
        <w:p>
          <w:pPr>
            <w:pStyle w:val="Contents6"/>
            <w:tabs>
              <w:tab w:val="clear" w:pos="7609"/>
              <w:tab w:val="right" w:pos="9026" w:leader="dot"/>
            </w:tabs>
            <w:rPr/>
          </w:pPr>
          <w:hyperlink w:anchor="__RefHeading___Toc10477995_73709187">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0477997_73709187">
            <w:r>
              <w:rPr>
                <w:webHidden/>
                <w:rStyle w:val="IndexLink"/>
                <w:rtl w:val="true"/>
              </w:rPr>
              <w:t>حَدّ الجَبهة وما يجب وضعه منها</w:t>
            </w:r>
            <w:r>
              <w:rPr>
                <w:rStyle w:val="IndexLink"/>
                <w:rtl w:val="true"/>
              </w:rPr>
              <w:tab/>
            </w:r>
            <w:r>
              <w:rPr>
                <w:rStyle w:val="IndexLink"/>
              </w:rPr>
              <w:t>247</w:t>
            </w:r>
          </w:hyperlink>
        </w:p>
        <w:p>
          <w:pPr>
            <w:pStyle w:val="Contents6"/>
            <w:tabs>
              <w:tab w:val="clear" w:pos="7609"/>
              <w:tab w:val="right" w:pos="9026" w:leader="dot"/>
            </w:tabs>
            <w:rPr/>
          </w:pPr>
          <w:hyperlink w:anchor="__RefHeading___Toc10477999_73709187">
            <w:r>
              <w:rPr>
                <w:webHidden/>
                <w:rStyle w:val="IndexLink"/>
                <w:rtl w:val="true"/>
              </w:rPr>
              <w:t>حدود سائر ما يجبُ وضعه</w:t>
            </w:r>
            <w:r>
              <w:rPr>
                <w:rStyle w:val="IndexLink"/>
                <w:rtl w:val="true"/>
              </w:rPr>
              <w:tab/>
            </w:r>
            <w:r>
              <w:rPr>
                <w:rStyle w:val="IndexLink"/>
              </w:rPr>
              <w:t>250</w:t>
            </w:r>
          </w:hyperlink>
        </w:p>
        <w:p>
          <w:pPr>
            <w:pStyle w:val="Contents6"/>
            <w:tabs>
              <w:tab w:val="clear" w:pos="7609"/>
              <w:tab w:val="right" w:pos="9026" w:leader="dot"/>
            </w:tabs>
            <w:rPr/>
          </w:pPr>
          <w:hyperlink w:anchor="__RefHeading___Toc10478001_73709187">
            <w:r>
              <w:rPr>
                <w:webHidden/>
                <w:rStyle w:val="IndexLink"/>
                <w:rtl w:val="true"/>
              </w:rPr>
              <w:t>مساواة موضع الجبهة للموقف</w:t>
            </w:r>
            <w:r>
              <w:rPr>
                <w:rStyle w:val="IndexLink"/>
                <w:rtl w:val="true"/>
              </w:rPr>
              <w:tab/>
            </w:r>
            <w:r>
              <w:rPr>
                <w:rStyle w:val="IndexLink"/>
              </w:rPr>
              <w:t>253</w:t>
            </w:r>
          </w:hyperlink>
        </w:p>
        <w:p>
          <w:pPr>
            <w:pStyle w:val="Contents6"/>
            <w:tabs>
              <w:tab w:val="clear" w:pos="7609"/>
              <w:tab w:val="right" w:pos="9026" w:leader="dot"/>
            </w:tabs>
            <w:rPr/>
          </w:pPr>
          <w:hyperlink w:anchor="__RefHeading___Toc10478003_73709187">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0478005_73709187">
            <w:r>
              <w:rPr>
                <w:webHidden/>
                <w:rStyle w:val="IndexLink"/>
                <w:rtl w:val="true"/>
              </w:rPr>
              <w:t>المراد من الموقف</w:t>
            </w:r>
            <w:r>
              <w:rPr>
                <w:rStyle w:val="IndexLink"/>
                <w:rtl w:val="true"/>
              </w:rPr>
              <w:tab/>
            </w:r>
            <w:r>
              <w:rPr>
                <w:rStyle w:val="IndexLink"/>
              </w:rPr>
              <w:t>257</w:t>
            </w:r>
          </w:hyperlink>
        </w:p>
        <w:p>
          <w:pPr>
            <w:pStyle w:val="Contents6"/>
            <w:tabs>
              <w:tab w:val="clear" w:pos="7609"/>
              <w:tab w:val="right" w:pos="9026" w:leader="dot"/>
            </w:tabs>
            <w:rPr/>
          </w:pPr>
          <w:hyperlink w:anchor="__RefHeading___Toc10478007_73709187">
            <w:r>
              <w:rPr>
                <w:webHidden/>
                <w:rStyle w:val="IndexLink"/>
                <w:rtl w:val="true"/>
              </w:rPr>
              <w:t>حكم السّجود على المرتفع</w:t>
            </w:r>
            <w:r>
              <w:rPr>
                <w:rStyle w:val="IndexLink"/>
                <w:rtl w:val="true"/>
              </w:rPr>
              <w:tab/>
            </w:r>
            <w:r>
              <w:rPr>
                <w:rStyle w:val="IndexLink"/>
              </w:rPr>
              <w:t>258</w:t>
            </w:r>
          </w:hyperlink>
        </w:p>
        <w:p>
          <w:pPr>
            <w:pStyle w:val="Contents6"/>
            <w:tabs>
              <w:tab w:val="clear" w:pos="7609"/>
              <w:tab w:val="right" w:pos="9026" w:leader="dot"/>
            </w:tabs>
            <w:rPr/>
          </w:pPr>
          <w:hyperlink w:anchor="__RefHeading___Toc10478009_73709187">
            <w:r>
              <w:rPr>
                <w:webHidden/>
                <w:rStyle w:val="IndexLink"/>
                <w:rtl w:val="true"/>
              </w:rPr>
              <w:t>أنْ يطمئن بقدر التسبيح</w:t>
            </w:r>
            <w:r>
              <w:rPr>
                <w:rStyle w:val="IndexLink"/>
                <w:rtl w:val="true"/>
              </w:rPr>
              <w:tab/>
            </w:r>
            <w:r>
              <w:rPr>
                <w:rStyle w:val="IndexLink"/>
              </w:rPr>
              <w:t>262</w:t>
            </w:r>
          </w:hyperlink>
        </w:p>
        <w:p>
          <w:pPr>
            <w:pStyle w:val="Contents6"/>
            <w:tabs>
              <w:tab w:val="clear" w:pos="7609"/>
              <w:tab w:val="right" w:pos="9026" w:leader="dot"/>
            </w:tabs>
            <w:rPr/>
          </w:pPr>
          <w:hyperlink w:anchor="__RefHeading___Toc10478011_73709187">
            <w:r>
              <w:rPr>
                <w:webHidden/>
                <w:rStyle w:val="IndexLink"/>
                <w:rtl w:val="true"/>
              </w:rPr>
              <w:t>الذّكر</w:t>
            </w:r>
            <w:r>
              <w:rPr>
                <w:rStyle w:val="IndexLink"/>
                <w:rtl w:val="true"/>
              </w:rPr>
              <w:tab/>
            </w:r>
            <w:r>
              <w:rPr>
                <w:rStyle w:val="IndexLink"/>
              </w:rPr>
              <w:t>263</w:t>
            </w:r>
          </w:hyperlink>
        </w:p>
        <w:p>
          <w:pPr>
            <w:pStyle w:val="Contents6"/>
            <w:tabs>
              <w:tab w:val="clear" w:pos="7609"/>
              <w:tab w:val="right" w:pos="9026" w:leader="dot"/>
            </w:tabs>
            <w:rPr/>
          </w:pPr>
          <w:hyperlink w:anchor="__RefHeading___Toc10478013_73709187">
            <w:r>
              <w:rPr>
                <w:webHidden/>
                <w:rStyle w:val="IndexLink"/>
                <w:rtl w:val="true"/>
              </w:rPr>
              <w:t>رفع الرأس منه</w:t>
            </w:r>
            <w:r>
              <w:rPr>
                <w:rStyle w:val="IndexLink"/>
                <w:rtl w:val="true"/>
              </w:rPr>
              <w:tab/>
            </w:r>
            <w:r>
              <w:rPr>
                <w:rStyle w:val="IndexLink"/>
              </w:rPr>
              <w:t>263</w:t>
            </w:r>
          </w:hyperlink>
        </w:p>
        <w:p>
          <w:pPr>
            <w:pStyle w:val="Contents6"/>
            <w:tabs>
              <w:tab w:val="clear" w:pos="7609"/>
              <w:tab w:val="right" w:pos="9026" w:leader="dot"/>
            </w:tabs>
            <w:rPr/>
          </w:pPr>
          <w:hyperlink w:anchor="__RefHeading___Toc10478015_73709187">
            <w:r>
              <w:rPr>
                <w:webHidden/>
                <w:rStyle w:val="IndexLink"/>
                <w:rtl w:val="true"/>
              </w:rPr>
              <w:t>أنْ يجلس بينهما مُطمئنّاً</w:t>
            </w:r>
            <w:r>
              <w:rPr>
                <w:rStyle w:val="IndexLink"/>
                <w:rtl w:val="true"/>
              </w:rPr>
              <w:tab/>
            </w:r>
            <w:r>
              <w:rPr>
                <w:rStyle w:val="IndexLink"/>
              </w:rPr>
              <w:t>264</w:t>
            </w:r>
          </w:hyperlink>
        </w:p>
        <w:p>
          <w:pPr>
            <w:pStyle w:val="Contents6"/>
            <w:tabs>
              <w:tab w:val="clear" w:pos="7609"/>
              <w:tab w:val="right" w:pos="9026" w:leader="dot"/>
            </w:tabs>
            <w:rPr/>
          </w:pPr>
          <w:hyperlink w:anchor="__RefHeading___Toc10478017_73709187">
            <w:r>
              <w:rPr>
                <w:webHidden/>
                <w:rStyle w:val="IndexLink"/>
                <w:rtl w:val="true"/>
              </w:rPr>
              <w:t>أنْ يَضعَ جَبهته على ما يصحّ السّجود عليه</w:t>
            </w:r>
            <w:r>
              <w:rPr>
                <w:rStyle w:val="IndexLink"/>
                <w:rtl w:val="true"/>
              </w:rPr>
              <w:tab/>
            </w:r>
            <w:r>
              <w:rPr>
                <w:rStyle w:val="IndexLink"/>
              </w:rPr>
              <w:t>264</w:t>
            </w:r>
          </w:hyperlink>
        </w:p>
        <w:p>
          <w:pPr>
            <w:pStyle w:val="Contents6"/>
            <w:tabs>
              <w:tab w:val="clear" w:pos="7609"/>
              <w:tab w:val="right" w:pos="9026" w:leader="dot"/>
            </w:tabs>
            <w:rPr/>
          </w:pPr>
          <w:hyperlink w:anchor="__RefHeading___Toc10478019_73709187">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0478021_73709187">
            <w:r>
              <w:rPr>
                <w:webHidden/>
                <w:rStyle w:val="IndexLink"/>
                <w:rtl w:val="true"/>
              </w:rPr>
              <w:t>فروع</w:t>
            </w:r>
            <w:r>
              <w:rPr>
                <w:rStyle w:val="IndexLink"/>
                <w:rtl w:val="true"/>
              </w:rPr>
              <w:t>:</w:t>
              <w:tab/>
            </w:r>
            <w:r>
              <w:rPr>
                <w:rStyle w:val="IndexLink"/>
              </w:rPr>
              <w:t>265</w:t>
            </w:r>
          </w:hyperlink>
        </w:p>
        <w:p>
          <w:pPr>
            <w:pStyle w:val="Contents6"/>
            <w:tabs>
              <w:tab w:val="clear" w:pos="7609"/>
              <w:tab w:val="right" w:pos="9026" w:leader="dot"/>
            </w:tabs>
            <w:rPr/>
          </w:pPr>
          <w:hyperlink w:anchor="__RefHeading___Toc10478023_73709187">
            <w:r>
              <w:rPr>
                <w:webHidden/>
                <w:rStyle w:val="IndexLink"/>
                <w:rtl w:val="true"/>
              </w:rPr>
              <w:t>وضع الجبهة على ما لا يَصحّ السّجود عليه</w:t>
            </w:r>
            <w:r>
              <w:rPr>
                <w:rStyle w:val="IndexLink"/>
                <w:rtl w:val="true"/>
              </w:rPr>
              <w:tab/>
            </w:r>
            <w:r>
              <w:rPr>
                <w:rStyle w:val="IndexLink"/>
              </w:rPr>
              <w:t>265</w:t>
            </w:r>
          </w:hyperlink>
        </w:p>
        <w:p>
          <w:pPr>
            <w:pStyle w:val="Contents6"/>
            <w:tabs>
              <w:tab w:val="clear" w:pos="7609"/>
              <w:tab w:val="right" w:pos="9026" w:leader="dot"/>
            </w:tabs>
            <w:rPr/>
          </w:pPr>
          <w:hyperlink w:anchor="__RefHeading___Toc10478025_73709187">
            <w:r>
              <w:rPr>
                <w:webHidden/>
                <w:rStyle w:val="IndexLink"/>
                <w:rtl w:val="true"/>
              </w:rPr>
              <w:t>حكم الطين اللّاصق بالجَبهة</w:t>
            </w:r>
            <w:r>
              <w:rPr>
                <w:rStyle w:val="IndexLink"/>
                <w:rtl w:val="true"/>
              </w:rPr>
              <w:tab/>
            </w:r>
            <w:r>
              <w:rPr>
                <w:rStyle w:val="IndexLink"/>
              </w:rPr>
              <w:t>268</w:t>
            </w:r>
          </w:hyperlink>
        </w:p>
        <w:p>
          <w:pPr>
            <w:pStyle w:val="Contents6"/>
            <w:tabs>
              <w:tab w:val="clear" w:pos="7609"/>
              <w:tab w:val="right" w:pos="9026" w:leader="dot"/>
            </w:tabs>
            <w:rPr/>
          </w:pPr>
          <w:hyperlink w:anchor="__RefHeading___Toc10478027_73709187">
            <w:r>
              <w:rPr>
                <w:webHidden/>
                <w:rStyle w:val="IndexLink"/>
                <w:rtl w:val="true"/>
              </w:rPr>
              <w:t>في حكم الجَبهة المندملة</w:t>
            </w:r>
            <w:r>
              <w:rPr>
                <w:rStyle w:val="IndexLink"/>
                <w:rtl w:val="true"/>
              </w:rPr>
              <w:tab/>
            </w:r>
            <w:r>
              <w:rPr>
                <w:rStyle w:val="IndexLink"/>
              </w:rPr>
              <w:t>270</w:t>
            </w:r>
          </w:hyperlink>
        </w:p>
        <w:p>
          <w:pPr>
            <w:pStyle w:val="Contents6"/>
            <w:tabs>
              <w:tab w:val="clear" w:pos="7609"/>
              <w:tab w:val="right" w:pos="9026" w:leader="dot"/>
            </w:tabs>
            <w:rPr/>
          </w:pPr>
          <w:hyperlink w:anchor="__RefHeading___Toc10478029_73709187">
            <w:r>
              <w:rPr>
                <w:webHidden/>
                <w:rStyle w:val="IndexLink"/>
                <w:rtl w:val="true"/>
              </w:rPr>
              <w:t>مستحبّات السّجود</w:t>
            </w:r>
            <w:r>
              <w:rPr>
                <w:rStyle w:val="IndexLink"/>
                <w:rtl w:val="true"/>
              </w:rPr>
              <w:tab/>
            </w:r>
            <w:r>
              <w:rPr>
                <w:rStyle w:val="IndexLink"/>
              </w:rPr>
              <w:t>273</w:t>
            </w:r>
          </w:hyperlink>
        </w:p>
        <w:p>
          <w:pPr>
            <w:pStyle w:val="Contents6"/>
            <w:tabs>
              <w:tab w:val="clear" w:pos="7609"/>
              <w:tab w:val="right" w:pos="9026" w:leader="dot"/>
            </w:tabs>
            <w:rPr/>
          </w:pPr>
          <w:hyperlink w:anchor="__RefHeading___Toc10478031_73709187">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10478033_73709187">
            <w:r>
              <w:rPr>
                <w:webHidden/>
                <w:rStyle w:val="IndexLink"/>
                <w:rtl w:val="true"/>
              </w:rPr>
              <w:t>التكبير له</w:t>
            </w:r>
            <w:r>
              <w:rPr>
                <w:rStyle w:val="IndexLink"/>
                <w:rtl w:val="true"/>
              </w:rPr>
              <w:tab/>
            </w:r>
            <w:r>
              <w:rPr>
                <w:rStyle w:val="IndexLink"/>
              </w:rPr>
              <w:t>273</w:t>
            </w:r>
          </w:hyperlink>
        </w:p>
        <w:p>
          <w:pPr>
            <w:pStyle w:val="Contents6"/>
            <w:tabs>
              <w:tab w:val="clear" w:pos="7609"/>
              <w:tab w:val="right" w:pos="9026" w:leader="dot"/>
            </w:tabs>
            <w:rPr/>
          </w:pPr>
          <w:hyperlink w:anchor="__RefHeading___Toc10478035_73709187">
            <w:r>
              <w:rPr>
                <w:webHidden/>
                <w:rStyle w:val="IndexLink"/>
                <w:rtl w:val="true"/>
              </w:rPr>
              <w:t>التكبير عند رَفع الرأس منه</w:t>
            </w:r>
            <w:r>
              <w:rPr>
                <w:rStyle w:val="IndexLink"/>
                <w:rtl w:val="true"/>
              </w:rPr>
              <w:tab/>
            </w:r>
            <w:r>
              <w:rPr>
                <w:rStyle w:val="IndexLink"/>
              </w:rPr>
              <w:t>274</w:t>
            </w:r>
          </w:hyperlink>
        </w:p>
        <w:p>
          <w:pPr>
            <w:pStyle w:val="Contents6"/>
            <w:tabs>
              <w:tab w:val="clear" w:pos="7609"/>
              <w:tab w:val="right" w:pos="9026" w:leader="dot"/>
            </w:tabs>
            <w:rPr/>
          </w:pPr>
          <w:hyperlink w:anchor="__RefHeading___Toc10478037_73709187">
            <w:r>
              <w:rPr>
                <w:webHidden/>
                <w:rStyle w:val="IndexLink"/>
                <w:rtl w:val="true"/>
              </w:rPr>
              <w:t>السَّبق بيديه إلى الأرض</w:t>
            </w:r>
            <w:r>
              <w:rPr>
                <w:rStyle w:val="IndexLink"/>
                <w:rtl w:val="true"/>
              </w:rPr>
              <w:tab/>
            </w:r>
            <w:r>
              <w:rPr>
                <w:rStyle w:val="IndexLink"/>
              </w:rPr>
              <w:t>275</w:t>
            </w:r>
          </w:hyperlink>
        </w:p>
        <w:p>
          <w:pPr>
            <w:pStyle w:val="Contents6"/>
            <w:tabs>
              <w:tab w:val="clear" w:pos="7609"/>
              <w:tab w:val="right" w:pos="9026" w:leader="dot"/>
            </w:tabs>
            <w:rPr/>
          </w:pPr>
          <w:hyperlink w:anchor="__RefHeading___Toc10478039_73709187">
            <w:r>
              <w:rPr>
                <w:webHidden/>
                <w:rStyle w:val="IndexLink"/>
                <w:rtl w:val="true"/>
              </w:rPr>
              <w:t>الإرغام بالأنف</w:t>
            </w:r>
            <w:r>
              <w:rPr>
                <w:rStyle w:val="IndexLink"/>
                <w:rtl w:val="true"/>
              </w:rPr>
              <w:tab/>
            </w:r>
            <w:r>
              <w:rPr>
                <w:rStyle w:val="IndexLink"/>
              </w:rPr>
              <w:t>276</w:t>
            </w:r>
          </w:hyperlink>
        </w:p>
        <w:p>
          <w:pPr>
            <w:pStyle w:val="Contents6"/>
            <w:tabs>
              <w:tab w:val="clear" w:pos="7609"/>
              <w:tab w:val="right" w:pos="9026" w:leader="dot"/>
            </w:tabs>
            <w:rPr/>
          </w:pPr>
          <w:hyperlink w:anchor="__RefHeading___Toc10478041_73709187">
            <w:r>
              <w:rPr>
                <w:webHidden/>
                <w:rStyle w:val="IndexLink"/>
                <w:rtl w:val="true"/>
              </w:rPr>
              <w:t>الدُّعاء</w:t>
            </w:r>
            <w:r>
              <w:rPr>
                <w:rStyle w:val="IndexLink"/>
                <w:rtl w:val="true"/>
              </w:rPr>
              <w:tab/>
            </w:r>
            <w:r>
              <w:rPr>
                <w:rStyle w:val="IndexLink"/>
              </w:rPr>
              <w:t>280</w:t>
            </w:r>
          </w:hyperlink>
        </w:p>
        <w:p>
          <w:pPr>
            <w:pStyle w:val="Contents6"/>
            <w:tabs>
              <w:tab w:val="clear" w:pos="7609"/>
              <w:tab w:val="right" w:pos="9026" w:leader="dot"/>
            </w:tabs>
            <w:rPr/>
          </w:pPr>
          <w:hyperlink w:anchor="__RefHeading___Toc10478043_73709187">
            <w:r>
              <w:rPr>
                <w:webHidden/>
                <w:rStyle w:val="IndexLink"/>
                <w:rtl w:val="true"/>
              </w:rPr>
              <w:t>التسبيح الزائد</w:t>
            </w:r>
            <w:r>
              <w:rPr>
                <w:rStyle w:val="IndexLink"/>
                <w:rtl w:val="true"/>
              </w:rPr>
              <w:tab/>
            </w:r>
            <w:r>
              <w:rPr>
                <w:rStyle w:val="IndexLink"/>
              </w:rPr>
              <w:t>280</w:t>
            </w:r>
          </w:hyperlink>
        </w:p>
        <w:p>
          <w:pPr>
            <w:pStyle w:val="Contents6"/>
            <w:tabs>
              <w:tab w:val="clear" w:pos="7609"/>
              <w:tab w:val="right" w:pos="9026" w:leader="dot"/>
            </w:tabs>
            <w:rPr/>
          </w:pPr>
          <w:hyperlink w:anchor="__RefHeading___Toc10478045_73709187">
            <w:r>
              <w:rPr>
                <w:webHidden/>
                <w:rStyle w:val="IndexLink"/>
                <w:rtl w:val="true"/>
              </w:rPr>
              <w:t>جِلْسة الإستراحة</w:t>
            </w:r>
            <w:r>
              <w:rPr>
                <w:rStyle w:val="IndexLink"/>
                <w:rtl w:val="true"/>
              </w:rPr>
              <w:tab/>
            </w:r>
            <w:r>
              <w:rPr>
                <w:rStyle w:val="IndexLink"/>
              </w:rPr>
              <w:t>280</w:t>
            </w:r>
          </w:hyperlink>
        </w:p>
        <w:p>
          <w:pPr>
            <w:pStyle w:val="Contents6"/>
            <w:tabs>
              <w:tab w:val="clear" w:pos="7609"/>
              <w:tab w:val="right" w:pos="9026" w:leader="dot"/>
            </w:tabs>
            <w:rPr/>
          </w:pPr>
          <w:hyperlink w:anchor="__RefHeading___Toc10478047_73709187">
            <w:r>
              <w:rPr>
                <w:webHidden/>
                <w:rStyle w:val="IndexLink"/>
                <w:rtl w:val="true"/>
              </w:rPr>
              <w:t>الدُّعاء بينهما</w:t>
            </w:r>
            <w:r>
              <w:rPr>
                <w:rStyle w:val="IndexLink"/>
                <w:rtl w:val="true"/>
              </w:rPr>
              <w:tab/>
            </w:r>
            <w:r>
              <w:rPr>
                <w:rStyle w:val="IndexLink"/>
              </w:rPr>
              <w:t>284</w:t>
            </w:r>
          </w:hyperlink>
        </w:p>
        <w:p>
          <w:pPr>
            <w:pStyle w:val="Contents6"/>
            <w:tabs>
              <w:tab w:val="clear" w:pos="7609"/>
              <w:tab w:val="right" w:pos="9026" w:leader="dot"/>
            </w:tabs>
            <w:rPr/>
          </w:pPr>
          <w:hyperlink w:anchor="__RefHeading___Toc10478049_73709187">
            <w:r>
              <w:rPr>
                <w:webHidden/>
                <w:rStyle w:val="IndexLink"/>
                <w:rtl w:val="true"/>
              </w:rPr>
              <w:t>الاستغفار بين السَّجدتين</w:t>
            </w:r>
            <w:r>
              <w:rPr>
                <w:rStyle w:val="IndexLink"/>
                <w:rtl w:val="true"/>
              </w:rPr>
              <w:tab/>
            </w:r>
            <w:r>
              <w:rPr>
                <w:rStyle w:val="IndexLink"/>
              </w:rPr>
              <w:t>284</w:t>
            </w:r>
          </w:hyperlink>
        </w:p>
        <w:p>
          <w:pPr>
            <w:pStyle w:val="Contents6"/>
            <w:tabs>
              <w:tab w:val="clear" w:pos="7609"/>
              <w:tab w:val="right" w:pos="9026" w:leader="dot"/>
            </w:tabs>
            <w:rPr/>
          </w:pPr>
          <w:hyperlink w:anchor="__RefHeading___Toc10478051_73709187">
            <w:r>
              <w:rPr>
                <w:webHidden/>
                <w:rStyle w:val="IndexLink"/>
                <w:rtl w:val="true"/>
              </w:rPr>
              <w:t>القيام معتمداً على يديه</w:t>
            </w:r>
            <w:r>
              <w:rPr>
                <w:rStyle w:val="IndexLink"/>
                <w:rtl w:val="true"/>
              </w:rPr>
              <w:tab/>
            </w:r>
            <w:r>
              <w:rPr>
                <w:rStyle w:val="IndexLink"/>
              </w:rPr>
              <w:t>284</w:t>
            </w:r>
          </w:hyperlink>
        </w:p>
        <w:p>
          <w:pPr>
            <w:pStyle w:val="Contents6"/>
            <w:tabs>
              <w:tab w:val="clear" w:pos="7609"/>
              <w:tab w:val="right" w:pos="9026" w:leader="dot"/>
            </w:tabs>
            <w:rPr/>
          </w:pPr>
          <w:hyperlink w:anchor="__RefHeading___Toc10478053_73709187">
            <w:r>
              <w:rPr>
                <w:webHidden/>
                <w:rStyle w:val="IndexLink"/>
                <w:rtl w:val="true"/>
              </w:rPr>
              <w:t>أن يقوم سابقاً برفع ركبتيه</w:t>
            </w:r>
            <w:r>
              <w:rPr>
                <w:rStyle w:val="IndexLink"/>
                <w:rtl w:val="true"/>
              </w:rPr>
              <w:tab/>
            </w:r>
            <w:r>
              <w:rPr>
                <w:rStyle w:val="IndexLink"/>
              </w:rPr>
              <w:t>284</w:t>
            </w:r>
          </w:hyperlink>
        </w:p>
        <w:p>
          <w:pPr>
            <w:pStyle w:val="Contents6"/>
            <w:tabs>
              <w:tab w:val="clear" w:pos="7609"/>
              <w:tab w:val="right" w:pos="9026" w:leader="dot"/>
            </w:tabs>
            <w:rPr/>
          </w:pPr>
          <w:hyperlink w:anchor="__RefHeading___Toc10478055_73709187">
            <w:r>
              <w:rPr>
                <w:webHidden/>
                <w:rStyle w:val="IndexLink"/>
                <w:rtl w:val="true"/>
              </w:rPr>
              <w:t>أن يصلّي على النبيّ وآله في السَّجدتين</w:t>
            </w:r>
            <w:r>
              <w:rPr>
                <w:rStyle w:val="IndexLink"/>
                <w:rtl w:val="true"/>
              </w:rPr>
              <w:tab/>
            </w:r>
            <w:r>
              <w:rPr>
                <w:rStyle w:val="IndexLink"/>
              </w:rPr>
              <w:t>284</w:t>
            </w:r>
          </w:hyperlink>
        </w:p>
        <w:p>
          <w:pPr>
            <w:pStyle w:val="Contents6"/>
            <w:tabs>
              <w:tab w:val="clear" w:pos="7609"/>
              <w:tab w:val="right" w:pos="9026" w:leader="dot"/>
            </w:tabs>
            <w:rPr/>
          </w:pPr>
          <w:hyperlink w:anchor="__RefHeading___Toc10478057_73709187">
            <w:r>
              <w:rPr>
                <w:webHidden/>
                <w:rStyle w:val="IndexLink"/>
                <w:rtl w:val="true"/>
              </w:rPr>
              <w:t>أن يدعو بالمأثور حال النهوض إلى القيام</w:t>
            </w:r>
            <w:r>
              <w:rPr>
                <w:rStyle w:val="IndexLink"/>
                <w:rtl w:val="true"/>
              </w:rPr>
              <w:tab/>
            </w:r>
            <w:r>
              <w:rPr>
                <w:rStyle w:val="IndexLink"/>
              </w:rPr>
              <w:t>284</w:t>
            </w:r>
          </w:hyperlink>
        </w:p>
        <w:p>
          <w:pPr>
            <w:pStyle w:val="Contents6"/>
            <w:tabs>
              <w:tab w:val="clear" w:pos="7609"/>
              <w:tab w:val="right" w:pos="9026" w:leader="dot"/>
            </w:tabs>
            <w:rPr/>
          </w:pPr>
          <w:hyperlink w:anchor="__RefHeading___Toc10478059_73709187">
            <w:r>
              <w:rPr>
                <w:webHidden/>
                <w:rStyle w:val="IndexLink"/>
                <w:rtl w:val="true"/>
              </w:rPr>
              <w:t>التورّك في الجلوس بين السَّجدتين</w:t>
            </w:r>
            <w:r>
              <w:rPr>
                <w:rStyle w:val="IndexLink"/>
                <w:rtl w:val="true"/>
              </w:rPr>
              <w:tab/>
            </w:r>
            <w:r>
              <w:rPr>
                <w:rStyle w:val="IndexLink"/>
              </w:rPr>
              <w:t>285</w:t>
            </w:r>
          </w:hyperlink>
        </w:p>
        <w:p>
          <w:pPr>
            <w:pStyle w:val="Contents6"/>
            <w:tabs>
              <w:tab w:val="clear" w:pos="7609"/>
              <w:tab w:val="right" w:pos="9026" w:leader="dot"/>
            </w:tabs>
            <w:rPr/>
          </w:pPr>
          <w:hyperlink w:anchor="__RefHeading___Toc10478061_73709187">
            <w:r>
              <w:rPr>
                <w:webHidden/>
                <w:rStyle w:val="IndexLink"/>
                <w:rtl w:val="true"/>
              </w:rPr>
              <w:t>مكروهات السّجود</w:t>
            </w:r>
            <w:r>
              <w:rPr>
                <w:rStyle w:val="IndexLink"/>
                <w:rtl w:val="true"/>
              </w:rPr>
              <w:tab/>
            </w:r>
            <w:r>
              <w:rPr>
                <w:rStyle w:val="IndexLink"/>
              </w:rPr>
              <w:t>286</w:t>
            </w:r>
          </w:hyperlink>
        </w:p>
        <w:p>
          <w:pPr>
            <w:pStyle w:val="Contents6"/>
            <w:tabs>
              <w:tab w:val="clear" w:pos="7609"/>
              <w:tab w:val="right" w:pos="9026" w:leader="dot"/>
            </w:tabs>
            <w:rPr/>
          </w:pPr>
          <w:hyperlink w:anchor="__RefHeading___Toc10478063_73709187">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10478065_73709187">
            <w:r>
              <w:rPr>
                <w:webHidden/>
                <w:rStyle w:val="IndexLink"/>
                <w:rtl w:val="true"/>
              </w:rPr>
              <w:t>معنى الإقعاء</w:t>
            </w:r>
            <w:r>
              <w:rPr>
                <w:rStyle w:val="IndexLink"/>
                <w:rtl w:val="true"/>
              </w:rPr>
              <w:tab/>
            </w:r>
            <w:r>
              <w:rPr>
                <w:rStyle w:val="IndexLink"/>
              </w:rPr>
              <w:t>287</w:t>
            </w:r>
          </w:hyperlink>
        </w:p>
        <w:p>
          <w:pPr>
            <w:pStyle w:val="Contents6"/>
            <w:tabs>
              <w:tab w:val="clear" w:pos="7609"/>
              <w:tab w:val="right" w:pos="9026" w:leader="dot"/>
            </w:tabs>
            <w:rPr/>
          </w:pPr>
          <w:hyperlink w:anchor="__RefHeading___Toc10478067_73709187">
            <w:r>
              <w:rPr>
                <w:webHidden/>
                <w:rStyle w:val="IndexLink"/>
                <w:rtl w:val="true"/>
              </w:rPr>
              <w:t>سجودُ العَزيمة</w:t>
            </w:r>
            <w:r>
              <w:rPr>
                <w:rStyle w:val="IndexLink"/>
                <w:rtl w:val="true"/>
              </w:rPr>
              <w:tab/>
            </w:r>
            <w:r>
              <w:rPr>
                <w:rStyle w:val="IndexLink"/>
              </w:rPr>
              <w:t>291</w:t>
            </w:r>
          </w:hyperlink>
        </w:p>
        <w:p>
          <w:pPr>
            <w:pStyle w:val="Contents6"/>
            <w:tabs>
              <w:tab w:val="clear" w:pos="7609"/>
              <w:tab w:val="right" w:pos="9026" w:leader="dot"/>
            </w:tabs>
            <w:rPr/>
          </w:pPr>
          <w:hyperlink w:anchor="__RefHeading___Toc10478069_73709187">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0478071_73709187">
            <w:r>
              <w:rPr>
                <w:webHidden/>
                <w:rStyle w:val="IndexLink"/>
                <w:rtl w:val="true"/>
              </w:rPr>
              <w:t>أحكام سجود التلاوة</w:t>
            </w:r>
            <w:r>
              <w:rPr>
                <w:rStyle w:val="IndexLink"/>
                <w:rtl w:val="true"/>
              </w:rPr>
              <w:tab/>
            </w:r>
            <w:r>
              <w:rPr>
                <w:rStyle w:val="IndexLink"/>
              </w:rPr>
              <w:t>295</w:t>
            </w:r>
          </w:hyperlink>
        </w:p>
        <w:p>
          <w:pPr>
            <w:pStyle w:val="Contents6"/>
            <w:tabs>
              <w:tab w:val="clear" w:pos="7609"/>
              <w:tab w:val="right" w:pos="9026" w:leader="dot"/>
            </w:tabs>
            <w:rPr/>
          </w:pPr>
          <w:hyperlink w:anchor="__RefHeading___Toc10478073_73709187">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10478075_73709187">
            <w:r>
              <w:rPr>
                <w:webHidden/>
                <w:rStyle w:val="IndexLink"/>
                <w:rtl w:val="true"/>
              </w:rPr>
              <w:t>لا يجبُ السّجود بقراءة بعض الآية أو استماعه</w:t>
            </w:r>
            <w:r>
              <w:rPr>
                <w:rStyle w:val="IndexLink"/>
                <w:rtl w:val="true"/>
              </w:rPr>
              <w:tab/>
            </w:r>
            <w:r>
              <w:rPr>
                <w:rStyle w:val="IndexLink"/>
              </w:rPr>
              <w:t>295</w:t>
            </w:r>
          </w:hyperlink>
        </w:p>
        <w:p>
          <w:pPr>
            <w:pStyle w:val="Contents6"/>
            <w:tabs>
              <w:tab w:val="clear" w:pos="7609"/>
              <w:tab w:val="right" w:pos="9026" w:leader="dot"/>
            </w:tabs>
            <w:rPr/>
          </w:pPr>
          <w:hyperlink w:anchor="__RefHeading___Toc10478077_73709187">
            <w:r>
              <w:rPr>
                <w:webHidden/>
                <w:rStyle w:val="IndexLink"/>
                <w:rtl w:val="true"/>
              </w:rPr>
              <w:t>لو تحقّق الموجب فسجد، ثمّ تحقّق فردٌ آخر تجبُ سجدةً اُخرى‌</w:t>
            </w:r>
            <w:r>
              <w:rPr>
                <w:rStyle w:val="IndexLink"/>
                <w:rtl w:val="true"/>
              </w:rPr>
              <w:tab/>
            </w:r>
            <w:r>
              <w:rPr>
                <w:rStyle w:val="IndexLink"/>
              </w:rPr>
              <w:t>295</w:t>
            </w:r>
          </w:hyperlink>
        </w:p>
        <w:p>
          <w:pPr>
            <w:pStyle w:val="Contents6"/>
            <w:tabs>
              <w:tab w:val="clear" w:pos="7609"/>
              <w:tab w:val="right" w:pos="9026" w:leader="dot"/>
            </w:tabs>
            <w:rPr/>
          </w:pPr>
          <w:hyperlink w:anchor="__RefHeading___Toc10478079_73709187">
            <w:r>
              <w:rPr>
                <w:webHidden/>
                <w:rStyle w:val="IndexLink"/>
                <w:rtl w:val="true"/>
              </w:rPr>
              <w:t>وجوب السّجدة فوري</w:t>
            </w:r>
            <w:r>
              <w:rPr>
                <w:rStyle w:val="IndexLink"/>
                <w:rtl w:val="true"/>
              </w:rPr>
              <w:tab/>
            </w:r>
            <w:r>
              <w:rPr>
                <w:rStyle w:val="IndexLink"/>
              </w:rPr>
              <w:t>296</w:t>
            </w:r>
          </w:hyperlink>
        </w:p>
        <w:p>
          <w:pPr>
            <w:pStyle w:val="Contents6"/>
            <w:tabs>
              <w:tab w:val="clear" w:pos="7609"/>
              <w:tab w:val="right" w:pos="9026" w:leader="dot"/>
            </w:tabs>
            <w:rPr/>
          </w:pPr>
          <w:hyperlink w:anchor="__RefHeading___Toc10478081_73709187">
            <w:r>
              <w:rPr>
                <w:webHidden/>
                <w:rStyle w:val="IndexLink"/>
                <w:rtl w:val="true"/>
              </w:rPr>
              <w:t>من سمع السّجدة في الصَّلاة أومأ للسّجود</w:t>
            </w:r>
            <w:r>
              <w:rPr>
                <w:rStyle w:val="IndexLink"/>
                <w:rtl w:val="true"/>
              </w:rPr>
              <w:tab/>
            </w:r>
            <w:r>
              <w:rPr>
                <w:rStyle w:val="IndexLink"/>
              </w:rPr>
              <w:t>297</w:t>
            </w:r>
          </w:hyperlink>
        </w:p>
        <w:p>
          <w:pPr>
            <w:pStyle w:val="Contents6"/>
            <w:tabs>
              <w:tab w:val="clear" w:pos="7609"/>
              <w:tab w:val="right" w:pos="9026" w:leader="dot"/>
            </w:tabs>
            <w:rPr/>
          </w:pPr>
          <w:hyperlink w:anchor="__RefHeading___Toc10478083_73709187">
            <w:r>
              <w:rPr>
                <w:webHidden/>
                <w:rStyle w:val="IndexLink"/>
                <w:rtl w:val="true"/>
              </w:rPr>
              <w:t>ما يعتبر في سجود التّلاوة</w:t>
            </w:r>
            <w:r>
              <w:rPr>
                <w:rStyle w:val="IndexLink"/>
                <w:rtl w:val="true"/>
              </w:rPr>
              <w:tab/>
            </w:r>
            <w:r>
              <w:rPr>
                <w:rStyle w:val="IndexLink"/>
              </w:rPr>
              <w:t>297</w:t>
            </w:r>
          </w:hyperlink>
        </w:p>
        <w:p>
          <w:pPr>
            <w:pStyle w:val="Contents5"/>
            <w:tabs>
              <w:tab w:val="clear" w:pos="7892"/>
              <w:tab w:val="right" w:pos="9026" w:leader="dot"/>
            </w:tabs>
            <w:rPr/>
          </w:pPr>
          <w:hyperlink w:anchor="__RefHeading___Toc10478085_73709187">
            <w:r>
              <w:rPr>
                <w:webHidden/>
                <w:rStyle w:val="IndexLink"/>
                <w:rtl w:val="true"/>
              </w:rPr>
              <w:t>السابع</w:t>
            </w:r>
            <w:r>
              <w:rPr>
                <w:rStyle w:val="IndexLink"/>
                <w:rtl w:val="true"/>
              </w:rPr>
              <w:t xml:space="preserve">: </w:t>
            </w:r>
            <w:r>
              <w:rPr>
                <w:rStyle w:val="IndexLink"/>
                <w:rtl w:val="true"/>
              </w:rPr>
              <w:t>التشهّد</w:t>
            </w:r>
            <w:r>
              <w:rPr>
                <w:rStyle w:val="IndexLink"/>
                <w:rtl w:val="true"/>
              </w:rPr>
              <w:tab/>
            </w:r>
            <w:r>
              <w:rPr>
                <w:rStyle w:val="IndexLink"/>
              </w:rPr>
              <w:t>301</w:t>
            </w:r>
          </w:hyperlink>
        </w:p>
        <w:p>
          <w:pPr>
            <w:pStyle w:val="Contents6"/>
            <w:tabs>
              <w:tab w:val="clear" w:pos="7609"/>
              <w:tab w:val="right" w:pos="9026" w:leader="dot"/>
            </w:tabs>
            <w:rPr/>
          </w:pPr>
          <w:hyperlink w:anchor="__RefHeading___Toc10478087_73709187">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0478089_73709187">
            <w:r>
              <w:rPr>
                <w:webHidden/>
                <w:rStyle w:val="IndexLink"/>
                <w:rtl w:val="true"/>
              </w:rPr>
              <w:t>واجبات التشهّد</w:t>
            </w:r>
            <w:r>
              <w:rPr>
                <w:rStyle w:val="IndexLink"/>
                <w:rtl w:val="true"/>
              </w:rPr>
              <w:tab/>
            </w:r>
            <w:r>
              <w:rPr>
                <w:rStyle w:val="IndexLink"/>
              </w:rPr>
              <w:t>303</w:t>
            </w:r>
          </w:hyperlink>
        </w:p>
        <w:p>
          <w:pPr>
            <w:pStyle w:val="Contents6"/>
            <w:tabs>
              <w:tab w:val="clear" w:pos="7609"/>
              <w:tab w:val="right" w:pos="9026" w:leader="dot"/>
            </w:tabs>
            <w:rPr/>
          </w:pPr>
          <w:hyperlink w:anchor="__RefHeading___Toc10478091_73709187">
            <w:r>
              <w:rPr>
                <w:webHidden/>
                <w:rStyle w:val="IndexLink"/>
                <w:rtl w:val="true"/>
              </w:rPr>
              <w:t>كيفيّة الشهادتين</w:t>
            </w:r>
            <w:r>
              <w:rPr>
                <w:rStyle w:val="IndexLink"/>
                <w:rtl w:val="true"/>
              </w:rPr>
              <w:tab/>
            </w:r>
            <w:r>
              <w:rPr>
                <w:rStyle w:val="IndexLink"/>
              </w:rPr>
              <w:t>308</w:t>
            </w:r>
          </w:hyperlink>
        </w:p>
        <w:p>
          <w:pPr>
            <w:pStyle w:val="Contents6"/>
            <w:tabs>
              <w:tab w:val="clear" w:pos="7609"/>
              <w:tab w:val="right" w:pos="9026" w:leader="dot"/>
            </w:tabs>
            <w:rPr/>
          </w:pPr>
          <w:hyperlink w:anchor="__RefHeading___Toc10478093_73709187">
            <w:r>
              <w:rPr>
                <w:webHidden/>
                <w:rStyle w:val="IndexLink"/>
                <w:rtl w:val="true"/>
              </w:rPr>
              <w:t>فروع</w:t>
            </w:r>
            <w:r>
              <w:rPr>
                <w:rStyle w:val="IndexLink"/>
                <w:rtl w:val="true"/>
              </w:rPr>
              <w:t>:</w:t>
              <w:tab/>
            </w:r>
            <w:r>
              <w:rPr>
                <w:rStyle w:val="IndexLink"/>
              </w:rPr>
              <w:t>310</w:t>
            </w:r>
          </w:hyperlink>
        </w:p>
        <w:p>
          <w:pPr>
            <w:pStyle w:val="Contents6"/>
            <w:tabs>
              <w:tab w:val="clear" w:pos="7609"/>
              <w:tab w:val="right" w:pos="9026" w:leader="dot"/>
            </w:tabs>
            <w:rPr/>
          </w:pPr>
          <w:hyperlink w:anchor="__RefHeading___Toc10478095_73709187">
            <w:r>
              <w:rPr>
                <w:webHidden/>
                <w:rStyle w:val="IndexLink"/>
                <w:rtl w:val="true"/>
              </w:rPr>
              <w:t>مستحبّات التشهّد</w:t>
            </w:r>
            <w:r>
              <w:rPr>
                <w:rStyle w:val="IndexLink"/>
                <w:rtl w:val="true"/>
              </w:rPr>
              <w:tab/>
            </w:r>
            <w:r>
              <w:rPr>
                <w:rStyle w:val="IndexLink"/>
              </w:rPr>
              <w:t>313</w:t>
            </w:r>
          </w:hyperlink>
        </w:p>
        <w:p>
          <w:pPr>
            <w:pStyle w:val="Contents6"/>
            <w:tabs>
              <w:tab w:val="clear" w:pos="7609"/>
              <w:tab w:val="right" w:pos="9026" w:leader="dot"/>
            </w:tabs>
            <w:rPr/>
          </w:pPr>
          <w:hyperlink w:anchor="__RefHeading___Toc10478097_73709187">
            <w:r>
              <w:rPr>
                <w:webHidden/>
                <w:rStyle w:val="IndexLink"/>
                <w:rtl w:val="true"/>
              </w:rPr>
              <w:t>حكم من لا يُحسِنُ التشهّد</w:t>
            </w:r>
            <w:r>
              <w:rPr>
                <w:rStyle w:val="IndexLink"/>
                <w:rtl w:val="true"/>
              </w:rPr>
              <w:tab/>
            </w:r>
            <w:r>
              <w:rPr>
                <w:rStyle w:val="IndexLink"/>
              </w:rPr>
              <w:t>315</w:t>
            </w:r>
          </w:hyperlink>
        </w:p>
        <w:p>
          <w:pPr>
            <w:pStyle w:val="Contents5"/>
            <w:tabs>
              <w:tab w:val="clear" w:pos="7892"/>
              <w:tab w:val="right" w:pos="9026" w:leader="dot"/>
            </w:tabs>
            <w:rPr/>
          </w:pPr>
          <w:hyperlink w:anchor="__RefHeading___Toc10478099_73709187">
            <w:r>
              <w:rPr>
                <w:webHidden/>
                <w:rStyle w:val="IndexLink"/>
                <w:rtl w:val="true"/>
              </w:rPr>
              <w:t>الثامن</w:t>
            </w:r>
            <w:r>
              <w:rPr>
                <w:rStyle w:val="IndexLink"/>
                <w:rtl w:val="true"/>
              </w:rPr>
              <w:t xml:space="preserve">: </w:t>
            </w:r>
            <w:r>
              <w:rPr>
                <w:rStyle w:val="IndexLink"/>
                <w:rtl w:val="true"/>
              </w:rPr>
              <w:t>التسليم</w:t>
            </w:r>
            <w:r>
              <w:rPr>
                <w:rStyle w:val="IndexLink"/>
                <w:rtl w:val="true"/>
              </w:rPr>
              <w:tab/>
            </w:r>
            <w:r>
              <w:rPr>
                <w:rStyle w:val="IndexLink"/>
              </w:rPr>
              <w:t>318</w:t>
            </w:r>
          </w:hyperlink>
        </w:p>
        <w:p>
          <w:pPr>
            <w:pStyle w:val="Contents6"/>
            <w:tabs>
              <w:tab w:val="clear" w:pos="7609"/>
              <w:tab w:val="right" w:pos="9026" w:leader="dot"/>
            </w:tabs>
            <w:rPr/>
          </w:pPr>
          <w:hyperlink w:anchor="__RefHeading___Toc10478101_73709187">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0478103_73709187">
            <w:r>
              <w:rPr>
                <w:webHidden/>
                <w:rStyle w:val="IndexLink"/>
                <w:rtl w:val="true"/>
              </w:rPr>
              <w:t>أدلّة عدم وجوب التسليم</w:t>
            </w:r>
            <w:r>
              <w:rPr>
                <w:rStyle w:val="IndexLink"/>
                <w:rtl w:val="true"/>
              </w:rPr>
              <w:tab/>
            </w:r>
            <w:r>
              <w:rPr>
                <w:rStyle w:val="IndexLink"/>
              </w:rPr>
              <w:t>322</w:t>
            </w:r>
          </w:hyperlink>
        </w:p>
        <w:p>
          <w:pPr>
            <w:pStyle w:val="Contents6"/>
            <w:tabs>
              <w:tab w:val="clear" w:pos="7609"/>
              <w:tab w:val="right" w:pos="9026" w:leader="dot"/>
            </w:tabs>
            <w:rPr/>
          </w:pPr>
          <w:hyperlink w:anchor="__RefHeading___Toc10478105_73709187">
            <w:r>
              <w:rPr>
                <w:webHidden/>
                <w:rStyle w:val="IndexLink"/>
                <w:rtl w:val="true"/>
              </w:rPr>
              <w:t>صورة التسليم</w:t>
            </w:r>
            <w:r>
              <w:rPr>
                <w:rStyle w:val="IndexLink"/>
                <w:rtl w:val="true"/>
              </w:rPr>
              <w:tab/>
            </w:r>
            <w:r>
              <w:rPr>
                <w:rStyle w:val="IndexLink"/>
              </w:rPr>
              <w:t>328</w:t>
            </w:r>
          </w:hyperlink>
        </w:p>
        <w:p>
          <w:pPr>
            <w:pStyle w:val="Contents6"/>
            <w:tabs>
              <w:tab w:val="clear" w:pos="7609"/>
              <w:tab w:val="right" w:pos="9026" w:leader="dot"/>
            </w:tabs>
            <w:rPr/>
          </w:pPr>
          <w:hyperlink w:anchor="__RefHeading___Toc10478107_73709187">
            <w:r>
              <w:rPr>
                <w:webHidden/>
                <w:rStyle w:val="IndexLink"/>
                <w:rtl w:val="true"/>
              </w:rPr>
              <w:t>مسائل باب التسليم</w:t>
            </w:r>
            <w:r>
              <w:rPr>
                <w:rStyle w:val="IndexLink"/>
                <w:rtl w:val="true"/>
              </w:rPr>
              <w:tab/>
            </w:r>
            <w:r>
              <w:rPr>
                <w:rStyle w:val="IndexLink"/>
              </w:rPr>
              <w:t>334</w:t>
            </w:r>
          </w:hyperlink>
        </w:p>
        <w:p>
          <w:pPr>
            <w:pStyle w:val="Contents6"/>
            <w:tabs>
              <w:tab w:val="clear" w:pos="7609"/>
              <w:tab w:val="right" w:pos="9026" w:leader="dot"/>
            </w:tabs>
            <w:rPr/>
          </w:pPr>
          <w:hyperlink w:anchor="__RefHeading___Toc10478109_73709187">
            <w:r>
              <w:rPr>
                <w:webHidden/>
                <w:rStyle w:val="IndexLink"/>
                <w:rtl w:val="true"/>
              </w:rPr>
              <w:t>يستحبّ إذا اختار الاُولى‌، الإتيان بالثانية</w:t>
            </w:r>
            <w:r>
              <w:rPr>
                <w:rStyle w:val="IndexLink"/>
                <w:rtl w:val="true"/>
              </w:rPr>
              <w:tab/>
            </w:r>
            <w:r>
              <w:rPr>
                <w:rStyle w:val="IndexLink"/>
              </w:rPr>
              <w:t>334</w:t>
            </w:r>
          </w:hyperlink>
        </w:p>
        <w:p>
          <w:pPr>
            <w:pStyle w:val="Contents6"/>
            <w:tabs>
              <w:tab w:val="clear" w:pos="7609"/>
              <w:tab w:val="right" w:pos="9026" w:leader="dot"/>
            </w:tabs>
            <w:rPr/>
          </w:pPr>
          <w:hyperlink w:anchor="__RefHeading___Toc10478111_73709187">
            <w:r>
              <w:rPr>
                <w:webHidden/>
                <w:rStyle w:val="IndexLink"/>
                <w:rtl w:val="true"/>
              </w:rPr>
              <w:t>يكفي في الصيغة الثانية</w:t>
            </w:r>
            <w:r>
              <w:rPr>
                <w:rStyle w:val="IndexLink"/>
                <w:rtl w:val="true"/>
              </w:rPr>
              <w:t xml:space="preserve">: </w:t>
            </w:r>
            <w:r>
              <w:rPr>
                <w:rStyle w:val="IndexLink"/>
                <w:rtl w:val="true"/>
              </w:rPr>
              <w:t>السَّلام عليكم</w:t>
            </w:r>
            <w:r>
              <w:rPr>
                <w:rStyle w:val="IndexLink"/>
                <w:rtl w:val="true"/>
              </w:rPr>
              <w:tab/>
            </w:r>
            <w:r>
              <w:rPr>
                <w:rStyle w:val="IndexLink"/>
              </w:rPr>
              <w:t>334</w:t>
            </w:r>
          </w:hyperlink>
        </w:p>
        <w:p>
          <w:pPr>
            <w:pStyle w:val="Contents6"/>
            <w:tabs>
              <w:tab w:val="clear" w:pos="7609"/>
              <w:tab w:val="right" w:pos="9026" w:leader="dot"/>
            </w:tabs>
            <w:rPr/>
          </w:pPr>
          <w:hyperlink w:anchor="__RefHeading___Toc10478113_73709187">
            <w:r>
              <w:rPr>
                <w:webHidden/>
                <w:rStyle w:val="IndexLink"/>
                <w:rtl w:val="true"/>
              </w:rPr>
              <w:t>لا يعتبر نيّة الخروج</w:t>
            </w:r>
            <w:r>
              <w:rPr>
                <w:rStyle w:val="IndexLink"/>
                <w:rtl w:val="true"/>
              </w:rPr>
              <w:tab/>
            </w:r>
            <w:r>
              <w:rPr>
                <w:rStyle w:val="IndexLink"/>
              </w:rPr>
              <w:t>335</w:t>
            </w:r>
          </w:hyperlink>
        </w:p>
        <w:p>
          <w:pPr>
            <w:pStyle w:val="Contents6"/>
            <w:tabs>
              <w:tab w:val="clear" w:pos="7609"/>
              <w:tab w:val="right" w:pos="9026" w:leader="dot"/>
            </w:tabs>
            <w:rPr/>
          </w:pPr>
          <w:hyperlink w:anchor="__RefHeading___Toc10478115_73709187">
            <w:r>
              <w:rPr>
                <w:webHidden/>
                <w:rStyle w:val="IndexLink"/>
                <w:rtl w:val="true"/>
              </w:rPr>
              <w:t>مستحبّات التَّسليم</w:t>
            </w:r>
            <w:r>
              <w:rPr>
                <w:rStyle w:val="IndexLink"/>
                <w:rtl w:val="true"/>
              </w:rPr>
              <w:tab/>
            </w:r>
            <w:r>
              <w:rPr>
                <w:rStyle w:val="IndexLink"/>
              </w:rPr>
              <w:t>338</w:t>
            </w:r>
          </w:hyperlink>
        </w:p>
        <w:p>
          <w:pPr>
            <w:pStyle w:val="Contents4"/>
            <w:tabs>
              <w:tab w:val="clear" w:pos="8176"/>
              <w:tab w:val="right" w:pos="9026" w:leader="dot"/>
            </w:tabs>
            <w:rPr/>
          </w:pPr>
          <w:hyperlink w:anchor="__RefHeading___Toc10478117_73709187">
            <w:r>
              <w:rPr>
                <w:webHidden/>
                <w:rStyle w:val="IndexLink"/>
                <w:rtl w:val="true"/>
              </w:rPr>
              <w:t>الفصل الثاني</w:t>
            </w:r>
            <w:r>
              <w:rPr>
                <w:rStyle w:val="IndexLink"/>
                <w:rtl w:val="true"/>
              </w:rPr>
              <w:t xml:space="preserve">: </w:t>
            </w:r>
            <w:r>
              <w:rPr>
                <w:rStyle w:val="IndexLink"/>
                <w:rtl w:val="true"/>
              </w:rPr>
              <w:t>في مندوبات الصَّلاة</w:t>
            </w:r>
            <w:r>
              <w:rPr>
                <w:rStyle w:val="IndexLink"/>
                <w:rtl w:val="true"/>
              </w:rPr>
              <w:tab/>
            </w:r>
            <w:r>
              <w:rPr>
                <w:rStyle w:val="IndexLink"/>
              </w:rPr>
              <w:t>341</w:t>
            </w:r>
          </w:hyperlink>
        </w:p>
        <w:p>
          <w:pPr>
            <w:pStyle w:val="Contents5"/>
            <w:tabs>
              <w:tab w:val="clear" w:pos="7892"/>
              <w:tab w:val="right" w:pos="9026" w:leader="dot"/>
            </w:tabs>
            <w:rPr/>
          </w:pPr>
          <w:hyperlink w:anchor="__RefHeading___Toc10478119_7370918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0478121_73709187">
            <w:r>
              <w:rPr>
                <w:webHidden/>
                <w:rStyle w:val="IndexLink"/>
                <w:rtl w:val="true"/>
              </w:rPr>
              <w:t>الأوّل</w:t>
            </w:r>
            <w:r>
              <w:rPr>
                <w:rStyle w:val="IndexLink"/>
                <w:rtl w:val="true"/>
              </w:rPr>
              <w:t xml:space="preserve">: </w:t>
            </w:r>
            <w:r>
              <w:rPr>
                <w:rStyle w:val="IndexLink"/>
                <w:rtl w:val="true"/>
              </w:rPr>
              <w:t>التوجّه بسبع تكبيرات بينهما ثلاثة أدعية</w:t>
            </w:r>
            <w:r>
              <w:rPr>
                <w:rStyle w:val="IndexLink"/>
                <w:rtl w:val="true"/>
              </w:rPr>
              <w:tab/>
            </w:r>
            <w:r>
              <w:rPr>
                <w:rStyle w:val="IndexLink"/>
              </w:rPr>
              <w:t>341</w:t>
            </w:r>
          </w:hyperlink>
        </w:p>
        <w:p>
          <w:pPr>
            <w:pStyle w:val="Contents6"/>
            <w:tabs>
              <w:tab w:val="clear" w:pos="7609"/>
              <w:tab w:val="right" w:pos="9026" w:leader="dot"/>
            </w:tabs>
            <w:rPr/>
          </w:pPr>
          <w:hyperlink w:anchor="__RefHeading___Toc10478123_73709187">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10478125_73709187">
            <w:r>
              <w:rPr>
                <w:webHidden/>
                <w:rStyle w:val="IndexLink"/>
                <w:rtl w:val="true"/>
              </w:rPr>
              <w:t>ما به الإفتتاح من التكبيرات</w:t>
            </w:r>
            <w:r>
              <w:rPr>
                <w:rStyle w:val="IndexLink"/>
                <w:rtl w:val="true"/>
              </w:rPr>
              <w:tab/>
            </w:r>
            <w:r>
              <w:rPr>
                <w:rStyle w:val="IndexLink"/>
              </w:rPr>
              <w:t>342</w:t>
            </w:r>
          </w:hyperlink>
        </w:p>
        <w:p>
          <w:pPr>
            <w:pStyle w:val="Contents6"/>
            <w:tabs>
              <w:tab w:val="clear" w:pos="7609"/>
              <w:tab w:val="right" w:pos="9026" w:leader="dot"/>
            </w:tabs>
            <w:rPr/>
          </w:pPr>
          <w:hyperlink w:anchor="__RefHeading___Toc10478127_73709187">
            <w:r>
              <w:rPr>
                <w:webHidden/>
                <w:rStyle w:val="IndexLink"/>
                <w:rtl w:val="true"/>
              </w:rPr>
              <w:t>هل يتعيّن أن يَجعل الأُولى افتتاحاً أو الأخيرة</w:t>
            </w:r>
            <w:r>
              <w:rPr>
                <w:rStyle w:val="IndexLink"/>
                <w:rtl w:val="true"/>
              </w:rPr>
              <w:tab/>
            </w:r>
            <w:r>
              <w:rPr>
                <w:rStyle w:val="IndexLink"/>
              </w:rPr>
              <w:t>344</w:t>
            </w:r>
          </w:hyperlink>
        </w:p>
        <w:p>
          <w:pPr>
            <w:pStyle w:val="Contents5"/>
            <w:tabs>
              <w:tab w:val="clear" w:pos="7892"/>
              <w:tab w:val="right" w:pos="9026" w:leader="dot"/>
            </w:tabs>
            <w:rPr/>
          </w:pPr>
          <w:hyperlink w:anchor="__RefHeading___Toc10478129_73709187">
            <w:r>
              <w:rPr>
                <w:webHidden/>
                <w:rStyle w:val="IndexLink"/>
                <w:rtl w:val="true"/>
              </w:rPr>
              <w:t>الثاني</w:t>
            </w:r>
            <w:r>
              <w:rPr>
                <w:rStyle w:val="IndexLink"/>
                <w:rtl w:val="true"/>
              </w:rPr>
              <w:t xml:space="preserve">: </w:t>
            </w:r>
            <w:r>
              <w:rPr>
                <w:rStyle w:val="IndexLink"/>
                <w:rtl w:val="true"/>
              </w:rPr>
              <w:t>القنوت</w:t>
            </w:r>
            <w:r>
              <w:rPr>
                <w:rStyle w:val="IndexLink"/>
                <w:rtl w:val="true"/>
              </w:rPr>
              <w:tab/>
            </w:r>
            <w:r>
              <w:rPr>
                <w:rStyle w:val="IndexLink"/>
              </w:rPr>
              <w:t>348</w:t>
            </w:r>
          </w:hyperlink>
        </w:p>
        <w:p>
          <w:pPr>
            <w:pStyle w:val="Contents6"/>
            <w:tabs>
              <w:tab w:val="clear" w:pos="7609"/>
              <w:tab w:val="right" w:pos="9026" w:leader="dot"/>
            </w:tabs>
            <w:rPr/>
          </w:pPr>
          <w:hyperlink w:anchor="__RefHeading___Toc10478131_73709187">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0478133_73709187">
            <w:r>
              <w:rPr>
                <w:webHidden/>
                <w:rStyle w:val="IndexLink"/>
                <w:rtl w:val="true"/>
              </w:rPr>
              <w:t>محلّ القنوت</w:t>
            </w:r>
            <w:r>
              <w:rPr>
                <w:rStyle w:val="IndexLink"/>
                <w:rtl w:val="true"/>
              </w:rPr>
              <w:tab/>
            </w:r>
            <w:r>
              <w:rPr>
                <w:rStyle w:val="IndexLink"/>
              </w:rPr>
              <w:t>352</w:t>
            </w:r>
          </w:hyperlink>
        </w:p>
        <w:p>
          <w:pPr>
            <w:pStyle w:val="Contents6"/>
            <w:tabs>
              <w:tab w:val="clear" w:pos="7609"/>
              <w:tab w:val="right" w:pos="9026" w:leader="dot"/>
            </w:tabs>
            <w:rPr/>
          </w:pPr>
          <w:hyperlink w:anchor="__RefHeading___Toc10478135_73709187">
            <w:r>
              <w:rPr>
                <w:webHidden/>
                <w:rStyle w:val="IndexLink"/>
                <w:rtl w:val="true"/>
              </w:rPr>
              <w:t>ما يُعتبر في القنوت</w:t>
            </w:r>
            <w:r>
              <w:rPr>
                <w:rStyle w:val="IndexLink"/>
                <w:rtl w:val="true"/>
              </w:rPr>
              <w:tab/>
            </w:r>
            <w:r>
              <w:rPr>
                <w:rStyle w:val="IndexLink"/>
              </w:rPr>
              <w:t>353</w:t>
            </w:r>
          </w:hyperlink>
        </w:p>
        <w:p>
          <w:pPr>
            <w:pStyle w:val="Contents6"/>
            <w:tabs>
              <w:tab w:val="clear" w:pos="7609"/>
              <w:tab w:val="right" w:pos="9026" w:leader="dot"/>
            </w:tabs>
            <w:rPr/>
          </w:pPr>
          <w:hyperlink w:anchor="__RefHeading___Toc10478137_73709187">
            <w:r>
              <w:rPr>
                <w:webHidden/>
                <w:rStyle w:val="IndexLink"/>
                <w:rtl w:val="true"/>
              </w:rPr>
              <w:t>حكم القنوت بغير العربيّة</w:t>
            </w:r>
            <w:r>
              <w:rPr>
                <w:rStyle w:val="IndexLink"/>
                <w:rtl w:val="true"/>
              </w:rPr>
              <w:tab/>
            </w:r>
            <w:r>
              <w:rPr>
                <w:rStyle w:val="IndexLink"/>
              </w:rPr>
              <w:t>355</w:t>
            </w:r>
          </w:hyperlink>
        </w:p>
        <w:p>
          <w:pPr>
            <w:pStyle w:val="Contents5"/>
            <w:tabs>
              <w:tab w:val="clear" w:pos="7892"/>
              <w:tab w:val="right" w:pos="9026" w:leader="dot"/>
            </w:tabs>
            <w:rPr/>
          </w:pPr>
          <w:hyperlink w:anchor="__RefHeading___Toc10478139_73709187">
            <w:r>
              <w:rPr>
                <w:webHidden/>
                <w:rStyle w:val="IndexLink"/>
                <w:rtl w:val="true"/>
              </w:rPr>
              <w:t>الثالث</w:t>
            </w:r>
            <w:r>
              <w:rPr>
                <w:rStyle w:val="IndexLink"/>
                <w:rtl w:val="true"/>
              </w:rPr>
              <w:t xml:space="preserve">: </w:t>
            </w:r>
            <w:r>
              <w:rPr>
                <w:rStyle w:val="IndexLink"/>
                <w:rtl w:val="true"/>
              </w:rPr>
              <w:t>نظره في حال قيامه إلى موضع سجوده</w:t>
            </w:r>
            <w:r>
              <w:rPr>
                <w:rStyle w:val="IndexLink"/>
                <w:rtl w:val="true"/>
              </w:rPr>
              <w:tab/>
            </w:r>
            <w:r>
              <w:rPr>
                <w:rStyle w:val="IndexLink"/>
              </w:rPr>
              <w:t>358</w:t>
            </w:r>
          </w:hyperlink>
        </w:p>
        <w:p>
          <w:pPr>
            <w:pStyle w:val="Contents5"/>
            <w:tabs>
              <w:tab w:val="clear" w:pos="7892"/>
              <w:tab w:val="right" w:pos="9026" w:leader="dot"/>
            </w:tabs>
            <w:rPr/>
          </w:pPr>
          <w:hyperlink w:anchor="__RefHeading___Toc10478141_73709187">
            <w:r>
              <w:rPr>
                <w:webHidden/>
                <w:rStyle w:val="IndexLink"/>
                <w:rtl w:val="true"/>
              </w:rPr>
              <w:t>الرابع</w:t>
            </w:r>
            <w:r>
              <w:rPr>
                <w:rStyle w:val="IndexLink"/>
                <w:rtl w:val="true"/>
              </w:rPr>
              <w:t xml:space="preserve">: </w:t>
            </w:r>
            <w:r>
              <w:rPr>
                <w:rStyle w:val="IndexLink"/>
                <w:rtl w:val="true"/>
              </w:rPr>
              <w:t>وضع اليدين قائماً على فَخِذيه بحذاء رُكبتيه</w:t>
            </w:r>
            <w:r>
              <w:rPr>
                <w:rStyle w:val="IndexLink"/>
                <w:rtl w:val="true"/>
              </w:rPr>
              <w:tab/>
            </w:r>
            <w:r>
              <w:rPr>
                <w:rStyle w:val="IndexLink"/>
              </w:rPr>
              <w:t>359</w:t>
            </w:r>
          </w:hyperlink>
        </w:p>
        <w:p>
          <w:pPr>
            <w:pStyle w:val="Contents5"/>
            <w:tabs>
              <w:tab w:val="clear" w:pos="7892"/>
              <w:tab w:val="right" w:pos="9026" w:leader="dot"/>
            </w:tabs>
            <w:rPr/>
          </w:pPr>
          <w:hyperlink w:anchor="__RefHeading___Toc10478143_73709187">
            <w:r>
              <w:rPr>
                <w:webHidden/>
                <w:rStyle w:val="IndexLink"/>
                <w:rtl w:val="true"/>
              </w:rPr>
              <w:t>الخامس</w:t>
            </w:r>
            <w:r>
              <w:rPr>
                <w:rStyle w:val="IndexLink"/>
                <w:rtl w:val="true"/>
              </w:rPr>
              <w:t xml:space="preserve">: </w:t>
            </w:r>
            <w:r>
              <w:rPr>
                <w:rStyle w:val="IndexLink"/>
                <w:rtl w:val="true"/>
              </w:rPr>
              <w:t>التعقيب</w:t>
            </w:r>
            <w:r>
              <w:rPr>
                <w:rStyle w:val="IndexLink"/>
                <w:rtl w:val="true"/>
              </w:rPr>
              <w:tab/>
            </w:r>
            <w:r>
              <w:rPr>
                <w:rStyle w:val="IndexLink"/>
              </w:rPr>
              <w:t>360</w:t>
            </w:r>
          </w:hyperlink>
        </w:p>
        <w:p>
          <w:pPr>
            <w:pStyle w:val="Contents4"/>
            <w:tabs>
              <w:tab w:val="clear" w:pos="8176"/>
              <w:tab w:val="right" w:pos="9026" w:leader="dot"/>
            </w:tabs>
            <w:rPr/>
          </w:pPr>
          <w:hyperlink w:anchor="__RefHeading___Toc10478145_73709187">
            <w:r>
              <w:rPr>
                <w:webHidden/>
                <w:rStyle w:val="IndexLink"/>
                <w:rtl w:val="true"/>
              </w:rPr>
              <w:t>الفصل الثالث</w:t>
            </w:r>
            <w:r>
              <w:rPr>
                <w:rStyle w:val="IndexLink"/>
                <w:rtl w:val="true"/>
              </w:rPr>
              <w:t xml:space="preserve">: </w:t>
            </w:r>
            <w:r>
              <w:rPr>
                <w:rStyle w:val="IndexLink"/>
                <w:rtl w:val="true"/>
              </w:rPr>
              <w:t>في قواطع الصَّلاة</w:t>
            </w:r>
            <w:r>
              <w:rPr>
                <w:rStyle w:val="IndexLink"/>
                <w:rtl w:val="true"/>
              </w:rPr>
              <w:tab/>
            </w:r>
            <w:r>
              <w:rPr>
                <w:rStyle w:val="IndexLink"/>
              </w:rPr>
              <w:t>362</w:t>
            </w:r>
          </w:hyperlink>
        </w:p>
        <w:p>
          <w:pPr>
            <w:pStyle w:val="Contents5"/>
            <w:tabs>
              <w:tab w:val="clear" w:pos="7892"/>
              <w:tab w:val="right" w:pos="9026" w:leader="dot"/>
            </w:tabs>
            <w:rPr/>
          </w:pPr>
          <w:hyperlink w:anchor="__RefHeading___Toc10478147_7370918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0478149_73709187">
            <w:r>
              <w:rPr>
                <w:webHidden/>
                <w:rStyle w:val="IndexLink"/>
                <w:rtl w:val="true"/>
              </w:rPr>
              <w:t>القواطع</w:t>
            </w:r>
            <w:r>
              <w:rPr>
                <w:rStyle w:val="IndexLink"/>
                <w:rtl w:val="true"/>
              </w:rPr>
              <w:tab/>
            </w:r>
            <w:r>
              <w:rPr>
                <w:rStyle w:val="IndexLink"/>
              </w:rPr>
              <w:t>362</w:t>
            </w:r>
          </w:hyperlink>
        </w:p>
        <w:p>
          <w:pPr>
            <w:pStyle w:val="Contents6"/>
            <w:tabs>
              <w:tab w:val="clear" w:pos="7609"/>
              <w:tab w:val="right" w:pos="9026" w:leader="dot"/>
            </w:tabs>
            <w:rPr/>
          </w:pPr>
          <w:hyperlink w:anchor="__RefHeading___Toc10478151_73709187">
            <w:r>
              <w:rPr>
                <w:webHidden/>
                <w:rStyle w:val="IndexLink"/>
                <w:rtl w:val="true"/>
              </w:rPr>
              <w:t>البحث عن نواقض الطّهارة</w:t>
            </w:r>
            <w:r>
              <w:rPr>
                <w:rStyle w:val="IndexLink"/>
                <w:rtl w:val="true"/>
              </w:rPr>
              <w:tab/>
            </w:r>
            <w:r>
              <w:rPr>
                <w:rStyle w:val="IndexLink"/>
              </w:rPr>
              <w:t>362</w:t>
            </w:r>
          </w:hyperlink>
        </w:p>
        <w:p>
          <w:pPr>
            <w:pStyle w:val="Contents6"/>
            <w:tabs>
              <w:tab w:val="clear" w:pos="7609"/>
              <w:tab w:val="right" w:pos="9026" w:leader="dot"/>
            </w:tabs>
            <w:rPr/>
          </w:pPr>
          <w:hyperlink w:anchor="__RefHeading___Toc10478153_73709187">
            <w:r>
              <w:rPr>
                <w:webHidden/>
                <w:rStyle w:val="IndexLink"/>
                <w:rtl w:val="true"/>
              </w:rPr>
              <w:t>تعمّد الإلتفات عن القبلة</w:t>
            </w:r>
            <w:r>
              <w:rPr>
                <w:rStyle w:val="IndexLink"/>
                <w:rtl w:val="true"/>
              </w:rPr>
              <w:tab/>
            </w:r>
            <w:r>
              <w:rPr>
                <w:rStyle w:val="IndexLink"/>
              </w:rPr>
              <w:t>368</w:t>
            </w:r>
          </w:hyperlink>
        </w:p>
        <w:p>
          <w:pPr>
            <w:pStyle w:val="Contents6"/>
            <w:tabs>
              <w:tab w:val="clear" w:pos="7609"/>
              <w:tab w:val="right" w:pos="9026" w:leader="dot"/>
            </w:tabs>
            <w:rPr/>
          </w:pPr>
          <w:hyperlink w:anchor="__RefHeading___Toc10478155_73709187">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0478157_73709187">
            <w:r>
              <w:rPr>
                <w:webHidden/>
                <w:rStyle w:val="IndexLink"/>
                <w:rtl w:val="true"/>
              </w:rPr>
              <w:t>الإلتفات بتمام البدن</w:t>
            </w:r>
            <w:r>
              <w:rPr>
                <w:rStyle w:val="IndexLink"/>
                <w:rtl w:val="true"/>
              </w:rPr>
              <w:tab/>
            </w:r>
            <w:r>
              <w:rPr>
                <w:rStyle w:val="IndexLink"/>
              </w:rPr>
              <w:t>369</w:t>
            </w:r>
          </w:hyperlink>
        </w:p>
        <w:p>
          <w:pPr>
            <w:pStyle w:val="Contents6"/>
            <w:tabs>
              <w:tab w:val="clear" w:pos="7609"/>
              <w:tab w:val="right" w:pos="9026" w:leader="dot"/>
            </w:tabs>
            <w:rPr/>
          </w:pPr>
          <w:hyperlink w:anchor="__RefHeading___Toc10478159_73709187">
            <w:r>
              <w:rPr>
                <w:webHidden/>
                <w:rStyle w:val="IndexLink"/>
                <w:rtl w:val="true"/>
              </w:rPr>
              <w:t>الإلتفات بالوجه</w:t>
            </w:r>
            <w:r>
              <w:rPr>
                <w:rStyle w:val="IndexLink"/>
                <w:rtl w:val="true"/>
              </w:rPr>
              <w:tab/>
            </w:r>
            <w:r>
              <w:rPr>
                <w:rStyle w:val="IndexLink"/>
              </w:rPr>
              <w:t>373</w:t>
            </w:r>
          </w:hyperlink>
        </w:p>
        <w:p>
          <w:pPr>
            <w:pStyle w:val="Contents6"/>
            <w:tabs>
              <w:tab w:val="clear" w:pos="7609"/>
              <w:tab w:val="right" w:pos="9026" w:leader="dot"/>
            </w:tabs>
            <w:rPr/>
          </w:pPr>
          <w:hyperlink w:anchor="__RefHeading___Toc10478161_73709187">
            <w:r>
              <w:rPr>
                <w:webHidden/>
                <w:rStyle w:val="IndexLink"/>
                <w:rtl w:val="true"/>
              </w:rPr>
              <w:t>تعمّد الكلام في الصَّلاة</w:t>
            </w:r>
            <w:r>
              <w:rPr>
                <w:rStyle w:val="IndexLink"/>
                <w:rtl w:val="true"/>
              </w:rPr>
              <w:tab/>
            </w:r>
            <w:r>
              <w:rPr>
                <w:rStyle w:val="IndexLink"/>
              </w:rPr>
              <w:t>376</w:t>
            </w:r>
          </w:hyperlink>
        </w:p>
        <w:p>
          <w:pPr>
            <w:pStyle w:val="Contents6"/>
            <w:tabs>
              <w:tab w:val="clear" w:pos="7609"/>
              <w:tab w:val="right" w:pos="9026" w:leader="dot"/>
            </w:tabs>
            <w:rPr/>
          </w:pPr>
          <w:hyperlink w:anchor="__RefHeading___Toc10478163_73709187">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10478165_73709187">
            <w:r>
              <w:rPr>
                <w:webHidden/>
                <w:rStyle w:val="IndexLink"/>
                <w:rtl w:val="true"/>
              </w:rPr>
              <w:t>مسائل</w:t>
            </w:r>
            <w:r>
              <w:rPr>
                <w:rStyle w:val="IndexLink"/>
                <w:rtl w:val="true"/>
              </w:rPr>
              <w:t>:</w:t>
              <w:tab/>
            </w:r>
            <w:r>
              <w:rPr>
                <w:rStyle w:val="IndexLink"/>
              </w:rPr>
              <w:t>377</w:t>
            </w:r>
          </w:hyperlink>
        </w:p>
        <w:p>
          <w:pPr>
            <w:pStyle w:val="Contents6"/>
            <w:tabs>
              <w:tab w:val="clear" w:pos="7609"/>
              <w:tab w:val="right" w:pos="9026" w:leader="dot"/>
            </w:tabs>
            <w:rPr/>
          </w:pPr>
          <w:hyperlink w:anchor="__RefHeading___Toc10478167_73709187">
            <w:r>
              <w:rPr>
                <w:webHidden/>
                <w:rStyle w:val="IndexLink"/>
                <w:rtl w:val="true"/>
              </w:rPr>
              <w:t>القهقهة في الصَّلاة</w:t>
            </w:r>
            <w:r>
              <w:rPr>
                <w:rStyle w:val="IndexLink"/>
                <w:rtl w:val="true"/>
              </w:rPr>
              <w:tab/>
            </w:r>
            <w:r>
              <w:rPr>
                <w:rStyle w:val="IndexLink"/>
              </w:rPr>
              <w:t>382</w:t>
            </w:r>
          </w:hyperlink>
        </w:p>
        <w:p>
          <w:pPr>
            <w:pStyle w:val="Contents6"/>
            <w:tabs>
              <w:tab w:val="clear" w:pos="7609"/>
              <w:tab w:val="right" w:pos="9026" w:leader="dot"/>
            </w:tabs>
            <w:rPr/>
          </w:pPr>
          <w:hyperlink w:anchor="__RefHeading___Toc10478169_73709187">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10478171_73709187">
            <w:r>
              <w:rPr>
                <w:webHidden/>
                <w:rStyle w:val="IndexLink"/>
                <w:rtl w:val="true"/>
              </w:rPr>
              <w:t>فروع</w:t>
            </w:r>
            <w:r>
              <w:rPr>
                <w:rStyle w:val="IndexLink"/>
                <w:rtl w:val="true"/>
              </w:rPr>
              <w:t>:</w:t>
              <w:tab/>
            </w:r>
            <w:r>
              <w:rPr>
                <w:rStyle w:val="IndexLink"/>
              </w:rPr>
              <w:t>384</w:t>
            </w:r>
          </w:hyperlink>
        </w:p>
        <w:p>
          <w:pPr>
            <w:pStyle w:val="Contents6"/>
            <w:tabs>
              <w:tab w:val="clear" w:pos="7609"/>
              <w:tab w:val="right" w:pos="9026" w:leader="dot"/>
            </w:tabs>
            <w:rPr/>
          </w:pPr>
          <w:hyperlink w:anchor="__RefHeading___Toc10478173_73709187">
            <w:r>
              <w:rPr>
                <w:webHidden/>
                <w:rStyle w:val="IndexLink"/>
                <w:rtl w:val="true"/>
              </w:rPr>
              <w:t>الفعل الماحي لصورة الصَّلاة</w:t>
            </w:r>
            <w:r>
              <w:rPr>
                <w:rStyle w:val="IndexLink"/>
                <w:rtl w:val="true"/>
              </w:rPr>
              <w:tab/>
            </w:r>
            <w:r>
              <w:rPr>
                <w:rStyle w:val="IndexLink"/>
              </w:rPr>
              <w:t>386</w:t>
            </w:r>
          </w:hyperlink>
        </w:p>
        <w:p>
          <w:pPr>
            <w:pStyle w:val="Contents6"/>
            <w:tabs>
              <w:tab w:val="clear" w:pos="7609"/>
              <w:tab w:val="right" w:pos="9026" w:leader="dot"/>
            </w:tabs>
            <w:rPr/>
          </w:pPr>
          <w:hyperlink w:anchor="__RefHeading___Toc10478175_73709187">
            <w:r>
              <w:rPr>
                <w:webHidden/>
                <w:rStyle w:val="IndexLink"/>
                <w:rtl w:val="true"/>
              </w:rPr>
              <w:t>في البكاء</w:t>
            </w:r>
            <w:r>
              <w:rPr>
                <w:rStyle w:val="IndexLink"/>
                <w:rtl w:val="true"/>
              </w:rPr>
              <w:tab/>
            </w:r>
            <w:r>
              <w:rPr>
                <w:rStyle w:val="IndexLink"/>
              </w:rPr>
              <w:t>389</w:t>
            </w:r>
          </w:hyperlink>
        </w:p>
        <w:p>
          <w:pPr>
            <w:pStyle w:val="Contents6"/>
            <w:tabs>
              <w:tab w:val="clear" w:pos="7609"/>
              <w:tab w:val="right" w:pos="9026" w:leader="dot"/>
            </w:tabs>
            <w:rPr/>
          </w:pPr>
          <w:hyperlink w:anchor="__RefHeading___Toc10478177_73709187">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10478179_73709187">
            <w:r>
              <w:rPr>
                <w:webHidden/>
                <w:rStyle w:val="IndexLink"/>
                <w:rtl w:val="true"/>
              </w:rPr>
              <w:t>فروع</w:t>
            </w:r>
            <w:r>
              <w:rPr>
                <w:rStyle w:val="IndexLink"/>
                <w:rtl w:val="true"/>
              </w:rPr>
              <w:t>:</w:t>
              <w:tab/>
            </w:r>
            <w:r>
              <w:rPr>
                <w:rStyle w:val="IndexLink"/>
              </w:rPr>
              <w:t>389</w:t>
            </w:r>
          </w:hyperlink>
        </w:p>
        <w:p>
          <w:pPr>
            <w:pStyle w:val="Contents6"/>
            <w:tabs>
              <w:tab w:val="clear" w:pos="7609"/>
              <w:tab w:val="right" w:pos="9026" w:leader="dot"/>
            </w:tabs>
            <w:rPr/>
          </w:pPr>
          <w:hyperlink w:anchor="__RefHeading___Toc10478181_73709187">
            <w:r>
              <w:rPr>
                <w:webHidden/>
                <w:rStyle w:val="IndexLink"/>
                <w:rtl w:val="true"/>
              </w:rPr>
              <w:t>التكتّف والتكفير</w:t>
            </w:r>
            <w:r>
              <w:rPr>
                <w:rStyle w:val="IndexLink"/>
                <w:rtl w:val="true"/>
              </w:rPr>
              <w:tab/>
            </w:r>
            <w:r>
              <w:rPr>
                <w:rStyle w:val="IndexLink"/>
              </w:rPr>
              <w:t>391</w:t>
            </w:r>
          </w:hyperlink>
        </w:p>
        <w:p>
          <w:pPr>
            <w:pStyle w:val="Contents5"/>
            <w:tabs>
              <w:tab w:val="clear" w:pos="7892"/>
              <w:tab w:val="right" w:pos="9026" w:leader="dot"/>
            </w:tabs>
            <w:rPr/>
          </w:pPr>
          <w:hyperlink w:anchor="__RefHeading___Toc10478183_73709187">
            <w:r>
              <w:rPr>
                <w:webHidden/>
                <w:rStyle w:val="IndexLink"/>
                <w:rtl w:val="true"/>
              </w:rPr>
              <w:t>مكروهات الصَّلاة</w:t>
            </w:r>
            <w:r>
              <w:rPr>
                <w:rStyle w:val="IndexLink"/>
                <w:rtl w:val="true"/>
              </w:rPr>
              <w:tab/>
            </w:r>
            <w:r>
              <w:rPr>
                <w:rStyle w:val="IndexLink"/>
              </w:rPr>
              <w:t>395</w:t>
            </w:r>
          </w:hyperlink>
        </w:p>
        <w:p>
          <w:pPr>
            <w:pStyle w:val="Contents5"/>
            <w:tabs>
              <w:tab w:val="clear" w:pos="7892"/>
              <w:tab w:val="right" w:pos="9026" w:leader="dot"/>
            </w:tabs>
            <w:rPr/>
          </w:pPr>
          <w:hyperlink w:anchor="__RefHeading___Toc10478185_73709187">
            <w:r>
              <w:rPr>
                <w:webHidden/>
                <w:rStyle w:val="IndexLink"/>
                <w:rtl w:val="true"/>
              </w:rPr>
              <w:t>مسائل</w:t>
            </w:r>
            <w:r>
              <w:rPr>
                <w:rStyle w:val="IndexLink"/>
                <w:rtl w:val="true"/>
              </w:rPr>
              <w:t>:</w:t>
              <w:tab/>
            </w:r>
            <w:r>
              <w:rPr>
                <w:rStyle w:val="IndexLink"/>
              </w:rPr>
              <w:t>398</w:t>
            </w:r>
          </w:hyperlink>
        </w:p>
        <w:p>
          <w:pPr>
            <w:pStyle w:val="Contents6"/>
            <w:tabs>
              <w:tab w:val="clear" w:pos="7609"/>
              <w:tab w:val="right" w:pos="9026" w:leader="dot"/>
            </w:tabs>
            <w:rPr/>
          </w:pPr>
          <w:hyperlink w:anchor="__RefHeading___Toc10478187_73709187">
            <w:r>
              <w:rPr>
                <w:webHidden/>
                <w:rStyle w:val="IndexLink"/>
                <w:rtl w:val="true"/>
              </w:rPr>
              <w:t>حرمة قطع الصَّلاة</w:t>
            </w:r>
            <w:r>
              <w:rPr>
                <w:rStyle w:val="IndexLink"/>
                <w:rtl w:val="true"/>
              </w:rPr>
              <w:tab/>
            </w:r>
            <w:r>
              <w:rPr>
                <w:rStyle w:val="IndexLink"/>
              </w:rPr>
              <w:t>398</w:t>
            </w:r>
          </w:hyperlink>
        </w:p>
        <w:p>
          <w:pPr>
            <w:pStyle w:val="Contents6"/>
            <w:tabs>
              <w:tab w:val="clear" w:pos="7609"/>
              <w:tab w:val="right" w:pos="9026" w:leader="dot"/>
            </w:tabs>
            <w:rPr/>
          </w:pPr>
          <w:hyperlink w:anchor="__RefHeading___Toc10478189_73709187">
            <w:r>
              <w:rPr>
                <w:webHidden/>
                <w:rStyle w:val="IndexLink"/>
                <w:rtl w:val="true"/>
              </w:rPr>
              <w:t>حكم عَقْصِ الشعر</w:t>
            </w:r>
            <w:r>
              <w:rPr>
                <w:rStyle w:val="IndexLink"/>
                <w:rtl w:val="true"/>
              </w:rPr>
              <w:tab/>
            </w:r>
            <w:r>
              <w:rPr>
                <w:rStyle w:val="IndexLink"/>
              </w:rPr>
              <w:t>403</w:t>
            </w:r>
          </w:hyperlink>
        </w:p>
        <w:p>
          <w:pPr>
            <w:pStyle w:val="Contents6"/>
            <w:tabs>
              <w:tab w:val="clear" w:pos="7609"/>
              <w:tab w:val="right" w:pos="9026" w:leader="dot"/>
            </w:tabs>
            <w:rPr/>
          </w:pPr>
          <w:hyperlink w:anchor="__RefHeading___Toc10478191_73709187">
            <w:r>
              <w:rPr>
                <w:webHidden/>
                <w:rStyle w:val="IndexLink"/>
                <w:rtl w:val="true"/>
              </w:rPr>
              <w:t>تسميت العاطس</w:t>
            </w:r>
            <w:r>
              <w:rPr>
                <w:rStyle w:val="IndexLink"/>
                <w:rtl w:val="true"/>
              </w:rPr>
              <w:tab/>
            </w:r>
            <w:r>
              <w:rPr>
                <w:rStyle w:val="IndexLink"/>
              </w:rPr>
              <w:t>405</w:t>
            </w:r>
          </w:hyperlink>
        </w:p>
        <w:p>
          <w:pPr>
            <w:pStyle w:val="Contents6"/>
            <w:tabs>
              <w:tab w:val="clear" w:pos="7609"/>
              <w:tab w:val="right" w:pos="9026" w:leader="dot"/>
            </w:tabs>
            <w:rPr/>
          </w:pPr>
          <w:hyperlink w:anchor="__RefHeading___Toc10478193_73709187">
            <w:r>
              <w:rPr>
                <w:webHidden/>
                <w:rStyle w:val="IndexLink"/>
                <w:rtl w:val="true"/>
              </w:rPr>
              <w:t>حكم رَدّ السَّلام في الصَّلاة</w:t>
            </w:r>
            <w:r>
              <w:rPr>
                <w:rStyle w:val="IndexLink"/>
                <w:rtl w:val="true"/>
              </w:rPr>
              <w:tab/>
            </w:r>
            <w:r>
              <w:rPr>
                <w:rStyle w:val="IndexLink"/>
              </w:rPr>
              <w:t>406</w:t>
            </w:r>
          </w:hyperlink>
        </w:p>
        <w:p>
          <w:pPr>
            <w:pStyle w:val="Contents6"/>
            <w:tabs>
              <w:tab w:val="clear" w:pos="7609"/>
              <w:tab w:val="right" w:pos="9026" w:leader="dot"/>
            </w:tabs>
            <w:rPr/>
          </w:pPr>
          <w:hyperlink w:anchor="__RefHeading___Toc10478195_73709187">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10478197_73709187">
            <w:r>
              <w:rPr>
                <w:webHidden/>
                <w:rStyle w:val="IndexLink"/>
                <w:rtl w:val="true"/>
              </w:rPr>
              <w:t>فروع</w:t>
            </w:r>
            <w:r>
              <w:rPr>
                <w:rStyle w:val="IndexLink"/>
                <w:rtl w:val="true"/>
              </w:rPr>
              <w:t>:</w:t>
              <w:tab/>
            </w:r>
            <w:r>
              <w:rPr>
                <w:rStyle w:val="IndexLink"/>
              </w:rPr>
              <w:t>410</w:t>
            </w:r>
          </w:hyperlink>
        </w:p>
        <w:p>
          <w:pPr>
            <w:pStyle w:val="Contents6"/>
            <w:tabs>
              <w:tab w:val="clear" w:pos="7609"/>
              <w:tab w:val="right" w:pos="9026" w:leader="dot"/>
            </w:tabs>
            <w:rPr/>
          </w:pPr>
          <w:hyperlink w:anchor="__RefHeading___Toc10478199_73709187">
            <w:r>
              <w:rPr>
                <w:webHidden/>
                <w:rStyle w:val="IndexLink"/>
                <w:rtl w:val="true"/>
              </w:rPr>
              <w:t>يجوز للمُصلّي الدُّعاء بالمباح</w:t>
            </w:r>
            <w:r>
              <w:rPr>
                <w:rStyle w:val="IndexLink"/>
                <w:rtl w:val="true"/>
              </w:rPr>
              <w:tab/>
            </w:r>
            <w:r>
              <w:rPr>
                <w:rStyle w:val="IndexLink"/>
              </w:rPr>
              <w:t>411</w:t>
            </w:r>
          </w:hyperlink>
        </w:p>
        <w:p>
          <w:pPr>
            <w:pStyle w:val="Contents3"/>
            <w:tabs>
              <w:tab w:val="clear" w:pos="8459"/>
              <w:tab w:val="right" w:pos="9026" w:leader="dot"/>
            </w:tabs>
            <w:rPr/>
          </w:pPr>
          <w:hyperlink w:anchor="__RefHeading___Toc10478201_73709187">
            <w:r>
              <w:rPr>
                <w:webHidden/>
                <w:rStyle w:val="IndexLink"/>
                <w:rtl w:val="true"/>
              </w:rPr>
              <w:t>الباب الثالث</w:t>
            </w:r>
            <w:r>
              <w:rPr>
                <w:rStyle w:val="IndexLink"/>
                <w:rtl w:val="true"/>
              </w:rPr>
              <w:t xml:space="preserve">: </w:t>
            </w:r>
            <w:r>
              <w:rPr>
                <w:rStyle w:val="IndexLink"/>
                <w:rtl w:val="true"/>
              </w:rPr>
              <w:t>في بقيّة الصَّلوات</w:t>
            </w:r>
            <w:r>
              <w:rPr>
                <w:rStyle w:val="IndexLink"/>
                <w:rtl w:val="true"/>
              </w:rPr>
              <w:tab/>
            </w:r>
            <w:r>
              <w:rPr>
                <w:rStyle w:val="IndexLink"/>
              </w:rPr>
              <w:t>412</w:t>
            </w:r>
          </w:hyperlink>
        </w:p>
        <w:p>
          <w:pPr>
            <w:pStyle w:val="Contents4"/>
            <w:tabs>
              <w:tab w:val="clear" w:pos="8176"/>
              <w:tab w:val="right" w:pos="9026" w:leader="dot"/>
            </w:tabs>
            <w:rPr/>
          </w:pPr>
          <w:hyperlink w:anchor="__RefHeading___Toc10478203_7370918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10478205_73709187">
            <w:r>
              <w:rPr>
                <w:webHidden/>
                <w:rStyle w:val="IndexLink"/>
                <w:rtl w:val="true"/>
              </w:rPr>
              <w:t>الفصل الأوّل</w:t>
            </w:r>
            <w:r>
              <w:rPr>
                <w:rStyle w:val="IndexLink"/>
                <w:rtl w:val="true"/>
              </w:rPr>
              <w:t xml:space="preserve">: </w:t>
            </w:r>
            <w:r>
              <w:rPr>
                <w:rStyle w:val="IndexLink"/>
                <w:rtl w:val="true"/>
              </w:rPr>
              <w:t>في صلاة الجمعة</w:t>
            </w:r>
            <w:r>
              <w:rPr>
                <w:rStyle w:val="IndexLink"/>
                <w:rtl w:val="true"/>
              </w:rPr>
              <w:tab/>
            </w:r>
            <w:r>
              <w:rPr>
                <w:rStyle w:val="IndexLink"/>
              </w:rPr>
              <w:t>412</w:t>
            </w:r>
          </w:hyperlink>
        </w:p>
        <w:p>
          <w:pPr>
            <w:pStyle w:val="Contents5"/>
            <w:tabs>
              <w:tab w:val="clear" w:pos="7892"/>
              <w:tab w:val="right" w:pos="9026" w:leader="dot"/>
            </w:tabs>
            <w:rPr/>
          </w:pPr>
          <w:hyperlink w:anchor="__RefHeading___Toc10478207_7370918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0478209_73709187">
            <w:r>
              <w:rPr>
                <w:webHidden/>
                <w:rStyle w:val="IndexLink"/>
                <w:rtl w:val="true"/>
              </w:rPr>
              <w:t>وقت صلاة الجمعة</w:t>
            </w:r>
            <w:r>
              <w:rPr>
                <w:rStyle w:val="IndexLink"/>
                <w:rtl w:val="true"/>
              </w:rPr>
              <w:tab/>
            </w:r>
            <w:r>
              <w:rPr>
                <w:rStyle w:val="IndexLink"/>
              </w:rPr>
              <w:t>413</w:t>
            </w:r>
          </w:hyperlink>
        </w:p>
        <w:p>
          <w:pPr>
            <w:pStyle w:val="Contents5"/>
            <w:tabs>
              <w:tab w:val="clear" w:pos="7892"/>
              <w:tab w:val="right" w:pos="9026" w:leader="dot"/>
            </w:tabs>
            <w:rPr/>
          </w:pPr>
          <w:hyperlink w:anchor="__RefHeading___Toc10478211_73709187">
            <w:r>
              <w:rPr>
                <w:webHidden/>
                <w:rStyle w:val="IndexLink"/>
                <w:rtl w:val="true"/>
              </w:rPr>
              <w:t>فروع صلاة الجمعة</w:t>
            </w:r>
            <w:r>
              <w:rPr>
                <w:rStyle w:val="IndexLink"/>
                <w:rtl w:val="true"/>
              </w:rPr>
              <w:tab/>
            </w:r>
            <w:r>
              <w:rPr>
                <w:rStyle w:val="IndexLink"/>
              </w:rPr>
              <w:t>419</w:t>
            </w:r>
          </w:hyperlink>
        </w:p>
        <w:p>
          <w:pPr>
            <w:pStyle w:val="Contents6"/>
            <w:tabs>
              <w:tab w:val="clear" w:pos="7609"/>
              <w:tab w:val="right" w:pos="9026" w:leader="dot"/>
            </w:tabs>
            <w:rPr/>
          </w:pPr>
          <w:hyperlink w:anchor="__RefHeading___Toc10478213_73709187">
            <w:r>
              <w:rPr>
                <w:webHidden/>
                <w:rStyle w:val="IndexLink"/>
                <w:rtl w:val="true"/>
              </w:rPr>
              <w:t>لو خرج الوقت والمصلّي فيها</w:t>
            </w:r>
            <w:r>
              <w:rPr>
                <w:rStyle w:val="IndexLink"/>
                <w:rtl w:val="true"/>
              </w:rPr>
              <w:tab/>
            </w:r>
            <w:r>
              <w:rPr>
                <w:rStyle w:val="IndexLink"/>
              </w:rPr>
              <w:t>419</w:t>
            </w:r>
          </w:hyperlink>
        </w:p>
        <w:p>
          <w:pPr>
            <w:pStyle w:val="Contents6"/>
            <w:tabs>
              <w:tab w:val="clear" w:pos="7609"/>
              <w:tab w:val="right" w:pos="9026" w:leader="dot"/>
            </w:tabs>
            <w:rPr/>
          </w:pPr>
          <w:hyperlink w:anchor="__RefHeading___Toc10478215_73709187">
            <w:r>
              <w:rPr>
                <w:webHidden/>
                <w:rStyle w:val="IndexLink"/>
                <w:rtl w:val="true"/>
              </w:rPr>
              <w:t>لو لم يكن شرائط الجمعة مجتمعة في أوّل الوقت</w:t>
            </w:r>
            <w:r>
              <w:rPr>
                <w:rStyle w:val="IndexLink"/>
                <w:rtl w:val="true"/>
              </w:rPr>
              <w:tab/>
            </w:r>
            <w:r>
              <w:rPr>
                <w:rStyle w:val="IndexLink"/>
              </w:rPr>
              <w:t>421</w:t>
            </w:r>
          </w:hyperlink>
        </w:p>
        <w:p>
          <w:pPr>
            <w:pStyle w:val="Contents6"/>
            <w:tabs>
              <w:tab w:val="clear" w:pos="7609"/>
              <w:tab w:val="right" w:pos="9026" w:leader="dot"/>
            </w:tabs>
            <w:rPr/>
          </w:pPr>
          <w:hyperlink w:anchor="__RefHeading___Toc10478217_73709187">
            <w:r>
              <w:rPr>
                <w:webHidden/>
                <w:rStyle w:val="IndexLink"/>
                <w:rtl w:val="true"/>
              </w:rPr>
              <w:t>إدراك الإمام في الرّكعة الثانية</w:t>
            </w:r>
            <w:r>
              <w:rPr>
                <w:rStyle w:val="IndexLink"/>
                <w:rtl w:val="true"/>
              </w:rPr>
              <w:tab/>
            </w:r>
            <w:r>
              <w:rPr>
                <w:rStyle w:val="IndexLink"/>
              </w:rPr>
              <w:t>422</w:t>
            </w:r>
          </w:hyperlink>
        </w:p>
        <w:p>
          <w:pPr>
            <w:pStyle w:val="Contents5"/>
            <w:tabs>
              <w:tab w:val="clear" w:pos="7892"/>
              <w:tab w:val="right" w:pos="9026" w:leader="dot"/>
            </w:tabs>
            <w:rPr/>
          </w:pPr>
          <w:hyperlink w:anchor="__RefHeading___Toc10478219_73709187">
            <w:r>
              <w:rPr>
                <w:webHidden/>
                <w:rStyle w:val="IndexLink"/>
                <w:rtl w:val="true"/>
              </w:rPr>
              <w:t>شروطها</w:t>
            </w:r>
            <w:r>
              <w:rPr>
                <w:rStyle w:val="IndexLink"/>
                <w:rtl w:val="true"/>
              </w:rPr>
              <w:tab/>
            </w:r>
            <w:r>
              <w:rPr>
                <w:rStyle w:val="IndexLink"/>
              </w:rPr>
              <w:t>426</w:t>
            </w:r>
          </w:hyperlink>
        </w:p>
        <w:p>
          <w:pPr>
            <w:pStyle w:val="Contents6"/>
            <w:tabs>
              <w:tab w:val="clear" w:pos="7609"/>
              <w:tab w:val="right" w:pos="9026" w:leader="dot"/>
            </w:tabs>
            <w:rPr/>
          </w:pPr>
          <w:hyperlink w:anchor="__RefHeading___Toc10478221_73709187">
            <w:r>
              <w:rPr>
                <w:webHidden/>
                <w:rStyle w:val="IndexLink"/>
                <w:rtl w:val="true"/>
              </w:rPr>
              <w:t>اشتراط وجوب الجمعة بالسّلطان العادل</w:t>
            </w:r>
            <w:r>
              <w:rPr>
                <w:rStyle w:val="IndexLink"/>
                <w:rtl w:val="true"/>
              </w:rPr>
              <w:tab/>
            </w:r>
            <w:r>
              <w:rPr>
                <w:rStyle w:val="IndexLink"/>
              </w:rPr>
              <w:t>426</w:t>
            </w:r>
          </w:hyperlink>
        </w:p>
        <w:p>
          <w:pPr>
            <w:pStyle w:val="Contents6"/>
            <w:tabs>
              <w:tab w:val="clear" w:pos="7609"/>
              <w:tab w:val="right" w:pos="9026" w:leader="dot"/>
            </w:tabs>
            <w:rPr/>
          </w:pPr>
          <w:hyperlink w:anchor="__RefHeading___Toc10478223_73709187">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10478225_73709187">
            <w:r>
              <w:rPr>
                <w:webHidden/>
                <w:rStyle w:val="IndexLink"/>
                <w:rtl w:val="true"/>
              </w:rPr>
              <w:t>أدلّة وجوبها العيني</w:t>
            </w:r>
            <w:r>
              <w:rPr>
                <w:rStyle w:val="IndexLink"/>
                <w:rtl w:val="true"/>
              </w:rPr>
              <w:tab/>
            </w:r>
            <w:r>
              <w:rPr>
                <w:rStyle w:val="IndexLink"/>
              </w:rPr>
              <w:t>428</w:t>
            </w:r>
          </w:hyperlink>
        </w:p>
        <w:p>
          <w:pPr>
            <w:pStyle w:val="Contents6"/>
            <w:tabs>
              <w:tab w:val="clear" w:pos="7609"/>
              <w:tab w:val="right" w:pos="9026" w:leader="dot"/>
            </w:tabs>
            <w:rPr/>
          </w:pPr>
          <w:hyperlink w:anchor="__RefHeading___Toc10478227_73709187">
            <w:r>
              <w:rPr>
                <w:webHidden/>
                <w:rStyle w:val="IndexLink"/>
                <w:rtl w:val="true"/>
              </w:rPr>
              <w:t>أدلّة اشتراط السلطان العادل</w:t>
            </w:r>
            <w:r>
              <w:rPr>
                <w:rStyle w:val="IndexLink"/>
                <w:rtl w:val="true"/>
              </w:rPr>
              <w:tab/>
            </w:r>
            <w:r>
              <w:rPr>
                <w:rStyle w:val="IndexLink"/>
              </w:rPr>
              <w:t>436</w:t>
            </w:r>
          </w:hyperlink>
        </w:p>
        <w:p>
          <w:pPr>
            <w:pStyle w:val="Contents6"/>
            <w:tabs>
              <w:tab w:val="clear" w:pos="7609"/>
              <w:tab w:val="right" w:pos="9026" w:leader="dot"/>
            </w:tabs>
            <w:rPr/>
          </w:pPr>
          <w:hyperlink w:anchor="__RefHeading___Toc10478229_73709187">
            <w:r>
              <w:rPr>
                <w:webHidden/>
                <w:rStyle w:val="IndexLink"/>
                <w:rtl w:val="true"/>
              </w:rPr>
              <w:t>ولاية الفقيه</w:t>
            </w:r>
            <w:r>
              <w:rPr>
                <w:rStyle w:val="IndexLink"/>
                <w:rtl w:val="true"/>
              </w:rPr>
              <w:tab/>
            </w:r>
            <w:r>
              <w:rPr>
                <w:rStyle w:val="IndexLink"/>
              </w:rPr>
              <w:t>442</w:t>
            </w:r>
          </w:hyperlink>
        </w:p>
        <w:p>
          <w:pPr>
            <w:pStyle w:val="Contents6"/>
            <w:tabs>
              <w:tab w:val="clear" w:pos="7609"/>
              <w:tab w:val="right" w:pos="9026" w:leader="dot"/>
            </w:tabs>
            <w:rPr/>
          </w:pPr>
          <w:hyperlink w:anchor="__RefHeading___Toc10478231_73709187">
            <w:r>
              <w:rPr>
                <w:webHidden/>
                <w:rStyle w:val="IndexLink"/>
                <w:rtl w:val="true"/>
              </w:rPr>
              <w:t>في اشتراط العدد</w:t>
            </w:r>
            <w:r>
              <w:rPr>
                <w:rStyle w:val="IndexLink"/>
                <w:rtl w:val="true"/>
              </w:rPr>
              <w:tab/>
            </w:r>
            <w:r>
              <w:rPr>
                <w:rStyle w:val="IndexLink"/>
              </w:rPr>
              <w:t>446</w:t>
            </w:r>
          </w:hyperlink>
        </w:p>
        <w:p>
          <w:pPr>
            <w:pStyle w:val="Contents6"/>
            <w:tabs>
              <w:tab w:val="clear" w:pos="7609"/>
              <w:tab w:val="right" w:pos="9026" w:leader="dot"/>
            </w:tabs>
            <w:rPr/>
          </w:pPr>
          <w:hyperlink w:anchor="__RefHeading___Toc10478233_73709187">
            <w:r>
              <w:rPr>
                <w:webHidden/>
                <w:rStyle w:val="IndexLink"/>
                <w:rtl w:val="true"/>
              </w:rPr>
              <w:t>في اشتراط الخطبتين</w:t>
            </w:r>
            <w:r>
              <w:rPr>
                <w:rStyle w:val="IndexLink"/>
                <w:rtl w:val="true"/>
              </w:rPr>
              <w:tab/>
            </w:r>
            <w:r>
              <w:rPr>
                <w:rStyle w:val="IndexLink"/>
              </w:rPr>
              <w:t>448</w:t>
            </w:r>
          </w:hyperlink>
        </w:p>
        <w:p>
          <w:pPr>
            <w:pStyle w:val="Contents6"/>
            <w:tabs>
              <w:tab w:val="clear" w:pos="7609"/>
              <w:tab w:val="right" w:pos="9026" w:leader="dot"/>
            </w:tabs>
            <w:rPr/>
          </w:pPr>
          <w:hyperlink w:anchor="__RefHeading___Toc10478235_73709187">
            <w:r>
              <w:rPr>
                <w:webHidden/>
                <w:rStyle w:val="IndexLink"/>
                <w:rtl w:val="true"/>
              </w:rPr>
              <w:t>الجماعة</w:t>
            </w:r>
            <w:r>
              <w:rPr>
                <w:rStyle w:val="IndexLink"/>
                <w:rtl w:val="true"/>
              </w:rPr>
              <w:tab/>
            </w:r>
            <w:r>
              <w:rPr>
                <w:rStyle w:val="IndexLink"/>
              </w:rPr>
              <w:t>450</w:t>
            </w:r>
          </w:hyperlink>
        </w:p>
        <w:p>
          <w:pPr>
            <w:pStyle w:val="Contents6"/>
            <w:tabs>
              <w:tab w:val="clear" w:pos="7609"/>
              <w:tab w:val="right" w:pos="9026" w:leader="dot"/>
            </w:tabs>
            <w:rPr/>
          </w:pPr>
          <w:hyperlink w:anchor="__RefHeading___Toc10478237_73709187">
            <w:r>
              <w:rPr>
                <w:webHidden/>
                <w:rStyle w:val="IndexLink"/>
                <w:rtl w:val="true"/>
              </w:rPr>
              <w:t>أنْ لا يكون هناك جمعةٌ اُخرى بينهما</w:t>
            </w:r>
            <w:r>
              <w:rPr>
                <w:rStyle w:val="IndexLink"/>
                <w:rtl w:val="true"/>
              </w:rPr>
              <w:tab/>
            </w:r>
            <w:r>
              <w:rPr>
                <w:rStyle w:val="IndexLink"/>
              </w:rPr>
              <w:t>450</w:t>
            </w:r>
          </w:hyperlink>
        </w:p>
        <w:p>
          <w:pPr>
            <w:pStyle w:val="Contents5"/>
            <w:tabs>
              <w:tab w:val="clear" w:pos="7892"/>
              <w:tab w:val="right" w:pos="9026" w:leader="dot"/>
            </w:tabs>
            <w:rPr/>
          </w:pPr>
          <w:hyperlink w:anchor="__RefHeading___Toc10478239_73709187">
            <w:r>
              <w:rPr>
                <w:webHidden/>
                <w:rStyle w:val="IndexLink"/>
                <w:rtl w:val="true"/>
              </w:rPr>
              <w:t>من تجبُ عليه الجمعة</w:t>
            </w:r>
            <w:r>
              <w:rPr>
                <w:rStyle w:val="IndexLink"/>
                <w:rtl w:val="true"/>
              </w:rPr>
              <w:tab/>
            </w:r>
            <w:r>
              <w:rPr>
                <w:rStyle w:val="IndexLink"/>
              </w:rPr>
              <w:t>452</w:t>
            </w:r>
          </w:hyperlink>
        </w:p>
        <w:p>
          <w:pPr>
            <w:pStyle w:val="Contents5"/>
            <w:tabs>
              <w:tab w:val="clear" w:pos="7892"/>
              <w:tab w:val="right" w:pos="9026" w:leader="dot"/>
            </w:tabs>
            <w:rPr/>
          </w:pPr>
          <w:hyperlink w:anchor="__RefHeading___Toc10478241_73709187">
            <w:r>
              <w:rPr>
                <w:webHidden/>
                <w:rStyle w:val="IndexLink"/>
                <w:rtl w:val="true"/>
              </w:rPr>
              <w:t>مسائل</w:t>
            </w:r>
            <w:r>
              <w:rPr>
                <w:rStyle w:val="IndexLink"/>
                <w:rtl w:val="true"/>
              </w:rPr>
              <w:t>:</w:t>
              <w:tab/>
            </w:r>
            <w:r>
              <w:rPr>
                <w:rStyle w:val="IndexLink"/>
              </w:rPr>
              <w:t>454</w:t>
            </w:r>
          </w:hyperlink>
        </w:p>
        <w:p>
          <w:pPr>
            <w:pStyle w:val="Contents6"/>
            <w:tabs>
              <w:tab w:val="clear" w:pos="7609"/>
              <w:tab w:val="right" w:pos="9026" w:leader="dot"/>
            </w:tabs>
            <w:rPr/>
          </w:pPr>
          <w:hyperlink w:anchor="__RefHeading___Toc10478243_73709187">
            <w:r>
              <w:rPr>
                <w:webHidden/>
                <w:rStyle w:val="IndexLink"/>
                <w:rtl w:val="true"/>
              </w:rPr>
              <w:t>لو تكلّف الحضور للجمعة من لا تجب عليه</w:t>
            </w:r>
            <w:r>
              <w:rPr>
                <w:rStyle w:val="IndexLink"/>
                <w:rtl w:val="true"/>
              </w:rPr>
              <w:tab/>
            </w:r>
            <w:r>
              <w:rPr>
                <w:rStyle w:val="IndexLink"/>
              </w:rPr>
              <w:t>454</w:t>
            </w:r>
          </w:hyperlink>
        </w:p>
        <w:p>
          <w:pPr>
            <w:pStyle w:val="Contents6"/>
            <w:tabs>
              <w:tab w:val="clear" w:pos="7609"/>
              <w:tab w:val="right" w:pos="9026" w:leader="dot"/>
            </w:tabs>
            <w:rPr/>
          </w:pPr>
          <w:hyperlink w:anchor="__RefHeading___Toc10478245_73709187">
            <w:r>
              <w:rPr>
                <w:webHidden/>
                <w:rStyle w:val="IndexLink"/>
                <w:rtl w:val="true"/>
              </w:rPr>
              <w:t>لو فاتت الجمعة وَجَبت الظهر</w:t>
            </w:r>
            <w:r>
              <w:rPr>
                <w:rStyle w:val="IndexLink"/>
                <w:rtl w:val="true"/>
              </w:rPr>
              <w:tab/>
            </w:r>
            <w:r>
              <w:rPr>
                <w:rStyle w:val="IndexLink"/>
              </w:rPr>
              <w:t>458</w:t>
            </w:r>
          </w:hyperlink>
        </w:p>
        <w:p>
          <w:pPr>
            <w:pStyle w:val="Contents6"/>
            <w:tabs>
              <w:tab w:val="clear" w:pos="7609"/>
              <w:tab w:val="right" w:pos="9026" w:leader="dot"/>
            </w:tabs>
            <w:rPr/>
          </w:pPr>
          <w:hyperlink w:anchor="__RefHeading___Toc10478247_73709187">
            <w:r>
              <w:rPr>
                <w:webHidden/>
                <w:rStyle w:val="IndexLink"/>
                <w:rtl w:val="true"/>
              </w:rPr>
              <w:t>ما يعتبر في الخُطبتين</w:t>
            </w:r>
            <w:r>
              <w:rPr>
                <w:rStyle w:val="IndexLink"/>
                <w:rtl w:val="true"/>
              </w:rPr>
              <w:tab/>
            </w:r>
            <w:r>
              <w:rPr>
                <w:rStyle w:val="IndexLink"/>
              </w:rPr>
              <w:t>459</w:t>
            </w:r>
          </w:hyperlink>
        </w:p>
        <w:p>
          <w:pPr>
            <w:pStyle w:val="Contents5"/>
            <w:tabs>
              <w:tab w:val="clear" w:pos="7892"/>
              <w:tab w:val="right" w:pos="9026" w:leader="dot"/>
            </w:tabs>
            <w:rPr/>
          </w:pPr>
          <w:hyperlink w:anchor="__RefHeading___Toc10478249_73709187">
            <w:r>
              <w:rPr>
                <w:webHidden/>
                <w:rStyle w:val="IndexLink"/>
                <w:rtl w:val="true"/>
              </w:rPr>
              <w:t>مسائل حول صلاة الجمعة</w:t>
            </w:r>
            <w:r>
              <w:rPr>
                <w:rStyle w:val="IndexLink"/>
                <w:rtl w:val="true"/>
              </w:rPr>
              <w:tab/>
            </w:r>
            <w:r>
              <w:rPr>
                <w:rStyle w:val="IndexLink"/>
              </w:rPr>
              <w:t>467</w:t>
            </w:r>
          </w:hyperlink>
        </w:p>
        <w:p>
          <w:pPr>
            <w:pStyle w:val="Contents6"/>
            <w:tabs>
              <w:tab w:val="clear" w:pos="7609"/>
              <w:tab w:val="right" w:pos="9026" w:leader="dot"/>
            </w:tabs>
            <w:rPr/>
          </w:pPr>
          <w:hyperlink w:anchor="__RefHeading___Toc10478251_73709187">
            <w:r>
              <w:rPr>
                <w:webHidden/>
                <w:rStyle w:val="IndexLink"/>
                <w:rtl w:val="true"/>
              </w:rPr>
              <w:t>الأذان الثاني بدعة</w:t>
            </w:r>
            <w:r>
              <w:rPr>
                <w:rStyle w:val="IndexLink"/>
                <w:rtl w:val="true"/>
              </w:rPr>
              <w:tab/>
            </w:r>
            <w:r>
              <w:rPr>
                <w:rStyle w:val="IndexLink"/>
              </w:rPr>
              <w:t>467</w:t>
            </w:r>
          </w:hyperlink>
        </w:p>
        <w:p>
          <w:pPr>
            <w:pStyle w:val="Contents6"/>
            <w:tabs>
              <w:tab w:val="clear" w:pos="7609"/>
              <w:tab w:val="right" w:pos="9026" w:leader="dot"/>
            </w:tabs>
            <w:rPr/>
          </w:pPr>
          <w:hyperlink w:anchor="__RefHeading___Toc10478253_73709187">
            <w:r>
              <w:rPr>
                <w:webHidden/>
                <w:rStyle w:val="IndexLink"/>
                <w:rtl w:val="true"/>
              </w:rPr>
              <w:t>يحرم البيع بعد النّداء وينعقد</w:t>
            </w:r>
            <w:r>
              <w:rPr>
                <w:rStyle w:val="IndexLink"/>
                <w:rtl w:val="true"/>
              </w:rPr>
              <w:tab/>
            </w:r>
            <w:r>
              <w:rPr>
                <w:rStyle w:val="IndexLink"/>
              </w:rPr>
              <w:t>467</w:t>
            </w:r>
          </w:hyperlink>
        </w:p>
        <w:p>
          <w:pPr>
            <w:pStyle w:val="Contents6"/>
            <w:tabs>
              <w:tab w:val="clear" w:pos="7609"/>
              <w:tab w:val="right" w:pos="9026" w:leader="dot"/>
            </w:tabs>
            <w:rPr/>
          </w:pPr>
          <w:hyperlink w:anchor="__RefHeading___Toc10478255_73709187">
            <w:r>
              <w:rPr>
                <w:webHidden/>
                <w:rStyle w:val="IndexLink"/>
                <w:rtl w:val="true"/>
              </w:rPr>
              <w:t>لو أمكن الاجتماع حال الغيبة استحبّت الجُمعة</w:t>
            </w:r>
            <w:r>
              <w:rPr>
                <w:rStyle w:val="IndexLink"/>
                <w:rtl w:val="true"/>
              </w:rPr>
              <w:tab/>
            </w:r>
            <w:r>
              <w:rPr>
                <w:rStyle w:val="IndexLink"/>
              </w:rPr>
              <w:t>468</w:t>
            </w:r>
          </w:hyperlink>
        </w:p>
        <w:p>
          <w:pPr>
            <w:pStyle w:val="Contents6"/>
            <w:tabs>
              <w:tab w:val="clear" w:pos="7609"/>
              <w:tab w:val="right" w:pos="9026" w:leader="dot"/>
            </w:tabs>
            <w:rPr/>
          </w:pPr>
          <w:hyperlink w:anchor="__RefHeading___Toc10478257_73709187">
            <w:r>
              <w:rPr>
                <w:webHidden/>
                <w:rStyle w:val="IndexLink"/>
                <w:rtl w:val="true"/>
              </w:rPr>
              <w:t>في آداب الجمعة</w:t>
            </w:r>
            <w:r>
              <w:rPr>
                <w:rStyle w:val="IndexLink"/>
                <w:rtl w:val="true"/>
              </w:rPr>
              <w:tab/>
            </w:r>
            <w:r>
              <w:rPr>
                <w:rStyle w:val="IndexLink"/>
              </w:rPr>
              <w:t>468</w:t>
            </w:r>
          </w:hyperlink>
        </w:p>
        <w:p>
          <w:pPr>
            <w:pStyle w:val="Contents4"/>
            <w:tabs>
              <w:tab w:val="clear" w:pos="8176"/>
              <w:tab w:val="right" w:pos="9026" w:leader="dot"/>
            </w:tabs>
            <w:rPr/>
          </w:pPr>
          <w:hyperlink w:anchor="__RefHeading___Toc10478259_73709187">
            <w:r>
              <w:rPr>
                <w:webHidden/>
                <w:rStyle w:val="IndexLink"/>
                <w:rtl w:val="true"/>
              </w:rPr>
              <w:t>الفصل الثاني في صلاة العيدين</w:t>
            </w:r>
            <w:r>
              <w:rPr>
                <w:rStyle w:val="IndexLink"/>
                <w:rtl w:val="true"/>
              </w:rPr>
              <w:tab/>
            </w:r>
            <w:r>
              <w:rPr>
                <w:rStyle w:val="IndexLink"/>
              </w:rPr>
              <w:t>472</w:t>
            </w:r>
          </w:hyperlink>
        </w:p>
        <w:p>
          <w:pPr>
            <w:pStyle w:val="Contents5"/>
            <w:tabs>
              <w:tab w:val="clear" w:pos="7892"/>
              <w:tab w:val="right" w:pos="9026" w:leader="dot"/>
            </w:tabs>
            <w:rPr/>
          </w:pPr>
          <w:hyperlink w:anchor="__RefHeading___Toc10478261_7370918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0478263_73709187">
            <w:r>
              <w:rPr>
                <w:webHidden/>
                <w:rStyle w:val="IndexLink"/>
                <w:rtl w:val="true"/>
              </w:rPr>
              <w:t>شروط صحّة صلاة العيدين</w:t>
            </w:r>
            <w:r>
              <w:rPr>
                <w:rStyle w:val="IndexLink"/>
                <w:rtl w:val="true"/>
              </w:rPr>
              <w:tab/>
            </w:r>
            <w:r>
              <w:rPr>
                <w:rStyle w:val="IndexLink"/>
              </w:rPr>
              <w:t>476</w:t>
            </w:r>
          </w:hyperlink>
        </w:p>
        <w:p>
          <w:pPr>
            <w:pStyle w:val="Contents5"/>
            <w:tabs>
              <w:tab w:val="clear" w:pos="7892"/>
              <w:tab w:val="right" w:pos="9026" w:leader="dot"/>
            </w:tabs>
            <w:rPr/>
          </w:pPr>
          <w:hyperlink w:anchor="__RefHeading___Toc10478265_73709187">
            <w:r>
              <w:rPr>
                <w:webHidden/>
                <w:rStyle w:val="IndexLink"/>
                <w:rtl w:val="true"/>
              </w:rPr>
              <w:t>وقت صلاة العيدين</w:t>
            </w:r>
            <w:r>
              <w:rPr>
                <w:rStyle w:val="IndexLink"/>
                <w:rtl w:val="true"/>
              </w:rPr>
              <w:tab/>
            </w:r>
            <w:r>
              <w:rPr>
                <w:rStyle w:val="IndexLink"/>
              </w:rPr>
              <w:t>480</w:t>
            </w:r>
          </w:hyperlink>
        </w:p>
        <w:p>
          <w:pPr>
            <w:pStyle w:val="Contents5"/>
            <w:tabs>
              <w:tab w:val="clear" w:pos="7892"/>
              <w:tab w:val="right" w:pos="9026" w:leader="dot"/>
            </w:tabs>
            <w:rPr/>
          </w:pPr>
          <w:hyperlink w:anchor="__RefHeading___Toc10478267_73709187">
            <w:r>
              <w:rPr>
                <w:webHidden/>
                <w:rStyle w:val="IndexLink"/>
                <w:rtl w:val="true"/>
              </w:rPr>
              <w:t>كيفيّة صلاة العيدين</w:t>
            </w:r>
            <w:r>
              <w:rPr>
                <w:rStyle w:val="IndexLink"/>
                <w:rtl w:val="true"/>
              </w:rPr>
              <w:tab/>
            </w:r>
            <w:r>
              <w:rPr>
                <w:rStyle w:val="IndexLink"/>
              </w:rPr>
              <w:t>483</w:t>
            </w:r>
          </w:hyperlink>
        </w:p>
        <w:p>
          <w:pPr>
            <w:pStyle w:val="Contents5"/>
            <w:tabs>
              <w:tab w:val="clear" w:pos="7892"/>
              <w:tab w:val="right" w:pos="9026" w:leader="dot"/>
            </w:tabs>
            <w:rPr/>
          </w:pPr>
          <w:hyperlink w:anchor="__RefHeading___Toc10478269_73709187">
            <w:r>
              <w:rPr>
                <w:webHidden/>
                <w:rStyle w:val="IndexLink"/>
                <w:rtl w:val="true"/>
              </w:rPr>
              <w:t>مستحبّات صلاة العيدين</w:t>
            </w:r>
            <w:r>
              <w:rPr>
                <w:rStyle w:val="IndexLink"/>
                <w:rtl w:val="true"/>
              </w:rPr>
              <w:tab/>
            </w:r>
            <w:r>
              <w:rPr>
                <w:rStyle w:val="IndexLink"/>
              </w:rPr>
              <w:t>486</w:t>
            </w:r>
          </w:hyperlink>
        </w:p>
        <w:p>
          <w:pPr>
            <w:pStyle w:val="Contents5"/>
            <w:tabs>
              <w:tab w:val="clear" w:pos="7892"/>
              <w:tab w:val="right" w:pos="9026" w:leader="dot"/>
            </w:tabs>
            <w:rPr/>
          </w:pPr>
          <w:hyperlink w:anchor="__RefHeading___Toc10478271_73709187">
            <w:r>
              <w:rPr>
                <w:webHidden/>
                <w:rStyle w:val="IndexLink"/>
                <w:rtl w:val="true"/>
              </w:rPr>
              <w:t>فروع صلاة العيدين</w:t>
            </w:r>
            <w:r>
              <w:rPr>
                <w:rStyle w:val="IndexLink"/>
                <w:rtl w:val="true"/>
              </w:rPr>
              <w:tab/>
            </w:r>
            <w:r>
              <w:rPr>
                <w:rStyle w:val="IndexLink"/>
              </w:rPr>
              <w:t>491</w:t>
            </w:r>
          </w:hyperlink>
        </w:p>
        <w:p>
          <w:pPr>
            <w:pStyle w:val="Contents6"/>
            <w:tabs>
              <w:tab w:val="clear" w:pos="7609"/>
              <w:tab w:val="right" w:pos="9026" w:leader="dot"/>
            </w:tabs>
            <w:rPr/>
          </w:pPr>
          <w:hyperlink w:anchor="__RefHeading___Toc10478273_73709187">
            <w:r>
              <w:rPr>
                <w:webHidden/>
                <w:rStyle w:val="IndexLink"/>
                <w:rtl w:val="true"/>
              </w:rPr>
              <w:t>يُكره التنفّل قبلها وبعدها</w:t>
            </w:r>
            <w:r>
              <w:rPr>
                <w:rStyle w:val="IndexLink"/>
                <w:rtl w:val="true"/>
              </w:rPr>
              <w:tab/>
            </w:r>
            <w:r>
              <w:rPr>
                <w:rStyle w:val="IndexLink"/>
              </w:rPr>
              <w:t>491</w:t>
            </w:r>
          </w:hyperlink>
        </w:p>
        <w:p>
          <w:pPr>
            <w:pStyle w:val="Contents6"/>
            <w:tabs>
              <w:tab w:val="clear" w:pos="7609"/>
              <w:tab w:val="right" w:pos="9026" w:leader="dot"/>
            </w:tabs>
            <w:rPr/>
          </w:pPr>
          <w:hyperlink w:anchor="__RefHeading___Toc10478275_73709187">
            <w:r>
              <w:rPr>
                <w:webHidden/>
                <w:rStyle w:val="IndexLink"/>
                <w:rtl w:val="true"/>
              </w:rPr>
              <w:t>قيل التكبير الزائد واجبٌ‌</w:t>
            </w:r>
            <w:r>
              <w:rPr>
                <w:rStyle w:val="IndexLink"/>
                <w:rtl w:val="true"/>
              </w:rPr>
              <w:tab/>
            </w:r>
            <w:r>
              <w:rPr>
                <w:rStyle w:val="IndexLink"/>
              </w:rPr>
              <w:t>492</w:t>
            </w:r>
          </w:hyperlink>
        </w:p>
        <w:p>
          <w:pPr>
            <w:pStyle w:val="Contents6"/>
            <w:tabs>
              <w:tab w:val="clear" w:pos="7609"/>
              <w:tab w:val="right" w:pos="9026" w:leader="dot"/>
            </w:tabs>
            <w:rPr/>
          </w:pPr>
          <w:hyperlink w:anchor="__RefHeading___Toc10478277_73709187">
            <w:r>
              <w:rPr>
                <w:webHidden/>
                <w:rStyle w:val="IndexLink"/>
                <w:rtl w:val="true"/>
              </w:rPr>
              <w:t>تجب الخُطبتان بعدها</w:t>
            </w:r>
            <w:r>
              <w:rPr>
                <w:rStyle w:val="IndexLink"/>
                <w:rtl w:val="true"/>
              </w:rPr>
              <w:tab/>
            </w:r>
            <w:r>
              <w:rPr>
                <w:rStyle w:val="IndexLink"/>
              </w:rPr>
              <w:t>493</w:t>
            </w:r>
          </w:hyperlink>
        </w:p>
        <w:p>
          <w:pPr>
            <w:pStyle w:val="Contents6"/>
            <w:tabs>
              <w:tab w:val="clear" w:pos="7609"/>
              <w:tab w:val="right" w:pos="9026" w:leader="dot"/>
            </w:tabs>
            <w:rPr/>
          </w:pPr>
          <w:hyperlink w:anchor="__RefHeading___Toc10478279_73709187">
            <w:r>
              <w:rPr>
                <w:webHidden/>
                <w:rStyle w:val="IndexLink"/>
                <w:rtl w:val="true"/>
              </w:rPr>
              <w:t>يُحرم السَّفر بعد طلوع الشّمس قبلها</w:t>
            </w:r>
            <w:r>
              <w:rPr>
                <w:rStyle w:val="IndexLink"/>
                <w:rtl w:val="true"/>
              </w:rPr>
              <w:tab/>
            </w:r>
            <w:r>
              <w:rPr>
                <w:rStyle w:val="IndexLink"/>
              </w:rPr>
              <w:t>494</w:t>
            </w:r>
          </w:hyperlink>
        </w:p>
        <w:p>
          <w:pPr>
            <w:pStyle w:val="Contents2"/>
            <w:tabs>
              <w:tab w:val="clear" w:pos="8743"/>
              <w:tab w:val="right" w:pos="9026" w:leader="dot"/>
            </w:tabs>
            <w:rPr/>
          </w:pPr>
          <w:hyperlink w:anchor="__RefHeading___Toc10478281_73709187">
            <w:r>
              <w:rPr>
                <w:webHidden/>
                <w:rStyle w:val="IndexLink"/>
                <w:rtl w:val="true"/>
              </w:rPr>
              <w:t>فهرس الموضوعات</w:t>
            </w:r>
            <w:r>
              <w:rPr>
                <w:rStyle w:val="IndexLink"/>
                <w:rtl w:val="true"/>
              </w:rPr>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0_96787"/>
      <w:bookmarkStart w:id="1" w:name="pg11800_96787"/>
      <w:bookmarkEnd w:id="1"/>
    </w:p>
    <w:p>
      <w:pPr>
        <w:pStyle w:val="Heading2"/>
        <w:numPr>
          <w:ilvl w:val="1"/>
          <w:numId w:val="1"/>
        </w:numPr>
        <w:rPr/>
      </w:pPr>
      <w:bookmarkStart w:id="2" w:name="pg11800_96787"/>
      <w:bookmarkStart w:id="3" w:name="__RefHeading___Toc1047773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77733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0_96791"/>
      <w:bookmarkStart w:id="8" w:name="pg11800_96791"/>
      <w:bookmarkEnd w:id="8"/>
    </w:p>
    <w:p>
      <w:pPr>
        <w:pStyle w:val="Heading2"/>
        <w:numPr>
          <w:ilvl w:val="1"/>
          <w:numId w:val="1"/>
        </w:numPr>
        <w:rPr/>
      </w:pPr>
      <w:bookmarkStart w:id="9" w:name="pg11800_96791"/>
      <w:bookmarkStart w:id="10" w:name="__RefHeading___Toc10477735_73709187"/>
      <w:bookmarkStart w:id="11" w:name="_Toc3"/>
      <w:bookmarkEnd w:id="9"/>
      <w:bookmarkEnd w:id="10"/>
      <w:r>
        <w:rPr>
          <w:rtl w:val="true"/>
        </w:rPr>
        <w:t>تتمة كتاب الصلاة</w:t>
      </w:r>
      <w:bookmarkEnd w:id="11"/>
    </w:p>
    <w:p>
      <w:pPr>
        <w:pStyle w:val="Heading3"/>
        <w:numPr>
          <w:ilvl w:val="2"/>
          <w:numId w:val="1"/>
        </w:numPr>
        <w:rPr/>
      </w:pPr>
      <w:bookmarkStart w:id="12" w:name="__RefHeading___Toc10477737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واجبةٌ ومندوبة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0477739_73709187"/>
      <w:bookmarkStart w:id="15" w:name="_Toc5"/>
      <w:bookmarkEnd w:id="14"/>
      <w:r>
        <w:rPr>
          <w:rtl w:val="true"/>
        </w:rPr>
        <w:t>الباب الثاني في أفعال الصلاة</w:t>
      </w:r>
      <w:bookmarkEnd w:id="15"/>
    </w:p>
    <w:p>
      <w:pPr>
        <w:pStyle w:val="Heading4"/>
        <w:numPr>
          <w:ilvl w:val="3"/>
          <w:numId w:val="1"/>
        </w:numPr>
        <w:rPr/>
      </w:pPr>
      <w:bookmarkStart w:id="16" w:name="__RefHeading___Toc10477741_73709187"/>
      <w:bookmarkStart w:id="17" w:name="_Toc6"/>
      <w:bookmarkEnd w:id="16"/>
      <w:r>
        <w:rPr>
          <w:rtl w:val="true"/>
        </w:rPr>
        <w:t>اشارة</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ومندوبة</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0477743_73709187"/>
      <w:bookmarkStart w:id="19" w:name="_Toc7"/>
      <w:bookmarkEnd w:id="18"/>
      <w:r>
        <w:rPr>
          <w:rtl w:val="true"/>
        </w:rPr>
        <w:t>الفصل الأوّل</w:t>
      </w:r>
      <w:r>
        <w:rPr>
          <w:rtl w:val="true"/>
        </w:rPr>
        <w:t xml:space="preserve">: </w:t>
      </w:r>
      <w:r>
        <w:rPr>
          <w:rtl w:val="true"/>
        </w:rPr>
        <w:t>الواجباتُ ثمانية</w:t>
      </w:r>
      <w:bookmarkEnd w:id="19"/>
    </w:p>
    <w:p>
      <w:pPr>
        <w:pStyle w:val="Heading5"/>
        <w:numPr>
          <w:ilvl w:val="4"/>
          <w:numId w:val="1"/>
        </w:numPr>
        <w:rPr/>
      </w:pPr>
      <w:bookmarkStart w:id="20" w:name="__RefHeading___Toc10477745_7370918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فهاهنا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وتكبيرة الإحرام، والركوع، والسّجود، والقراءة، والذكر، والتشهّد، والسلام، والترتيب، والموالاة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الإشكال، إذ لو كان المراد عَدّ واجبات الصَّلاة مطلقاً، كان المتعيّن عَدّ الطمأنينة وغيرها أيضاً، وإنْ كان المراد عَدّ الواجبات العَرَضيّة دون الواجب في الواجبات، تعيّن عدم عَدّ الذِّكْر والترتيب والموالات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ما ذكره المصنّف رحمه الله من أنّها ثمانية</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0477747_73709187"/>
      <w:bookmarkStart w:id="23" w:name="_Toc9"/>
      <w:bookmarkEnd w:id="22"/>
      <w:r>
        <w:rPr>
          <w:rtl w:val="true"/>
        </w:rPr>
        <w:t>الأوّل</w:t>
      </w:r>
      <w:r>
        <w:rPr>
          <w:rtl w:val="true"/>
        </w:rPr>
        <w:t xml:space="preserve">: </w:t>
      </w:r>
      <w:r>
        <w:rPr>
          <w:rtl w:val="true"/>
        </w:rPr>
        <w:t>النيّة</w:t>
      </w:r>
      <w:bookmarkEnd w:id="23"/>
    </w:p>
    <w:p>
      <w:pPr>
        <w:pStyle w:val="Heading6"/>
        <w:numPr>
          <w:ilvl w:val="5"/>
          <w:numId w:val="1"/>
        </w:numPr>
        <w:rPr/>
      </w:pPr>
      <w:bookmarkStart w:id="24" w:name="__RefHeading___Toc10477749_73709187"/>
      <w:bookmarkStart w:id="25" w:name="_Toc10"/>
      <w:bookmarkEnd w:id="24"/>
      <w:r>
        <w:rPr>
          <w:rtl w:val="true"/>
        </w:rPr>
        <w:t>اشارة</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الإرادة المحرِّكة للعضلات نحو الفعل، أعمّ من كونها إرادة إجماليّة أو تفصيليّة، متوقّفة على إخطار صورة الفعل وإحضارها في الذهن بعنوانه المأخوذ متعلِّقاً للأمر، وتفسيرها بما ذكرناه هو المحكيّ عن المتكلّمين والفقهاء، </w:t>
      </w:r>
    </w:p>
    <w:p>
      <w:pPr>
        <w:pStyle w:val="BookText"/>
        <w:rPr/>
      </w:pPr>
      <w:r>
        <w:rPr>
          <w:rFonts w:ascii="Amiri" w:hAnsi="Amiri" w:eastAsia="Amiri" w:cs="Amiri"/>
          <w:color w:val="111111"/>
          <w:sz w:val="28"/>
          <w:sz w:val="28"/>
          <w:szCs w:val="28"/>
          <w:rtl w:val="true"/>
          <w:lang w:bidi="ar-SA"/>
        </w:rPr>
        <w:t>حيث إنّ المتكلّمين عرّفوها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من الفاعل 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وعرّفها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إيجاد الفعل المطلوب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اعتبار النيّة في الصَّلاة من الضروريّات، فضلاً عن انعقاد الإجماع عليه، فإنّه لا شبهة في أنّ الصَّلاة واجبة، كما لا شبهة في اعتبارها في الواجبات لا سيّما العباديّة منها؛ إذ الفعل الصادر لا عن الاختيار لا يتّصف بالحُسن والقُبح، ولا يتعلّق به الأمر، فانطباق الواجب على المأتي به يتوقّف على أن يكون الفعل اختياريّاً صادراً عن الإرادة، وحيث إنّ بطلان الصَّلاة بتركها عمداً وسهواً ممّا لا خلاف فيه،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منّا محصّلاً ومنقولاً، مستفيضاً أو متواتراً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والثمرات المتوهّم ترتّبها على تحقيق كونها جزءً أو شرطاً مخدوشة، فلا وجه لإطالة البحث في هذه الجهة، مع أنّه ليس في أدلّة الطرفين ما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كونها شرطاً؛ لأنّ أفعال الصَّلاة بما أنّها واجبة، يعتبر في صحّتها ووقوعها امتثالاً لأمرها، صدروها عن النيّة، وأمّا زائداً على ذلك بحيث تكون النيّة من حيث هي مأخوذة في الصَّلاة، لتكون جزءً‌، فلا دليل عليه، فيُدفع بالأصل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بعض الأعاظم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إنّها ليست جزءً من موضوع الأمر، ولا شرطاً له؛ لأنّها ليست اختياريّة، ويمتنع تعلّق الأمر بما لا يكون اختياريّاً سواءٌ أكان لعدم اختياريّة جزئه، أم لعدم اختياريّة شرطه وقيده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 w:name="pg11800_96793"/>
    </w:p>
    <w:p>
      <w:pPr>
        <w:pStyle w:val="BookText"/>
        <w:rPr/>
      </w:pPr>
      <w:bookmarkEnd w:id="26"/>
      <w:r>
        <w:rPr>
          <w:rFonts w:ascii="Amiri" w:hAnsi="Amiri" w:eastAsia="Amiri" w:cs="Amiri"/>
          <w:color w:val="111111"/>
          <w:sz w:val="28"/>
          <w:sz w:val="28"/>
          <w:szCs w:val="28"/>
          <w:rtl w:val="true"/>
          <w:lang w:bidi="ar-SA"/>
        </w:rPr>
        <w:t>دمقارنةً لتكبيرة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حقّقناه في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والاختيار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من أنّ الإرادة اختياريّة؛ غاية الأمر الأفعال الخارجيّة، تتّصف بالاختيار لأجل سبقها بالإرادة وصدورها عنها، وهي اختياريّة بنفسها، فراجع ما ذكرناه</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10477751_73709187"/>
      <w:bookmarkStart w:id="28" w:name="_Toc11"/>
      <w:bookmarkEnd w:id="27"/>
      <w:r>
        <w:rPr>
          <w:rtl w:val="true"/>
        </w:rPr>
        <w:t>اشتراط تقارن التكبيرة</w:t>
      </w:r>
      <w:bookmarkEnd w:id="28"/>
    </w:p>
    <w:p>
      <w:pPr>
        <w:pStyle w:val="BookText"/>
        <w:rPr/>
      </w:pPr>
      <w:r>
        <w:rPr>
          <w:rFonts w:ascii="Amiri" w:hAnsi="Amiri" w:eastAsia="Amiri" w:cs="Amiri"/>
          <w:color w:val="111111"/>
          <w:sz w:val="28"/>
          <w:sz w:val="28"/>
          <w:szCs w:val="28"/>
          <w:rtl w:val="true"/>
          <w:lang w:bidi="ar-SA"/>
        </w:rPr>
        <w:t xml:space="preserve">ثمّ إنّه بناءً على أنّ النيّة عبارةٌ عن الإرادة ولو كانت إجماليّة، يعتبر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المتقدّمين، على ما نُسب إليهم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تفسيرها بالإرادة التفصيليّة، فلا يكون وقتها محدوداً بأوّل التكبيرة، بل تكفي الإرادة المتقدّمة، إذ لا يعتبر في الواجبات سوى صدور الفعل عن الإرادة، وهو لا يتوقّف على مقارنة الإرادة لأوّل جزءٍ من الفعل، بل يكفي صدوره عنها، سواءٌ أكانت متّصلة به أو منفصلة عنه، ولكن بقيت في النفس بنحو الإجمال، بأنْ لم تذهل عنها بالمرّة، فحال الصَّلاة من حيث النيّة، كحال سائر الأفعال الاختياريّة كالمشي والقيام ونحوهما</w:t>
      </w:r>
      <w:r>
        <w:rPr>
          <w:rFonts w:eastAsia="Amiri" w:cs="Amiri" w:ascii="Amiri" w:hAnsi="Amiri"/>
          <w:color w:val="111111"/>
          <w:sz w:val="28"/>
          <w:szCs w:val="28"/>
          <w:rtl w:val="true"/>
          <w:lang w:bidi="ar-SA"/>
        </w:rPr>
        <w:t>.</w:t>
      </w:r>
      <w:bookmarkStart w:id="29" w:name="pg11800_96794"/>
    </w:p>
    <w:p>
      <w:pPr>
        <w:pStyle w:val="BookText"/>
        <w:rPr/>
      </w:pPr>
      <w:bookmarkEnd w:id="29"/>
      <w:r>
        <w:rPr>
          <w:rFonts w:ascii="Amiri" w:hAnsi="Amiri" w:eastAsia="Amiri" w:cs="Amiri"/>
          <w:color w:val="111111"/>
          <w:sz w:val="28"/>
          <w:sz w:val="28"/>
          <w:szCs w:val="28"/>
          <w:rtl w:val="true"/>
          <w:lang w:bidi="ar-SA"/>
        </w:rPr>
        <w:t>ويجبُ نيّة القُربة</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10477753_73709187"/>
      <w:bookmarkStart w:id="31" w:name="_Toc12"/>
      <w:bookmarkEnd w:id="30"/>
      <w:r>
        <w:rPr>
          <w:rtl w:val="true"/>
        </w:rPr>
        <w:t>نيّة القُربة</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عليها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إذ كون الصَّلاة من العباديّات، ينبغي أن يعدّ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اعتبار قصد القربة في العبادة ممّا لا شبهة فيه، وتشير إليه نصوص كثيرة، كخبر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العبادة التي إذا فعلها فاعلها كان مؤدِّياً؟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الدّاعي القُربي منحصرٌ في الأمر والمحبوبيّة، وأمّا غيرهما من الدواعي التي توهم كونها من الدواعي القُربيّة، فلا تكون بأنفسها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يتوهّم أنْ يكون منها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القُرب 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رضاه والفِرار من سَخطه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رجاء الثّواب ورفع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المصلحة الكامنة في الفعل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منها بنفسه لا يكون موجباً للعباديّة، إذ القُرب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المراد منه القُرب الروحاني، أم القُرب المكاني الإدّعائي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إلّابإتيان </w:t>
      </w:r>
    </w:p>
    <w:p>
      <w:pPr>
        <w:pStyle w:val="BookText"/>
        <w:rPr/>
      </w:pPr>
      <w:r>
        <w:rPr>
          <w:rFonts w:ascii="Amiri" w:hAnsi="Amiri" w:eastAsia="Amiri" w:cs="Amiri"/>
          <w:color w:val="111111"/>
          <w:sz w:val="28"/>
          <w:sz w:val="28"/>
          <w:szCs w:val="28"/>
          <w:rtl w:val="true"/>
          <w:lang w:bidi="ar-SA"/>
        </w:rPr>
        <w:t>المطلوب الشرعي إمتثالاً لأمره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نعمه لا تُشكر إلّابه، ورضاه لا يحصل إلّابذلك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رجاء ثوابه وتخليصه من النّار، فهما أيضاً يترتّبان على امتثال أمره تعالى‌، فلو كان قصده ذلك على وجه المعاوضة، بلا توسيط قصد الأمر، لما كانت العبادة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المشهور من بطلان العبادة المأتي بها بداعي ما ذُكر هو ذلك، وعليه فيتمّ ما عن العلّامة رحمه الله في أجوبة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المهنّائيّة</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العَدليّة على إنّ مَنْ فعل فعلاً لطلب الثواب أو لخوف العقاب لا يستحقّ بذلك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حال المصلحة الكامنة، إذ استيفاء المصلحة الكامنة في العبادة لا يمكن إلّابإتيانها امتثالاً لأمره تعالى، فلو أتى بالعبادة من دون قصد الأمر، ولو كان قاصداً حصول المصلحة، لما أمكن استيفائها لترتّبها على الفعل المأتي به امتثالاً لأمره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الاُمور المذكورة لا يترتّب في العباديّات عليذات العمل، كي يُقصد به ذلك، فلا يحسن عَدّ شي منها في قبال قصد الأمر من الدواعي القُربيّة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بعدما ثبت أنّ العبادة لا تتحقّق إلّابإتيان الفعل بقصد الأمر أو المحبوبيّة، يتبيّن أنّه بما أنّ الاُمور الخمسة المذكورة آنفاً وغيرها من قبيل الدّاعي على الدّاعي، فتكون لغايات الإمتثال درجات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أعلاها أنْ يكون الدّاعي والمحرّك لإتيان الفعل بقصد الأمر، أهليّة المطاع للعبادة، وهذه المرتبة لا تحصل إلّاللأوحدي، بل ليس لأحدٍ دعواها، سوى من ادّعاها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خوفاً من نارك ولا طَمَعاً في جنّتك، بل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وَجدتُكَ أهلاً للعبادة فعبدتك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أقصى غرضه حصول القُرب إليه تعالى‌، أو تحصيل رضاه، أو شكر نعمه التي لا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به حصول الثواب ورفع العقاب، أو حصول المصلحة، أو زيادة النِعَم الدنيويّة،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صحّة العبادة لأجل الفوائد الدنيويّة، كمَن صَلّى صلاةً لزيادة الرزق، إنْ كان المقصود بها زيادته بسبب العبادة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 w:name="pg11800_96797"/>
    </w:p>
    <w:p>
      <w:pPr>
        <w:pStyle w:val="Heading6"/>
        <w:numPr>
          <w:ilvl w:val="5"/>
          <w:numId w:val="1"/>
        </w:numPr>
        <w:rPr/>
      </w:pPr>
      <w:bookmarkStart w:id="33" w:name="__RefHeading___Toc10477755_73709187"/>
      <w:bookmarkStart w:id="34" w:name="_Toc13"/>
      <w:bookmarkEnd w:id="32"/>
      <w:bookmarkEnd w:id="33"/>
      <w:r>
        <w:rPr>
          <w:rtl w:val="true"/>
        </w:rPr>
        <w:t>مسائل</w:t>
      </w:r>
      <w:r>
        <w:rPr>
          <w:rtl w:val="true"/>
        </w:rPr>
        <w:t>:</w:t>
      </w:r>
      <w:bookmarkEnd w:id="34"/>
    </w:p>
    <w:p>
      <w:pPr>
        <w:pStyle w:val="Heading6"/>
        <w:numPr>
          <w:ilvl w:val="5"/>
          <w:numId w:val="1"/>
        </w:numPr>
        <w:rPr/>
      </w:pPr>
      <w:bookmarkStart w:id="35" w:name="__RefHeading___Toc10477757_73709187"/>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والتعيّين</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10477759_73709187"/>
      <w:bookmarkStart w:id="38" w:name="_Toc15"/>
      <w:bookmarkEnd w:id="37"/>
      <w:r>
        <w:rPr>
          <w:rtl w:val="true"/>
        </w:rPr>
        <w:t>لزوم التعيّين</w:t>
      </w:r>
      <w:bookmarkEnd w:id="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مسائل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تعيين المأمور به، وامتيازه في الذّهن عمّا عداه، سواءٌ أكان ما عليه فعلاً متعدّداً، أم فعلاً واحداً،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w:t>
      </w:r>
      <w:r>
        <w:rPr>
          <w:rStyle w:val="FootnoteAnchor"/>
          <w:rtl w:val="true"/>
        </w:rPr>
        <w:footnoteReference w:id="1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بما أنّ الأمر لا يدعو إلّاإلى ما تعلّق به، فإذا أُخذ في الواجب خصوصيّة، فمع عدم قصدها لا يمكن صدوره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فاعتبار التعيين لا يختصّ بما إذا كان عليه فعلاً متعدّداً، بل يعتبر فيما إذا كان واحداً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فرقٌ بين الصورتين في أنّه يكتفي بالتعيين الإجمالي في صورة الاتّحاد، كأنْ يقصد بإتيانه ما اشتغل به ذمّته، ولا يكتفي بذلك في صورة التعدّد، كصورة اشتغال الذمّة بصلاة الظهر قضاءً والعصر أداء، لأنّهما مختلفتان بالحقيقة، وإنْ اتّحدتا بحسب الصورة، ولذا قد أُخذ عنوانيهما في المتعلّق، فلابدّ من تعيين الظهريّة والعصريّة ليتحقّق العنوان المأمور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تعدّد المأمور به بتعدّد سببه، كما لو نذر صوم يوم إنْ شُفي ولده، ونَذَر صوم يومٍ آخر إنْ رُزِق مالاً، فهل يجب التعيين أم لا؟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اختار ثانيهما بعض الأعاظم</w:t>
      </w:r>
      <w:r>
        <w:rPr>
          <w:rStyle w:val="FootnoteAnchor"/>
          <w:rtl w:val="true"/>
        </w:rPr>
        <w:footnoteReference w:id="12"/>
      </w:r>
      <w:r>
        <w:rPr>
          <w:rFonts w:ascii="Amiri" w:hAnsi="Amiri" w:eastAsia="Amiri" w:cs="Amiri"/>
          <w:color w:val="111111"/>
          <w:sz w:val="28"/>
          <w:sz w:val="28"/>
          <w:szCs w:val="28"/>
          <w:rtl w:val="true"/>
          <w:lang w:bidi="ar-SA"/>
        </w:rPr>
        <w:t>بدعوى أنّه لا مجال لذلك التعيين، لأنّ المفروض أنّ المنذور مجرّد صوم اليوم، والخصوصيّة المذكورة ليست منذورة ولا قيداً للمنذور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هو الأوّل، إذ لو صام بدون التعيين، فبما أنّه قابلٌ لوقوعه امتثالاً لكلّ من الأمرين، ووقوعه امتثالاً لهما لا يمكن، ولأحدهما دون الآخر ترجيحٌ بلا مرجّح، فلا محالة لا يقع امتثالاً لشيء منهما، بل يقع باطلاً، فيعتبر التعيين بأن يقصد الصوم الواجب لشفاء الولد أو لرزق المال، فتدبّر جيّداً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9" w:name="pg11800_96799"/>
    </w:p>
    <w:p>
      <w:pPr>
        <w:pStyle w:val="BookText"/>
        <w:rPr/>
      </w:pPr>
      <w:bookmarkEnd w:id="39"/>
      <w:r>
        <w:rPr>
          <w:rFonts w:ascii="IRNazanin" w:hAnsi="IRNazanin" w:eastAsia="IRNazanin"/>
          <w:color w:val="111111"/>
          <w:sz w:val="28"/>
          <w:sz w:val="28"/>
          <w:szCs w:val="28"/>
          <w:rtl w:val="true"/>
          <w:lang w:bidi="fa-IR"/>
        </w:rPr>
        <w:t>والوجوب أو النّدب، والأداء أو القضاء</w:t>
      </w:r>
      <w:r>
        <w:rPr>
          <w:rFonts w:eastAsia="IRNazanin" w:cs="IRNazanin"/>
          <w:color w:val="111111"/>
          <w:sz w:val="28"/>
          <w:szCs w:val="28"/>
          <w:rtl w:val="true"/>
          <w:lang w:bidi="fa-IR"/>
        </w:rPr>
        <w:t>.</w:t>
      </w:r>
    </w:p>
    <w:p>
      <w:pPr>
        <w:pStyle w:val="Heading6"/>
        <w:numPr>
          <w:ilvl w:val="5"/>
          <w:numId w:val="1"/>
        </w:numPr>
        <w:rPr/>
      </w:pPr>
      <w:bookmarkStart w:id="40" w:name="__RefHeading___Toc10477761_73709187"/>
      <w:bookmarkStart w:id="41" w:name="_Toc16"/>
      <w:bookmarkEnd w:id="40"/>
      <w:r>
        <w:rPr>
          <w:rtl w:val="true"/>
        </w:rPr>
        <w:t>لا يجبُ قصد الوجوب أو الندب</w:t>
      </w:r>
      <w:bookmarkEnd w:id="4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أو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Style w:val="FootnoteAnchor"/>
          <w:rtl w:val="true"/>
        </w:rPr>
        <w:footnoteReference w:id="13"/>
      </w:r>
      <w:r>
        <w:rPr>
          <w:rFonts w:ascii="Amiri" w:hAnsi="Amiri" w:eastAsia="Amiri" w:cs="Amiri"/>
          <w:color w:val="111111"/>
          <w:sz w:val="28"/>
          <w:sz w:val="28"/>
          <w:szCs w:val="28"/>
          <w:rtl w:val="true"/>
          <w:lang w:bidi="ar-SA"/>
        </w:rPr>
        <w:t>، لما حقّقناه في محلّه</w:t>
      </w:r>
      <w:r>
        <w:rPr>
          <w:rStyle w:val="FootnoteAnchor"/>
          <w:rtl w:val="true"/>
        </w:rPr>
        <w:footnoteReference w:id="14"/>
      </w:r>
      <w:r>
        <w:rPr>
          <w:rFonts w:ascii="Amiri" w:hAnsi="Amiri" w:eastAsia="Amiri" w:cs="Amiri"/>
          <w:color w:val="111111"/>
          <w:sz w:val="28"/>
          <w:sz w:val="28"/>
          <w:szCs w:val="28"/>
          <w:rtl w:val="true"/>
          <w:lang w:bidi="ar-SA"/>
        </w:rPr>
        <w:t>من أنّ الوجوب والندب خارجان عن حريم الموضوع له والمستعمل فيه، بل هما من لواحق الطلب، إذ لو أمر المولى بشيء ولم يُرخّص في تركه، حكم العقل بلزوم إتيانه، ويصبح الأمر لزوميّاً، ولو رَخَّص في تركه، كان استحبابيّاً، وعليه فلا يعتبر قصد الوجوب أو الندب، لأنّ المعتبر إتيان المأمور به بداعي أمره وتشخيصه عمّا عداه، لا تشخيص أنّ الأمر ممّا يحكم العقل بلزوم إتيان متعلّقه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الوجوب والندب داخلين في حقيقة الأمر، كان لاعتبار قصد أحدهما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المشهور من اعتباره ضعيفٌ‌</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10477763_73709187"/>
      <w:bookmarkStart w:id="43" w:name="_Toc17"/>
      <w:bookmarkEnd w:id="42"/>
      <w:r>
        <w:rPr>
          <w:rtl w:val="true"/>
        </w:rPr>
        <w:t>لا يجب قصد الأداء أو القضاء</w:t>
      </w:r>
      <w:bookmarkEnd w:id="4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المشهور</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الفعل مشتركٌ‌، فلا يتخصّص لأحدهما لا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إيقاع الصَّلاة الموقّتة في وقتها من القيود المعتبرة فيها، فلابدّ من قصده، لما تقدّم من أنّ الأمر إنّما يدعو إلى ما تعلّق به في الأداء، وأمّا في القضاء فمتعلّق الأمر إنّما هو الصَّلاة بضميمة شيءٍ آخر، وهو كونها تداركاً لما فات، فلابدَّ من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وإنْ كانا تامّين، إلّاأنّ شيئاً منهما لا يدلّ على اعتبار شيءٍ زائداً على اعتبار التعيين، وعليه فلو فرضنا إمكان التعيّين بغير قصد الأداء أو القضاء في موردٍ، فلا دليل على اعتبار قصد أحدهما،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حال القصر والإتمام، فإنّه بما 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بشرط لا، وأربع ركعات من القيود المعتبرة في المتعلّق، تعيّن قصد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المشهور حيث إنّه نُسب إليهم</w:t>
      </w:r>
      <w:r>
        <w:rPr>
          <w:rStyle w:val="FootnoteAnchor"/>
          <w:rtl w:val="true"/>
        </w:rPr>
        <w:footnoteReference w:id="18"/>
      </w:r>
      <w:r>
        <w:rPr>
          <w:rFonts w:ascii="Amiri" w:hAnsi="Amiri" w:eastAsia="Amiri" w:cs="Amiri"/>
          <w:color w:val="111111"/>
          <w:sz w:val="28"/>
          <w:sz w:val="28"/>
          <w:szCs w:val="28"/>
          <w:rtl w:val="true"/>
          <w:lang w:bidi="ar-SA"/>
        </w:rPr>
        <w:t>اعتبار لزوم قصد الأداء أو القضاء، وعدم لزوم قصد القصر أو الإتمام، مع أنّ دليل الاعتبار في المسألتين واحد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4" w:name="pg11800_96801"/>
    </w:p>
    <w:p>
      <w:pPr>
        <w:pStyle w:val="BookText"/>
        <w:rPr/>
      </w:pPr>
      <w:bookmarkEnd w:id="44"/>
      <w:r>
        <w:rPr>
          <w:rFonts w:ascii="Amiri" w:hAnsi="Amiri" w:eastAsia="Amiri" w:cs="Amiri"/>
          <w:color w:val="111111"/>
          <w:sz w:val="28"/>
          <w:sz w:val="28"/>
          <w:szCs w:val="28"/>
          <w:rtl w:val="true"/>
          <w:lang w:bidi="ar-SA"/>
        </w:rPr>
        <w:t>واستدامة حكمها إلى الفراغ</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0477765_73709187"/>
      <w:bookmarkStart w:id="46" w:name="_Toc18"/>
      <w:bookmarkEnd w:id="45"/>
      <w:r>
        <w:rPr>
          <w:rtl w:val="true"/>
        </w:rPr>
        <w:t>اعتبار استمرار النيّة إلى آخر الصَّلاة</w:t>
      </w:r>
      <w:bookmarkEnd w:id="46"/>
    </w:p>
    <w:p>
      <w:pPr>
        <w:pStyle w:val="Heading6"/>
        <w:numPr>
          <w:ilvl w:val="5"/>
          <w:numId w:val="1"/>
        </w:numPr>
        <w:rPr/>
      </w:pPr>
      <w:bookmarkStart w:id="47" w:name="__RefHeading___Toc10477767_73709187"/>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 النيّة بما ذكرناه، يجبُ استدامتها حقيقةً إلى آخر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تفسيرها بالإرادة التفصيليّة،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استدامة حُكمها إلى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اعتبار الاستدامة واضحٌ‌، لأنّ الصَّلاة ليست إلّامجموع الأجزاء، فما دلَّ على اعتبار النيّة فيها، يدلّ على اعتبارها في كلّ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عدم الاعتبار ما في جملةٍ من النصوص الدالّة على أنّه لو تخيّل المصلّي في أثناء صلاة أنّه في غيرها، فأتى بالأجزاء الباقية بنيّة تلك الصَّلاة، وقعت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عبد اللّه بن المغيرة،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نسيتُ أنّي في صلاة فريضة حتّى ركعت وأنا أنويها تطوّعاً؟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قمتَ فيها، إذا كنتَ قمتَ وأنتَ تنوي فريضةً‌، ثمّ دخلك الشكّ‌، فأنتَ في الفريضة، وإنْ كنتَ دخلتَ في نافلةٍ تنويها فريضةً‌، فأنت في النافلة، وإنْ كنتَ دخلتَ في فريضةٍ ثمّ ذكرتَ نافلةً كانت عليك، مضيتَ في الفريضة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قام في صلاة فريضةٍ فصلّى ركعة وهو ينوي أنّها نافلة‌؟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قمت فيها ولها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قام في الصَّلاة المكتوبة فسها، فظنّ أنّها نافلة، أو قام في النافلة فظنَّ أنّها مكتوبة‌؟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النصوص على ما هو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ذكر السَّهو في الأخير، ودخول الشكّ في الجواب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بصورة النسيان، ولا تشمل صورة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الصحّة في تلك الصورة ممّا تقتضيه القاعدة، ولا تنافي مع اعتبار الاستمرار، إذ في صورة النسيان يكون المُصلّي عازماً على أن يتمّ ما شَرع فيه، ولكن من باب الخطأ في التطبيق ينوي خلاف ما 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من شمول الأولين لصورة العمد، ضعيفٌ‌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9" w:name="pg11800_96803"/>
    </w:p>
    <w:p>
      <w:pPr>
        <w:pStyle w:val="Heading6"/>
        <w:numPr>
          <w:ilvl w:val="5"/>
          <w:numId w:val="1"/>
        </w:numPr>
        <w:rPr/>
      </w:pPr>
      <w:bookmarkStart w:id="50" w:name="__RefHeading___Toc10477769_73709187"/>
      <w:bookmarkStart w:id="51" w:name="_Toc20"/>
      <w:bookmarkEnd w:id="49"/>
      <w:bookmarkEnd w:id="50"/>
      <w:r>
        <w:rPr>
          <w:rtl w:val="true"/>
        </w:rPr>
        <w:t>نيّة القطع أو القاطع</w:t>
      </w:r>
      <w:bookmarkEnd w:id="51"/>
    </w:p>
    <w:p>
      <w:pPr>
        <w:pStyle w:val="BookText"/>
        <w:rPr/>
      </w:pPr>
      <w:r>
        <w:rPr>
          <w:rFonts w:ascii="Amiri" w:hAnsi="Amiri" w:eastAsia="Amiri" w:cs="Amiri"/>
          <w:color w:val="111111"/>
          <w:sz w:val="28"/>
          <w:sz w:val="28"/>
          <w:szCs w:val="28"/>
          <w:rtl w:val="true"/>
          <w:lang w:bidi="ar-SA"/>
        </w:rPr>
        <w:t xml:space="preserve">ثمّ إنّ غاية ما دلَّ عليه الدليل، هي اعتبار الاستمرار حال الاشتغال بالأجزاء، وأمّا في الآنات المتخلّلة، فلا دليل على اعتباره، فلو نوى في أثناء الصَّلاة قَطْعها، ثمّ عاد عنها قبل أن يقع منه شيءٌ من أفعالها، بقي على نيّته الأُولى‌، لا تبطل الصَّلاة كما عن جماعةٍ من المحقّقين،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وغيره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كالشيخ</w:t>
      </w:r>
      <w:r>
        <w:rPr>
          <w:rStyle w:val="FootnoteAnchor"/>
          <w:rtl w:val="true"/>
        </w:rPr>
        <w:footnoteReference w:id="25"/>
      </w:r>
      <w:r>
        <w:rPr>
          <w:rFonts w:ascii="Amiri" w:hAnsi="Amiri" w:eastAsia="Amiri" w:cs="Amiri"/>
          <w:color w:val="111111"/>
          <w:sz w:val="28"/>
          <w:sz w:val="28"/>
          <w:szCs w:val="28"/>
          <w:rtl w:val="true"/>
          <w:lang w:bidi="ar-SA"/>
        </w:rPr>
        <w:t>والمصنّف رحمه الله في بعض كتبه</w:t>
      </w:r>
      <w:r>
        <w:rPr>
          <w:rStyle w:val="FootnoteAnchor"/>
          <w:rtl w:val="true"/>
        </w:rPr>
        <w:footnoteReference w:id="26"/>
      </w:r>
      <w:r>
        <w:rPr>
          <w:rFonts w:ascii="Amiri" w:hAnsi="Amiri" w:eastAsia="Amiri" w:cs="Amiri"/>
          <w:color w:val="111111"/>
          <w:sz w:val="28"/>
          <w:sz w:val="28"/>
          <w:szCs w:val="28"/>
          <w:rtl w:val="true"/>
          <w:lang w:bidi="ar-SA"/>
        </w:rPr>
        <w:t>، والمحقّق الثاني</w:t>
      </w:r>
      <w:r>
        <w:rPr>
          <w:rStyle w:val="FootnoteAnchor"/>
          <w:rtl w:val="true"/>
        </w:rPr>
        <w:footnoteReference w:id="27"/>
      </w:r>
      <w:r>
        <w:rPr>
          <w:rFonts w:ascii="Amiri" w:hAnsi="Amiri" w:eastAsia="Amiri" w:cs="Amiri"/>
          <w:color w:val="111111"/>
          <w:sz w:val="28"/>
          <w:sz w:val="28"/>
          <w:szCs w:val="28"/>
          <w:rtl w:val="true"/>
          <w:lang w:bidi="ar-SA"/>
        </w:rPr>
        <w:t>في جملةٍ من كتبه، وغيرهم</w:t>
      </w:r>
      <w:r>
        <w:rPr>
          <w:rStyle w:val="FootnoteAnchor"/>
          <w:rtl w:val="true"/>
        </w:rPr>
        <w:footnoteReference w:id="28"/>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النيّة الأولى إذا زالت وجُدِّدت لا تفيد، لاختلال شرطها، وهو المقارنة لأوّل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للصَّلاة هيئة اتّصاليّة اعتبرها الشارع فيها، وينافيها قصد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الآنات من أجزاء الصَّلاة، فيجبُ النيّة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وبالإجماع على اعتبار الاستدامة، وهي تنتفي بنيّة الخروج</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إلّابنيّة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نظير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إلّا </w:t>
      </w:r>
    </w:p>
    <w:p>
      <w:pPr>
        <w:pStyle w:val="BookText"/>
        <w:rPr/>
      </w:pPr>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عدم جواز خلوّ آن من آنات الصَّلاة عن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البطلان ممّا تقتضيه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إذا رجع إليها وأتمّ الصَّلاة كان من توزيع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إنّما دلَّ على اعتبار النيّة، ليكون العمل صادراً عنها، وأمّا مقارنتها له حتّى في النيّة المجدّدة للأبعاض، فلا دليل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نيّة الخروج مع عدم الإتيان بما هو مخرِجٌ عن الصَّلاة، لا توجب تحقّق الخروج، بل هو باقٍ على ما كان متلبّساً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تَبطل حينئذٍ لأجل أنّه يكون مصلّياً بلا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اعتبار القصد ما دام يصدق عليه أنّه مصلّ‌، والدليل إنّما دلَّ على اعتباره في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معقد الإجماع، هو اعتبار صدور جميع الأجزاء بداعي الأمر، وهذا غير اعتبار وجود النيّة في جميع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كون الآنات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ظاهر الحديث ما ذُكر، واعتبار الطهارة في الآنات ليس لأجل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إنّما لأجل ما دلَّ على قاطعيّة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على المنع عن التوزيع بالمعنى المذكور، وإنّما الممنوع هو نيّة كلّ جزءٍ على نحو الاستقلال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البطلان بنيّة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ما لو نوى فعل القاطع، إذ نيّته حينئذٍ مستلزمة لنيّة الخروج عن الصَّلاة، فما عن جماعةٍ‌</w:t>
      </w:r>
      <w:r>
        <w:rPr>
          <w:rStyle w:val="FootnoteAnchor"/>
          <w:rtl w:val="true"/>
        </w:rPr>
        <w:footnoteReference w:id="31"/>
      </w:r>
      <w:r>
        <w:rPr>
          <w:rFonts w:ascii="Amiri" w:hAnsi="Amiri" w:eastAsia="Amiri" w:cs="Amiri"/>
          <w:color w:val="111111"/>
          <w:sz w:val="28"/>
          <w:sz w:val="28"/>
          <w:szCs w:val="28"/>
          <w:rtl w:val="true"/>
          <w:lang w:bidi="ar-SA"/>
        </w:rPr>
        <w:t>من القائلين بالبطلان في صورة نيّة الخروج من الصحّة في هذا المورد،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منهما في عدم البطلان، ما لو تردّد في القطع، أو فعل القاطع ثمّ عزم على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لم يأتِ بشيءٍ من الأجزاء في حال التردّد أو العزم على العدم، وإلّا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أتى ببعض الأجزاء بعنوان الجزئيّة، بطلت صلاته من جهة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أتى به لا بعنوان الجزئيّة، ثمّ عاد إلى النيّة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ممّا يوجبُ مطلق وجوده البطلان كالركوع بطلت أيضاً، وكذلك ما كان فعلاً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فلا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الاقتصار عليه كما لا يخفى وجهه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2" w:name="pg11800_96806"/>
    </w:p>
    <w:p>
      <w:pPr>
        <w:pStyle w:val="Heading6"/>
        <w:numPr>
          <w:ilvl w:val="5"/>
          <w:numId w:val="1"/>
        </w:numPr>
        <w:rPr/>
      </w:pPr>
      <w:bookmarkStart w:id="53" w:name="__RefHeading___Toc10477771_73709187"/>
      <w:bookmarkStart w:id="54" w:name="_Toc21"/>
      <w:bookmarkEnd w:id="52"/>
      <w:bookmarkEnd w:id="53"/>
      <w:r>
        <w:rPr>
          <w:rtl w:val="true"/>
        </w:rPr>
        <w:t>الضمائم المنضمّة إلى قصد الطاعة</w:t>
      </w:r>
      <w:bookmarkEnd w:id="54"/>
    </w:p>
    <w:p>
      <w:pPr>
        <w:pStyle w:val="Heading6"/>
        <w:numPr>
          <w:ilvl w:val="5"/>
          <w:numId w:val="1"/>
        </w:numPr>
        <w:rPr/>
      </w:pPr>
      <w:bookmarkStart w:id="55" w:name="__RefHeading___Toc10477773_73709187"/>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حكم الضميمة المحرّمة في النيّة</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الضمائم المنضمّة إلى قصد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من الاُمور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من الاُمور الرّاجحة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من الاُمور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هنا مقامات ينبغي البحث عن حكمها، فنقول</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10477775_73709187"/>
      <w:bookmarkStart w:id="58" w:name="_Toc23"/>
      <w:bookmarkEnd w:id="57"/>
      <w:r>
        <w:rPr>
          <w:rtl w:val="true"/>
        </w:rPr>
        <w:t>حكم الضميمة المحرّمة في النيّة</w:t>
      </w:r>
      <w:bookmarkEnd w:id="58"/>
    </w:p>
    <w:p>
      <w:pPr>
        <w:pStyle w:val="Heading6"/>
        <w:numPr>
          <w:ilvl w:val="5"/>
          <w:numId w:val="1"/>
        </w:numPr>
        <w:rPr/>
      </w:pPr>
      <w:bookmarkStart w:id="59" w:name="__RefHeading___Toc10477777_73709187"/>
      <w:bookmarkStart w:id="60" w:name="_Toc24"/>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الضمائم المحرّمة، والكلام فيها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حُرمة قصد الرّياء بالعبادة، وبطلانها به، كما هو المشهور شهرة عظيمة، بل لم يُنقل الخلاف إلّاعن المرتضى</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وحمران،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عمل عملاً يطلب به وجه اللّه تعالى والدّار الآخرة، وأدخل فيه رضى أحدٍ من الناس كان مشركاً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فإذا صعد بحسناته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إنّه ليس إيّاي أراد به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1" w:name="pg11800_96807"/>
    </w:p>
    <w:p>
      <w:pPr>
        <w:pStyle w:val="BookText"/>
        <w:rPr/>
      </w:pPr>
      <w:bookmarkEnd w:id="6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برجالٍ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 ما كان 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هذه النصوص على الحرمة، كدلالة بعضها على البطلان لا تُنكر، وحيث أنّ من لوازم الحرمة البطلان كما حقّقناه في محلّه، فدعوى دلالتها بأجمعها على البطلان في محلّها</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10477779_73709187"/>
      <w:bookmarkStart w:id="63" w:name="_Toc25"/>
      <w:bookmarkEnd w:id="62"/>
      <w:r>
        <w:rPr>
          <w:rtl w:val="true"/>
        </w:rPr>
        <w:t>أقسام الرّياء</w:t>
      </w:r>
      <w:bookmarkEnd w:id="63"/>
    </w:p>
    <w:p>
      <w:pPr>
        <w:pStyle w:val="BookText"/>
        <w:rPr/>
      </w:pPr>
      <w:r>
        <w:rPr>
          <w:rFonts w:ascii="Amiri" w:hAnsi="Amiri" w:eastAsia="Amiri" w:cs="Amiri"/>
          <w:color w:val="111111"/>
          <w:sz w:val="28"/>
          <w:sz w:val="28"/>
          <w:szCs w:val="28"/>
          <w:rtl w:val="true"/>
          <w:lang w:bidi="ar-SA"/>
        </w:rPr>
        <w:t>ثمّ إنّ الرّياء في العمل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بالعمل لمجرّد إرائة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 العبادة في هذه الصورة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داعيه إلى العمل القُربة والرّياء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وبطلان عبادة المُرائي في هذه الصورة أيضاً هو الأقوى‌،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لو كانا مستقلّين في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لو كانا معاً ومنضمّاً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لو كان أحدهما مستقلّاً والآخر تبعاً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للنصوص المتقدّمة، إذ يصدق في جميع الصور الأربع حتّى فيما كان الرّياء تبعاً لإرادة الطاعة، أنّه أدخل في عمله رضى أحدٍ من الناس، فتكون مشمولة لصحيح حمران وزرارة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بطلانه، وأمّا بطلان المركّب به، فلا شبهة فيه مع الاكتفاء به، وكان من الأجزاء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تدراكه، ففيه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أقواها أنْ يُقال إنّه إنْ كان ذلك الجزء من الأقوال يبطل المركّب أيضاً؛ لأنّه إن قصد بما أتى به رياءً الجزئيّة، فيصدق أنّه زاد في صلاته، فيشمله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بعض المحقّقين رحمه الله</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الزيادة بتدارك الجزء الذي وقع باطلاً، بعد رفع اليد عنه، مع أنّه لا دليل على إبطال مطلق الزيادة، خصوصاً في مثل المقام الذي يكون الفعل الثاني مؤثّراً في حصول عنوان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إتيان الجزء الفاسد بنفسه مصداق للزيادة، تداركه أم لا، والتدارك إنّما يوجب عدم الإخلال، لا عدم صدق الزيادة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 دعوى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يقال في الفرض زاد في صلاته، وإنّما يقال أفسد الجزء، إذ الجزء الفاسد غير مأمورٍ به، فلو أتى به بعنوان أنّه جزء للصَّلاة، صدق أنّه زاد فيها، وإنْ لم يقصد به الجزئيّة، ففي هذه الحالة وإنْ كان لا يصدق أنّه زاد في صلاته، لأنّ الصَّلاة من المركّبات الاعتباريّة، ولا يزيد شيءٌ فيها، إلّاإذا أتى به بعنوان أنّه منها، إلّاأنّه يوجبُ البطلان، لأجل كونه مصداقاً للكلام، وهو يكون مبطلاً للأخبار والإجماع، بناءً على ما هو الحقّ من شمول النصوص للأقوال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الصَّلاة، خلافاً لبعض المحقّقين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 الجزء الذي قصد به الرّياء إنْ كان من الأفعال فإنْ أتى به بما أنّه من أجزاء الصَّلاة، يوجب بطلان الصَّلاة، وإلّا فلا، إلّاالركوع والسّجود على ما هو الحقّ من أنّ زيادتهما مطلقاً توجب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العمل للّه، ولكن الرّياء قصد في اختيار خصوصيّاته، كإتيان الصَّلاة في المسجد، أو في أوّل الوقت، أو جماعةً‌، أو غيرها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بطلان الصَّلاة في هذه الصورة أيضاً، إذ الرّياء حينئذٍ إنّما يكون في الصَّلاة المقيّدة بتلك الخصوصيّة فتفسد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مقصود المرائي إظهار أنّه يحبّ الإقامة في المسجد مثلاً، ولكن صَلّى بداعي القُربة، صحّت صلاته لما حقّقناه في محلّه من جواز اجتماع الأمر والنهي في أمثال المورد، ممّا يكون المأمور به من مقولةٍ غير ما يكون المنهيّ عنه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في مقدّمات العمل، كالمشي إلى المسجد، والنهوض إلى القيام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صحّة الصَّلاة في هذه الصورة، لوقوع العمل للّه خالياً عن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العمل حينئذٍ مصداقاً لمن أدخل في عمله رضا غيره، فيكون مقتضى عموم النصوص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إدخال رضا الغير في العمل إنّما يكون فيما إذا جعل رضاه غايةً للعمل كرضا اللّه تعالى‌، فتدبّر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العمل للّه، لكن كان بحيث يسرّه أن يرى الناس إطاعته الواقعيّة، فالظاهر عدم كونه مصداقاً للمُرائي، ويكون عمله صحيحاً، كما تشهد له جملة</w:t>
      </w:r>
      <w:r>
        <w:rPr>
          <w:rFonts w:eastAsia="Amiri" w:cs="Amiri" w:ascii="Amiri" w:hAnsi="Amiri"/>
          <w:color w:val="111111"/>
          <w:sz w:val="28"/>
          <w:szCs w:val="28"/>
          <w:rtl w:val="true"/>
          <w:lang w:bidi="ar-SA"/>
        </w:rPr>
        <w:t xml:space="preserve">). </w:t>
      </w:r>
      <w:bookmarkStart w:id="64" w:name="pg11800_96810"/>
    </w:p>
    <w:p>
      <w:pPr>
        <w:pStyle w:val="BookText"/>
        <w:rPr/>
      </w:pPr>
      <w:bookmarkEnd w:id="64"/>
      <w:r>
        <w:rPr>
          <w:rFonts w:ascii="IRNazanin" w:hAnsi="IRNazanin" w:eastAsia="IRNazanin"/>
          <w:color w:val="111111"/>
          <w:sz w:val="28"/>
          <w:sz w:val="28"/>
          <w:szCs w:val="28"/>
          <w:rtl w:val="true"/>
          <w:lang w:bidi="fa-IR"/>
        </w:rPr>
        <w:t>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يعمل الشيء من الخير فيراه إنسانٌ فيسرّه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مِنْ أحدٍ إلّاوهو يحبُّ أن يَظهر له في الناس الخير إذا لم يكن صنع ذلك لذلك</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كانت الضميمة حراماً غير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الشيء متّحداً مع العمل، أو مع جزءٍ منه كإيذاء الغير بالصَّلاة وتفسيقه بها، بطل، لأنّه حينئذٍ يكون حراماً، والمحرّم لا يصحّ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خارجاً عن العمل مقارناً له، صحّ‌، إلّاإذا كان مترتّباً عليه على سبيل الغاية، بناءً على حرمة الفعل الذي قصد به التوصّل إلى الحرام، فإنّه حينئذٍ يكون العمل محرّماً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يبطل إذا كان داعي القُربة غير مستقلٍّ في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وجهه في المقام الثالث</w:t>
      </w:r>
      <w:r>
        <w:rPr>
          <w:rStyle w:val="FootnoteAnchor"/>
          <w:rtl w:val="true"/>
        </w:rPr>
        <w:footnoteReference w:id="40"/>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Heading6"/>
        <w:numPr>
          <w:ilvl w:val="5"/>
          <w:numId w:val="1"/>
        </w:numPr>
        <w:rPr/>
      </w:pPr>
      <w:bookmarkStart w:id="65" w:name="__RefHeading___Toc10477781_73709187"/>
      <w:bookmarkStart w:id="66" w:name="_Toc26"/>
      <w:bookmarkEnd w:id="65"/>
      <w:r>
        <w:rPr>
          <w:rtl w:val="true"/>
        </w:rPr>
        <w:t>الضميمة الرّاجحة</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الضميمة من الاُمور الراجحة صَحَّ العمل، لأنّ إتيان العمل حينئذٍ يكون صادراً عن داعي الطاعة، فيسقط كلا الأمرين، وإنْ كانا معاً منضمّين محرِّكاً وداعياً عليه، إذ لا يعتبر في صحّة العبادة وسقوط أمرها سوى صدورها عن قصد الأمر</w:t>
      </w:r>
      <w:r>
        <w:rPr>
          <w:rFonts w:eastAsia="Amiri" w:cs="Amiri" w:ascii="Amiri" w:hAnsi="Amiri"/>
          <w:color w:val="111111"/>
          <w:sz w:val="28"/>
          <w:szCs w:val="28"/>
          <w:rtl w:val="true"/>
          <w:lang w:bidi="ar-SA"/>
        </w:rPr>
        <w:t xml:space="preserve">. </w:t>
      </w:r>
      <w:bookmarkStart w:id="67" w:name="pg11800_96811"/>
    </w:p>
    <w:p>
      <w:pPr>
        <w:pStyle w:val="BookText"/>
        <w:rPr/>
      </w:pPr>
      <w:bookmarkEnd w:id="67"/>
      <w:r>
        <w:rPr>
          <w:rFonts w:ascii="Amiri" w:hAnsi="Amiri" w:eastAsia="Amiri" w:cs="Amiri"/>
          <w:color w:val="111111"/>
          <w:sz w:val="28"/>
          <w:sz w:val="28"/>
          <w:szCs w:val="28"/>
          <w:rtl w:val="true"/>
          <w:lang w:bidi="ar-SA"/>
        </w:rPr>
        <w:t>وأمّا اعتبار داعويّة كلّ أمرٍ مستقلّاً في سقوط الأمر وصحّة العبادة، فمّما 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إلى ما ذكرناه الأخبار المتضمّنة لبيان كثيرٍ من الاُمور الراجحة، من فعل الوضوء والصَّلاة مع قصد التعليم، وإطالة الركوع للانتظار</w:t>
      </w:r>
      <w:r>
        <w:rPr>
          <w:rStyle w:val="FootnoteAnchor"/>
          <w:rtl w:val="true"/>
        </w:rPr>
        <w:footnoteReference w:id="41"/>
      </w:r>
      <w:r>
        <w:rPr>
          <w:rFonts w:ascii="Amiri" w:hAnsi="Amiri" w:eastAsia="Amiri" w:cs="Amiri"/>
          <w:color w:val="111111"/>
          <w:sz w:val="28"/>
          <w:sz w:val="28"/>
          <w:szCs w:val="28"/>
          <w:rtl w:val="true"/>
          <w:lang w:bidi="ar-SA"/>
        </w:rPr>
        <w:t>، وغير ذلك من الموارد</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10477783_73709187"/>
      <w:bookmarkStart w:id="69" w:name="_Toc27"/>
      <w:bookmarkEnd w:id="68"/>
      <w:r>
        <w:rPr>
          <w:rtl w:val="true"/>
        </w:rPr>
        <w:t>الضميمة المُباحة</w:t>
      </w:r>
      <w:bookmarkEnd w:id="69"/>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الضمائم المباحة، وقد قسّمها بعض المحقّقين رحمه الله</w:t>
      </w:r>
      <w:r>
        <w:rPr>
          <w:rStyle w:val="FootnoteAnchor"/>
          <w:rtl w:val="true"/>
        </w:rPr>
        <w:footnoteReference w:id="42"/>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دَخْلٌ في أصل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دَخْلٌ في ترجيح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الصحّة في الثاني مطلقاً، وفي الأوّل فصَّل بين وارده بما ستعرف، ولكن بما أنّ الخصوصيّة ليس لها وجود منحازٌ في الخارج، فلا محالة يرجع ما له دخلٌ في اختيار الفرد، إلى ما يكون دخيلاً في أصل العمل، فتاتي فيه الصور الآتية، فيجري فيه ما ستعرف من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 في كلا القسمين إنّ ذلك الأمر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مستقلّاً وداعي القُربة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تبعاً وداعي القربة مستقلّاً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مستقلّين، ولكن لعدم قابليّة المحلّ يسقط كلّ واحدٍ منهما </w:t>
      </w:r>
    </w:p>
    <w:p>
      <w:pPr>
        <w:pStyle w:val="BookText"/>
        <w:rPr/>
      </w:pPr>
      <w:r>
        <w:rPr>
          <w:rFonts w:ascii="IRNazanin" w:hAnsi="IRNazanin" w:eastAsia="IRNazanin"/>
          <w:color w:val="111111"/>
          <w:sz w:val="28"/>
          <w:sz w:val="28"/>
          <w:szCs w:val="28"/>
          <w:rtl w:val="true"/>
          <w:lang w:bidi="fa-IR"/>
        </w:rPr>
        <w:t>عن الاستقلال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معاً منضمّين داعياً، و يكون كلّ واحدٍ منهما ناقصاً لايصلح للداعويّة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 بطلانها، إذ الظاهر من الأدلّة وطريقة العقلاء، عدم كفاية الاستناد إلى داعي الطاعة في الجملة في صدق العبادة، بل يمكن أنْ يُقال إنّ الأثر الفعلي في الصورة المذكورة، مستندٌ إلى الأمر المباح فقط، إذ الدّاعي الضعيف إذا انضمّ إلى الدّاعي القويّ المستقلّ في التأثير في نفسه لا يكون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تظهر الصحّة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الأكثر</w:t>
      </w:r>
      <w:r>
        <w:rPr>
          <w:rStyle w:val="FootnoteAnchor"/>
          <w:rtl w:val="true"/>
        </w:rPr>
        <w:footnoteReference w:id="43"/>
      </w:r>
      <w:r>
        <w:rPr>
          <w:rFonts w:ascii="Amiri" w:hAnsi="Amiri" w:eastAsia="Amiri" w:cs="Amiri"/>
          <w:color w:val="111111"/>
          <w:sz w:val="28"/>
          <w:sz w:val="28"/>
          <w:szCs w:val="28"/>
          <w:rtl w:val="true"/>
          <w:lang w:bidi="ar-SA"/>
        </w:rPr>
        <w:t>الصحّة، وعن المصنّف رحمه الله</w:t>
      </w:r>
      <w:r>
        <w:rPr>
          <w:rStyle w:val="FootnoteAnchor"/>
          <w:rtl w:val="true"/>
        </w:rPr>
        <w:footnoteReference w:id="44"/>
      </w:r>
      <w:r>
        <w:rPr>
          <w:rFonts w:ascii="Amiri" w:hAnsi="Amiri" w:eastAsia="Amiri" w:cs="Amiri"/>
          <w:color w:val="111111"/>
          <w:sz w:val="28"/>
          <w:sz w:val="28"/>
          <w:szCs w:val="28"/>
          <w:rtl w:val="true"/>
          <w:lang w:bidi="ar-SA"/>
        </w:rPr>
        <w:t>في بعض كتبه تبعاً لجماعةٍ‌</w:t>
      </w:r>
      <w:r>
        <w:rPr>
          <w:rStyle w:val="FootnoteAnchor"/>
          <w:rtl w:val="true"/>
        </w:rPr>
        <w:footnoteReference w:id="45"/>
      </w:r>
      <w:r>
        <w:rPr>
          <w:rFonts w:ascii="Amiri" w:hAnsi="Amiri" w:eastAsia="Amiri" w:cs="Amiri"/>
          <w:color w:val="111111"/>
          <w:sz w:val="28"/>
          <w:sz w:val="28"/>
          <w:szCs w:val="28"/>
          <w:rtl w:val="true"/>
          <w:lang w:bidi="ar-SA"/>
        </w:rPr>
        <w:t>، وفخر الدين</w:t>
      </w:r>
      <w:r>
        <w:rPr>
          <w:rStyle w:val="FootnoteAnchor"/>
          <w:rtl w:val="true"/>
        </w:rPr>
        <w:footnoteReference w:id="46"/>
      </w:r>
      <w:r>
        <w:rPr>
          <w:rFonts w:ascii="Amiri" w:hAnsi="Amiri" w:eastAsia="Amiri" w:cs="Amiri"/>
          <w:color w:val="111111"/>
          <w:sz w:val="28"/>
          <w:sz w:val="28"/>
          <w:szCs w:val="28"/>
          <w:rtl w:val="true"/>
          <w:lang w:bidi="ar-SA"/>
        </w:rPr>
        <w:t>والشهيدين</w:t>
      </w:r>
      <w:r>
        <w:rPr>
          <w:rStyle w:val="FootnoteAnchor"/>
          <w:rtl w:val="true"/>
        </w:rPr>
        <w:footnoteReference w:id="47"/>
      </w:r>
      <w:r>
        <w:rPr>
          <w:rFonts w:ascii="Amiri" w:hAnsi="Amiri" w:eastAsia="Amiri" w:cs="Amiri"/>
          <w:color w:val="111111"/>
          <w:sz w:val="28"/>
          <w:sz w:val="28"/>
          <w:szCs w:val="28"/>
          <w:rtl w:val="true"/>
          <w:lang w:bidi="ar-SA"/>
        </w:rPr>
        <w:t>وغيرهم</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للصحّة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المعتبر في العبوديّة، وصول العبد إلى مرتبةٍ يوجب أمر المولى تحريك عضلاته نحو الفعل، وفي الصورة المزبورة وإنْ كان المؤثّر هو كليهما معاً، ولكن لا من باب عدم تأثير أمر المولى في نفسه، بل من باب عدم قابليّة المحلّ لأنْ يُستند إلى كلٍّ منهما، وهذا المقدار يكفي في صدق العبادة، ولا يعتبر تخليص الطاعة إنْ‌أمكن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المعلوم من طريقة العقلاء، الاكتفاء في صدق العبادة بكون أمر المولى قابلاً للاستقلال في المحرّكيّة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البطلان، إذ يعتبر في العبادة استناد الفعل إلى داعي الطاعة وصدوره عنه، ولا يكفي صدور الفعل عن عبدٍ تابعٍ لإرادة المولى كما قيل، ويشهد له آية الإخلاص</w:t>
      </w:r>
      <w:r>
        <w:rPr>
          <w:rStyle w:val="FootnoteAnchor"/>
          <w:rtl w:val="true"/>
        </w:rPr>
        <w:footnoteReference w:id="49"/>
      </w:r>
      <w:r>
        <w:rPr>
          <w:rFonts w:ascii="Amiri" w:hAnsi="Amiri" w:eastAsia="Amiri" w:cs="Amiri"/>
          <w:color w:val="111111"/>
          <w:sz w:val="28"/>
          <w:sz w:val="28"/>
          <w:szCs w:val="28"/>
          <w:rtl w:val="true"/>
          <w:lang w:bidi="ar-SA"/>
        </w:rPr>
        <w:t>، والإجماع على اعتباره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موهونٌ بذهاب الأكثر إلى الصحّة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إنّه من قبيل الإجماع على القاعدة، فلا ينافي الخلاف في بعض المصاديق، لكونه عن شُبهة،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مُسْلِماً </w:t>
      </w:r>
      <w:r>
        <w:rPr>
          <w:rStyle w:val="FootnoteAnchor"/>
          <w:rtl w:val="true"/>
        </w:rPr>
        <w:footnoteReference w:id="50"/>
      </w:r>
      <w:r>
        <w:rPr>
          <w:rFonts w:ascii="Amiri" w:hAnsi="Amiri" w:eastAsia="Amiri" w:cs="Amiri"/>
          <w:color w:val="111111"/>
          <w:sz w:val="28"/>
          <w:sz w:val="28"/>
          <w:szCs w:val="28"/>
          <w:rtl w:val="true"/>
          <w:lang w:bidi="ar-SA"/>
        </w:rPr>
        <w:t>خالصاً مُخلّصاً لا يشوبه شيء</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 الأقوى البطلان في الصورة الرابعة، بل الأظهر فيها البطلان حتّى بناءً على الصحّة في الصورة المتقدّمة، إذ لو لم نقل باعتبار استناد العمل إلى داعي الطاعة، ولكن لا ريب في اعتبار صلاحيّة الأمر للاستقلال في الداعويّة في صدق العبادة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 w:name="pg11800_96814"/>
    </w:p>
    <w:p>
      <w:pPr>
        <w:pStyle w:val="Heading6"/>
        <w:numPr>
          <w:ilvl w:val="5"/>
          <w:numId w:val="1"/>
        </w:numPr>
        <w:rPr/>
      </w:pPr>
      <w:bookmarkStart w:id="71" w:name="__RefHeading___Toc10477785_73709187"/>
      <w:bookmarkStart w:id="72" w:name="_Toc28"/>
      <w:bookmarkEnd w:id="70"/>
      <w:bookmarkEnd w:id="71"/>
      <w:r>
        <w:rPr>
          <w:rtl w:val="true"/>
        </w:rPr>
        <w:t>العدول من صلاةٍ إلى اُخرى</w:t>
      </w:r>
      <w:bookmarkEnd w:id="72"/>
    </w:p>
    <w:p>
      <w:pPr>
        <w:pStyle w:val="Heading6"/>
        <w:numPr>
          <w:ilvl w:val="5"/>
          <w:numId w:val="1"/>
        </w:numPr>
        <w:rPr/>
      </w:pPr>
      <w:bookmarkStart w:id="73" w:name="__RefHeading___Toc10477787_73709187"/>
      <w:bookmarkStart w:id="74" w:name="_Toc29"/>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صلاةٍ إلى اُخرى‌، إلّاما ثبت فيه ذلك بدليلٍ خاص، إذ الصلوات حقائق مختلفة وإن اتّحد بعضها مع بعضٍ آخر بحسب الصورة كالظهر والعصر، كما يكشف عن ذلك ظهور أدلّتها في كون كلٍّ منها نوعاً من الصَّلاة، فالصَّلاة التي عَدَل عنها غير الصَّلاة المعدول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فالأمر المتعلّق بإحدى الصلاتين، غير الأمر المتعلّق بالاُخرى‌، والأمر الضمني المتعلّق بجزءٍ من إحدى الصلاتين، غير الأمر الضمني المتعلّق بجزءٍ ممّاثل له من الاُخرى، فالإتيان ببعض إحداهما بداعي أمره، لا يعدّ امتثالاً للأمر المتعلّق بالبعض المماثل له من الاُخرى، والنيّة اللّاحقة لا تُجدي في صيرورته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يستكشف من ما ورد في الموارد الخاصّة، أنّ كلّ فريضةٍ تصلح بالذّات لأن تُحتسب من سابقتها مع الإمكان، وحينئذٍ يتعدّى عن تلك الموارد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تكون في تلك الموارد خصوصيّة، لأجلها تكون الفريضة صالحة لذلك، ومع احتمال ذلك وعدم الدليل على ما ذُكر لا وجه للتعدّي</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0477789_73709187"/>
      <w:bookmarkStart w:id="76" w:name="_Toc30"/>
      <w:bookmarkEnd w:id="75"/>
      <w:r>
        <w:rPr>
          <w:rtl w:val="true"/>
        </w:rPr>
        <w:t>موارد جَواز العدول</w:t>
      </w:r>
      <w:bookmarkEnd w:id="76"/>
    </w:p>
    <w:p>
      <w:pPr>
        <w:pStyle w:val="BookText"/>
        <w:rPr/>
      </w:pPr>
      <w:r>
        <w:rPr>
          <w:rFonts w:ascii="Amiri" w:hAnsi="Amiri" w:eastAsia="Amiri" w:cs="Amiri"/>
          <w:color w:val="111111"/>
          <w:sz w:val="28"/>
          <w:sz w:val="28"/>
          <w:szCs w:val="28"/>
          <w:rtl w:val="true"/>
          <w:lang w:bidi="ar-SA"/>
        </w:rPr>
        <w:t>نعم يجوزُ العدول في موارد خاصّة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فريضة فذكر أنّ عليه فريضة سابقة عليها، كما إذا </w:t>
      </w:r>
    </w:p>
    <w:p>
      <w:pPr>
        <w:pStyle w:val="BookText"/>
        <w:rPr/>
      </w:pPr>
      <w:r>
        <w:rPr>
          <w:rFonts w:ascii="Amiri" w:hAnsi="Amiri" w:eastAsia="Amiri" w:cs="Amiri"/>
          <w:color w:val="111111"/>
          <w:sz w:val="28"/>
          <w:sz w:val="28"/>
          <w:szCs w:val="28"/>
          <w:rtl w:val="true"/>
          <w:lang w:bidi="ar-SA"/>
        </w:rPr>
        <w:t>دخل في العصر أو العشاء قبل الظهر والمغرب، عدل بنيّته إليها إذا لم يتجاوز محلّ العدول، بلا خلافٍ فيه، بل عن غير واحد</w:t>
      </w:r>
      <w:r>
        <w:rPr>
          <w:rStyle w:val="FootnoteAnchor"/>
          <w:rtl w:val="true"/>
        </w:rPr>
        <w:footnoteReference w:id="5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الطويلة، عن الإمام الباقر عليه السلام،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ذكرت أنّك لم تُصلِّ الأُولى، وأنتَ في صلاه العصر، وقد صلّيت منها ركعتين، فأنوها الأُولى ثمّ صَلِّ الرّكعتين الباقيتين، وقُم فصلِّ العصر، وإنْ كنتَ قد ذكرت أنّكَ لم تُصلِّ العصر حتّى دخل وقت المغرب، ولم تخف فوتها، فصلِّ العصر ثمّ صَلِّ المغرب، وإنْ كنتَ قد صلّيت المغرب فقُم فَصلِّ العصر، وإنْ كنتَ قد صلّيت من المغرب ركعتين، ثمّ ذكرت العصر فأنوها العصر ثمّ قُم فأتمّها ركعتين، ثمّ تُسلِّم ثمّ تُصلّي المغرب، وإنْ كنتَ قد صلّيت العشاء الآخرة، ونسيت المغرب، فقُم وصَلِّ المغرب، وإنْ كنتَ ذكرتها وقد صلّيت من العشاء الآخرة ركعتين، أو قمت في الثالثة، فأنوها المغرب ثمّ سَلِّم ثمّ قُم فَصلِّ العشاء الآخرة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الحسن بن زياد الصيقل، عن سيِّدنا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 المغرب حتّى صَلّى ركعتين من العشاء، ثمّ ذكر؟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صلاته، ثمّ ليقض المغرب</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فلضعف سنده، وإعراض الأصحاب عنه، ومعارضته للروايات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لابدَّ من طرحه أو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إلى المشهور</w:t>
      </w:r>
      <w:r>
        <w:rPr>
          <w:rStyle w:val="FootnoteAnchor"/>
          <w:rtl w:val="true"/>
        </w:rPr>
        <w:footnoteReference w:id="55"/>
      </w:r>
      <w:r>
        <w:rPr>
          <w:rFonts w:ascii="Amiri" w:hAnsi="Amiri" w:eastAsia="Amiri" w:cs="Amiri"/>
          <w:color w:val="111111"/>
          <w:sz w:val="28"/>
          <w:sz w:val="28"/>
          <w:szCs w:val="28"/>
          <w:rtl w:val="true"/>
          <w:lang w:bidi="ar-SA"/>
        </w:rPr>
        <w:t>إنّه إنْ قدّم العصر أو العشاء على سابقتها سهواً في الوقت المختصّ لها بطلت، ولكن الأقوى تبعاً لجماعةٍ من المحقّقين</w:t>
      </w:r>
      <w:r>
        <w:rPr>
          <w:rStyle w:val="FootnoteAnchor"/>
          <w:rtl w:val="true"/>
        </w:rPr>
        <w:footnoteReference w:id="56"/>
      </w:r>
      <w:r>
        <w:rPr>
          <w:rFonts w:ascii="Amiri" w:hAnsi="Amiri" w:eastAsia="Amiri" w:cs="Amiri"/>
          <w:color w:val="111111"/>
          <w:sz w:val="28"/>
          <w:sz w:val="28"/>
          <w:szCs w:val="28"/>
          <w:rtl w:val="true"/>
          <w:lang w:bidi="ar-SA"/>
        </w:rPr>
        <w:t>الصحّة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الأدلّة المتقدّمة هي الصَّلاة الصحيحة من جميع الجهات، عدا جهة الترتيب، فإذا كانت باطلة لفقد شرط الوقت، لا تكون مشمولة لها، فلا وجه للتمسّك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يصحّ بناءً على الاختصاص بالمعنى المنسوب إلى المشهور، وأمّا بناءً على الاختصاص بالمعنى المختار، وهو كون الوقت مختصّاً بالاُولى لدى المزاحمة، لا عدم صلاحيّة الوقت لفعل الثانية، ولو في بعض الفروض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ذلك فراجع</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إذ في الفرض تكون الثانية صحيحة من جميع الجهات، حتّى من حيث الوقت فتكون مشمولة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بعضهم وجهاً للصحّة، من أنّه يكشف عن نيّة العدول، كون ما بيده الصَّلاة السابقة من أوّل الأمر، فلا فوات للوقت على كلا القولين، فهو خلاف ظاهر الأدلّة كما لا يخفى‌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تجاوز محلّ العدول، كما إذا دخل في ركوع الركعة الرابعة من العشاء، فذكر أنّ عليه المغرب بطلت، ولا يجوز العدول؛ لأنّه يستلزم الزيادة المبطلة، وليس له المضيّ في اللّاحقة وإتمامها، ثمّ الإتيان بالسابقة كما قيل، لأنّه يستلزم تقديم ركعة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العشاء على المغرب عمداً وهو لا يجوز، إذ دليل الترتيب إنّما يدلّ على لزوم تقديم السابقة على جميع أبعاض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فإنّه حتّى بناءً على شموله لصورة الذِّكر في الأثناء، لا يمكن التعويل عليه في المقام والحكم بالصحّة لأجله، لأنّه لا يدلّ على سقوط شرطيّة الترتيب حتّى في حال العمد، فلا دليل على جواز تقديم الركعة الأخيرة من العشاء على المغرب، ولا يختصّ الحديث بأمثال المورد حتّى يقال بأنّ شموله للركعات السابقة يستلزم جوازه صوناً عن اللّغوية، وسيأتي في بحث خلل الصَّلاة توضيح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تذكّر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تذكّر بعد الفراغ من الثانية أنّه لم يأتِ بالاُولى، فالمشهور على أنّه إنْ أتى بها في الوقت المختصّ بطلت، وإنْ أتى بها في الوقت المشترك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في العصر المُقدّمة على الظهر صحّتها، واحتسابها ظهراً لو كان به قائلٌ‌، لقوله عليه السلام في صحيح زرارة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الظهر حتّى صلّيت العصر فذكرتها وأنتَ في الصَّلاة، أو بعد فراغك فأنوها الأُولى‌، ثمّ صَلِّ العصر، فإنّما هي أربعٌ مكان أربع</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ومضمر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يُصلّي الأُولى حتّى صَلّى العصر؟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صلاته التي صَلّى الأُولى‌، ثم ليستأنف العصر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فالأحوط الإتيان بأربع ركعات بقصد ما في الذمّة، وقد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على المختار في المراد من الاختصاص، لا فرق بين وقوع الثانية في الوقت المشترك أو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جواز العدول، إذا دخل في الحاضرة، فذكر أنّ عليه فائتة، فإنّه يجوز له أن يعدل إلى الفائتة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الطويل، وفيه مضافاً إلى ما تقدّم ذكره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قد صلّيت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قد نسيت العشاء الآخرة حتّى صلّيت الفجر، فصلِّ العشاء الآخرة، وإنْ كنتَ ذكرتها وأنتَ في الركعة الأُولى أو الثانية من الغداة، فأنوها العشاء، ثمّ قُم فصلِّ الغداة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عبد الرحمن البصري عن مولانا الإمام الصادق عليه السلام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فريضة فائتة، فذكر أنّ عليه فريضة سابقة عليها، فالمشهور على أنّه يعدل بنيّته إلى السابقة، بل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وبإلغاء خصوصيّة مورد النصوص، والتعدّي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وباستفادة حكم المورد ممّا تضمّن العدول من الحاضرة إلى الفائتة، لأنّ القضاء على ما يظهر من أدلّته ليس إلّاإيجاد ما وَجَب في الوقت في خارجه، فيجري عليه حكمه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مضافاً إلى عدم حجيّة المنقول منه، لا يكون حجّة في أمثال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والتعدّي عن مورد النصوص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القضاء عين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يقتضي جوا العدول الذي هو من أحكام الأداء، لو كان مقتضى إطلاق دليله ثبوت جميع الأحكام التكليفيّة أو الوضعيّة الثابتة للأداء له، وهو كما ترى‌، إذ أدلّة القضاء إنّما تدلّ على لزوم ممّاثلة الصَّلاة المقضيّة للصَّلاة الّتي وجب الإتيان بها في الوقت، فيجبُ أن يُراعي فيها جميع ما يعتبر فيها من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الثابتة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الأدلّة لا تدلّ على ثبوتها للمقضيّة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الأمر بالقضاء كاشفاً عن كون الأمر الأوّل بنحو تعدّد المطلوب، لو تمّ لا يقتضي ذلك، لاحتمال أنْ يكون المطلوب الواحد مختلف الحكم باختلاف وقوعه في 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التمسّك باستصحاب جواز العدول الثابت له حال أدائها، لأنّه من الاستصحاب التعليقي الذي لا نقول بحجيّته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عدم جواز ترامي العدول، فيما لو ذَكر بعد أن عدل من فائتةٍ إلى سابقتها، أنّ عليه أيضاً فريضة سابقة على المعدول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الشهيدين</w:t>
      </w:r>
      <w:r>
        <w:rPr>
          <w:rStyle w:val="FootnoteAnchor"/>
          <w:rtl w:val="true"/>
        </w:rPr>
        <w:footnoteReference w:id="64"/>
      </w:r>
      <w:r>
        <w:rPr>
          <w:rFonts w:ascii="Amiri" w:hAnsi="Amiri" w:eastAsia="Amiri" w:cs="Amiri"/>
          <w:color w:val="111111"/>
          <w:sz w:val="28"/>
          <w:sz w:val="28"/>
          <w:szCs w:val="28"/>
          <w:rtl w:val="true"/>
          <w:lang w:bidi="ar-SA"/>
        </w:rPr>
        <w:t>من جوازه في الفرض، ضعيفٌ‌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ذلك فيما لو عَدَل من حاضرةٍ إلى سابقة عليها، كما لو عدل من العصر إلى الظهر، فذكر أنّ عليه الصبح، إذ ما دلَّ على جواز العدول من الحاضرة إلى الفائتة، لا يختصّ بالحاضرة التي قَصَدها من أوّل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الفريضة إلى النافلة يوم الجمعة، إذا نَسي قراءة الجمعة وقرأ غيرها، وتجاوز عن النصف، وسيأتي الكلام فيه في القراءة</w:t>
      </w:r>
      <w:r>
        <w:rPr>
          <w:rStyle w:val="FootnoteAnchor"/>
          <w:rtl w:val="true"/>
        </w:rPr>
        <w:footnoteReference w:id="65"/>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الفريضة إلى النافلة، لمن دخل فيها، واُقيمت الجماعة، والكلام فيه موكولٌ إلى محلّه من مبحث الجماعة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إلى التمام أو بالعكس في مواضع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التمام إلى القصر، إذا قصد الإقامة، وشرع فيها ثم بدا له وبنى على عدم الإقامة، أو تردّد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إلى التمام، لمن قصد في أثناء الفريضة إقامة عشرة أيّام، وسيأتي الكلام في هذه الموارد في صلاة المسافر</w:t>
      </w:r>
      <w:r>
        <w:rPr>
          <w:rStyle w:val="FootnoteAnchor"/>
          <w:rtl w:val="true"/>
        </w:rPr>
        <w:footnoteReference w:id="6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7" w:name="pg11800_96821"/>
    </w:p>
    <w:p>
      <w:pPr>
        <w:pStyle w:val="Heading5"/>
        <w:numPr>
          <w:ilvl w:val="4"/>
          <w:numId w:val="1"/>
        </w:numPr>
        <w:rPr/>
      </w:pPr>
      <w:bookmarkStart w:id="78" w:name="__RefHeading___Toc10477791_73709187"/>
      <w:bookmarkStart w:id="79" w:name="_Toc31"/>
      <w:bookmarkEnd w:id="77"/>
      <w:bookmarkEnd w:id="78"/>
      <w:r>
        <w:rPr>
          <w:rtl w:val="true"/>
        </w:rPr>
        <w:t>الثاني</w:t>
      </w:r>
      <w:r>
        <w:rPr>
          <w:rtl w:val="true"/>
        </w:rPr>
        <w:t xml:space="preserve">: </w:t>
      </w:r>
      <w:r>
        <w:rPr>
          <w:rtl w:val="true"/>
        </w:rPr>
        <w:t>تكبيرة الإحرام</w:t>
      </w:r>
      <w:bookmarkEnd w:id="79"/>
    </w:p>
    <w:p>
      <w:pPr>
        <w:pStyle w:val="Heading6"/>
        <w:numPr>
          <w:ilvl w:val="5"/>
          <w:numId w:val="1"/>
        </w:numPr>
        <w:rPr/>
      </w:pPr>
      <w:bookmarkStart w:id="80" w:name="__RefHeading___Toc10477793_73709187"/>
      <w:bookmarkStart w:id="81" w:name="_Toc32"/>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تكبيرة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تكبيرة الافتتاح أيضاً؛ لأنّها مفتاح الصَّلاة، وبها افتتاحها كما في جملةٍ‌</w:t>
      </w:r>
      <w:r>
        <w:rPr>
          <w:rStyle w:val="FootnoteAnchor"/>
          <w:rtl w:val="true"/>
        </w:rPr>
        <w:footnoteReference w:id="68"/>
      </w:r>
      <w:r>
        <w:rPr>
          <w:rFonts w:ascii="IRNazanin" w:hAnsi="IRNazanin" w:eastAsia="IRNazanin"/>
          <w:color w:val="111111"/>
          <w:sz w:val="28"/>
          <w:sz w:val="28"/>
          <w:szCs w:val="28"/>
          <w:rtl w:val="true"/>
          <w:lang w:bidi="fa-IR"/>
        </w:rPr>
        <w:t>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وجزئيّتها للصَّلاة، وكونها واجبة ممّا لا ريب فيه ولا خلاف، نعم حُكي عن بعض المخالفين</w:t>
      </w:r>
      <w:r>
        <w:rPr>
          <w:rStyle w:val="FootnoteAnchor"/>
          <w:rtl w:val="true"/>
        </w:rPr>
        <w:footnoteReference w:id="69"/>
      </w:r>
      <w:r>
        <w:rPr>
          <w:rFonts w:ascii="Amiri" w:hAnsi="Amiri" w:eastAsia="Amiri" w:cs="Amiri"/>
          <w:color w:val="111111"/>
          <w:sz w:val="28"/>
          <w:sz w:val="28"/>
          <w:szCs w:val="28"/>
          <w:rtl w:val="true"/>
          <w:lang w:bidi="ar-SA"/>
        </w:rPr>
        <w:t>القول بخروجها من الصَّلاة، وعليه فيتحقّق الدخول في الصَّلاة بمجرّد الشروع فيها، كما لا يخفى‌، كما أنّه لا خلاف في أنّ حرمة المنافيات إنّما تكون بعد إتمام التكبيرة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ما دلَّ على حرمة المنافيات في الصَّلاة ثبوت حرمتها من أوّل التكبيرة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تفصّى عن ذلك شيخنا الأعظم الأنصاري رحمه الله</w:t>
      </w:r>
      <w:r>
        <w:rPr>
          <w:rStyle w:val="FootnoteAnchor"/>
          <w:rtl w:val="true"/>
        </w:rPr>
        <w:footnoteReference w:id="70"/>
      </w:r>
      <w:r>
        <w:rPr>
          <w:rFonts w:ascii="Amiri" w:hAnsi="Amiri" w:eastAsia="Amiri" w:cs="Amiri"/>
          <w:color w:val="111111"/>
          <w:sz w:val="28"/>
          <w:sz w:val="28"/>
          <w:szCs w:val="28"/>
          <w:rtl w:val="true"/>
          <w:lang w:bidi="ar-SA"/>
        </w:rPr>
        <w:t>بأنّ الفراغ من التكبيرة كاشفٌ عن كونها جزءاً من الأوّل، جمعاً بين المقدّمات الثلاث، أعني حصول التحريم بمجموع التكبير، وتحريم المنافيات في الصَّلاة، وكون جزء الجزء جزءاً، فلو أتى بالمنافي في وسط التكبيرة، لا يكون ما أتى به جزء الصَّلاة، فلم يأتِ بالمنافي في الصَّلاة</w:t>
      </w:r>
      <w:r>
        <w:rPr>
          <w:rFonts w:eastAsia="Amiri" w:cs="Amiri" w:ascii="Amiri" w:hAnsi="Amiri"/>
          <w:color w:val="111111"/>
          <w:sz w:val="28"/>
          <w:szCs w:val="28"/>
          <w:rtl w:val="true"/>
          <w:lang w:bidi="ar-SA"/>
        </w:rPr>
        <w:t xml:space="preserve">. </w:t>
      </w:r>
      <w:bookmarkStart w:id="82" w:name="pg11800_96822"/>
    </w:p>
    <w:p>
      <w:pPr>
        <w:pStyle w:val="BookText"/>
        <w:rPr/>
      </w:pPr>
      <w:bookmarkEnd w:id="82"/>
      <w:r>
        <w:rPr>
          <w:rFonts w:ascii="Amiri" w:hAnsi="Amiri" w:eastAsia="Amiri" w:cs="Amiri"/>
          <w:color w:val="111111"/>
          <w:sz w:val="28"/>
          <w:sz w:val="28"/>
          <w:szCs w:val="28"/>
          <w:rtl w:val="true"/>
          <w:lang w:bidi="ar-SA"/>
        </w:rPr>
        <w:t>وهي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التفصّي أولى من أن يقال إنّ إطلاق ما دلَّ على حرمة المنافيات وضعاً وتكليفاً يقيّد بما دلَّ على عدم حرمتها قبل تماميّة التكبيرة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0477795_73709187"/>
      <w:bookmarkStart w:id="84" w:name="_Toc33"/>
      <w:bookmarkEnd w:id="83"/>
      <w:r>
        <w:rPr>
          <w:rtl w:val="true"/>
        </w:rPr>
        <w:t>تكبيرة الإحرام من الأركان</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بالإخلال بها عمداً وسهواً بلا خلاف، بل إجماعاً كما عن غير واحد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ينسى تكبيرة الافتتاح‌؟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يذكر أنّه لم يُكبِّر في أوّل صلاته‌؟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استيقين أنّه لم يُكبِّر فليعد، ولكن كيف يستيقن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سها خلف الإمام، فلم يفتتح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ولا صلاة بغير افتتاح</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وبإزائها طائفتان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أنّه لا تبطل الصَّلاة، إذا كان من نيّته أن يكبِّر، كصحيح 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يُكبِّر حتّى دخل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من نيّته أن يُكبِّر؟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العرفي بين هذا الصحيح، والنصوص السابقة، وإنْ كان حملها على الاستحباب، إذ تخصيصها به مستلزمٌ لحملها على الفرد النادر، ولكن لمخالفته للإجماع، وإعراض الأصحاب عنه، لابدَّ من طرحه، أو حمله على التقيّة، أو حمله على إرادة التكبير في آخر الإقامة من التكبير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أنّه لو دخل في الركوع، يمضي في صلاته، وإلّا فيُعيد، كموثّقة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قام في الصَّلاة، فنسي أن يُكبِّر، فبدأ بالقراءة‌؟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وهو قائمٌ قبل أن يركع فليكبِّر، وإنْ ركع فليمضِ في صلاته</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مجال للاعتماد عليها، وتقييد النصوص السابقة بها، وإنْ كان هو ممّا يقتضيه الجمع، لإعراض الأصحاب عنها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وجه للجمع بحمل هذه النصوص على صورة الشكّ‌، كما عن الشيخ رحمه الله، فإنّه جمعٌ تبرّعي لا شاهد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 تركها عمداً وسهواً مخلٌّ‌، وفي كون زيادتها أيضاً كذلك وجهان، أقواهما العدم، ونُسِبَ إلى المشهور</w:t>
      </w:r>
      <w:r>
        <w:rPr>
          <w:rStyle w:val="FootnoteAnchor"/>
          <w:rtl w:val="true"/>
        </w:rPr>
        <w:footnoteReference w:id="77"/>
      </w:r>
      <w:r>
        <w:rPr>
          <w:rFonts w:ascii="Amiri" w:hAnsi="Amiri" w:eastAsia="Amiri" w:cs="Amiri"/>
          <w:color w:val="111111"/>
          <w:sz w:val="28"/>
          <w:sz w:val="28"/>
          <w:szCs w:val="28"/>
          <w:rtl w:val="true"/>
          <w:lang w:bidi="ar-SA"/>
        </w:rPr>
        <w:t>أنّ زيادتها أيضاً عمداً وسهواً توجب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على أنّها ركنٌ‌، والرّكن مايبطل زيادته عمداً وسهواً كنقيصته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ما دلَّ على مبطليّة الزيادة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فعل منهيٌّ عنه، فيكون مبطلاً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غير ثابت، وعن جماعةٍ منهم المحقّق رحمه الله</w:t>
      </w:r>
      <w:r>
        <w:rPr>
          <w:rStyle w:val="FootnoteAnchor"/>
          <w:rtl w:val="true"/>
        </w:rPr>
        <w:footnoteReference w:id="78"/>
      </w:r>
      <w:r>
        <w:rPr>
          <w:rFonts w:ascii="Amiri" w:hAnsi="Amiri" w:eastAsia="Amiri" w:cs="Amiri"/>
          <w:color w:val="111111"/>
          <w:sz w:val="28"/>
          <w:sz w:val="28"/>
          <w:szCs w:val="28"/>
          <w:rtl w:val="true"/>
          <w:lang w:bidi="ar-SA"/>
        </w:rPr>
        <w:t xml:space="preserve">تفسيره بما يوجب الإخلال به عمداً وسهواً البطلان، ولعلّ قول المصنّف رحمه الله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إذ لا يتصوّر الزيادة في النيّة، بناءً على تفسيرها بما اخترناه، وأمّا بناءً على تفسيرها بالإرادة التفصيليّة، فزيادتها غير قادحة، بل لعلّها راجحة كما قيل</w:t>
      </w:r>
      <w:r>
        <w:rPr>
          <w:rStyle w:val="FootnoteAnchor"/>
          <w:rtl w:val="true"/>
        </w:rPr>
        <w:footnoteReference w:id="79"/>
      </w:r>
      <w:r>
        <w:rPr>
          <w:rFonts w:ascii="Amiri" w:hAnsi="Amiri" w:eastAsia="Amiri" w:cs="Amiri"/>
          <w:color w:val="111111"/>
          <w:sz w:val="28"/>
          <w:sz w:val="28"/>
          <w:szCs w:val="28"/>
          <w:rtl w:val="true"/>
          <w:lang w:bidi="ar-SA"/>
        </w:rPr>
        <w:t>، فالمراد بكونها ركناً هو ما ذكرناه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العموم المزبور مختصٌّ بالزيادة العمديّة، لحكومة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إلى ما قبله ففيه ما عرفت، وإلّا فيرد عليه إنّه لم يدلّ دليلٌ على مبطليّة كلّ فعلٍ منهيّ عنه، مع أنّ كونها فعلاً منهيّاً عنه ممنوع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مبطليّة زيادتها سهواً، نعم في العمد تكون الزيادة قادحة، لعموم ما دلَّ على قدح الزيادة في الصَّلاة</w:t>
      </w:r>
      <w:r>
        <w:rPr>
          <w:rFonts w:eastAsia="Amiri" w:cs="Amiri" w:ascii="Amiri" w:hAnsi="Amiri"/>
          <w:color w:val="111111"/>
          <w:sz w:val="28"/>
          <w:szCs w:val="28"/>
          <w:rtl w:val="true"/>
          <w:lang w:bidi="ar-SA"/>
        </w:rPr>
        <w:t>.</w:t>
      </w:r>
      <w:bookmarkStart w:id="85" w:name="pg11800_96826"/>
    </w:p>
    <w:p>
      <w:pPr>
        <w:pStyle w:val="BookText"/>
        <w:rPr/>
      </w:pPr>
      <w:bookmarkEnd w:id="85"/>
      <w:r>
        <w:rPr>
          <w:rFonts w:ascii="Amiri" w:hAnsi="Amiri" w:eastAsia="Amiri" w:cs="Amiri"/>
          <w:color w:val="111111"/>
          <w:sz w:val="28"/>
          <w:sz w:val="28"/>
          <w:szCs w:val="28"/>
          <w:rtl w:val="true"/>
          <w:lang w:bidi="ar-SA"/>
        </w:rPr>
        <w:t>وصورتها اللّهُ أكبر</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0477797_73709187"/>
      <w:bookmarkStart w:id="87" w:name="_Toc34"/>
      <w:bookmarkEnd w:id="86"/>
      <w:r>
        <w:rPr>
          <w:rtl w:val="true"/>
        </w:rPr>
        <w:t>صورة تكبيرة الإحرام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وصُورتها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علماؤنا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من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أتمّ الناس صلاةً وأوجزهم، كان إذا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بسم اللّه الرحمن الرحيم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التأسّي به ومتابعته،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إنّه بما أنّ المشار إليه يكون فرداً خارجيّاً، ومن المعلوم أنّ جميع الخصوصيّات لا تكون دخيلة في الصَّلاة، فلا محالة يكون مجملاً، فلا يصحّ الاستدلال 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مجملاً، إلّاأنّه يشمل مثل هذا الفعل المعلوم كونه من أفعال الصَّلاة الواجبة، وكان بناء رسول اللّه صلى الله عليه و آله على الإتيان به بهذه الصورة، كما لا يخفى وجهه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لاتفتتح الصَّلاة إلّابها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يقيّد إطلاق ما ورد في التكبير لو كان مسوقاً للبيان من هذه الجهة، مع أنّ للمنع عنه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ويرفع اليد عن أصالة البراءة عن تعيّن الصورة المذكورة الجارية في المقام، بناءً على ما هو الحقّ من جريانها في موارد الدوران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المحقّقين رحمه الله</w:t>
      </w:r>
      <w:r>
        <w:rPr>
          <w:rStyle w:val="FootnoteAnchor"/>
          <w:rtl w:val="true"/>
        </w:rPr>
        <w:footnoteReference w:id="85"/>
      </w:r>
      <w:r>
        <w:rPr>
          <w:rFonts w:ascii="Amiri" w:hAnsi="Amiri" w:eastAsia="Amiri" w:cs="Amiri"/>
          <w:color w:val="111111"/>
          <w:sz w:val="28"/>
          <w:sz w:val="28"/>
          <w:szCs w:val="28"/>
          <w:rtl w:val="true"/>
          <w:lang w:bidi="ar-SA"/>
        </w:rPr>
        <w:t>وجهاً لعدم جريانها في المقام، بأنّ المأمور به هو تكبيرة الافتتاح، وبها يدخل في حريم الصَّلاة، ويُعلم أنّ الصورة المذكورة يتحقّق منها هذا المطلوب، وتحقّقه من غيرها مشكوك فيه، فيجب الاقتصار عليها ليقطع بفراغ الذمّة بعد العلم باشتغالها، إنّما يرجع إلى ما ذكر وجهاً، لكون المرجع في الدّوران بين التعيّين والتخيّير هو الاحتياط، وقد أشبعنا الكلام في الجواب عنه في أبحاثنا الاُصوليّة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فالعمدة حينئذٍ في تعيّن الصورة الخاصّة، ما ذكرناه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88" w:name="pg11800_96828"/>
    </w:p>
    <w:p>
      <w:pPr>
        <w:pStyle w:val="BookText"/>
        <w:rPr/>
      </w:pPr>
      <w:bookmarkEnd w:id="88"/>
      <w:r>
        <w:rPr>
          <w:rFonts w:ascii="Amiri" w:hAnsi="Amiri" w:eastAsia="Amiri" w:cs="Amiri"/>
          <w:color w:val="111111"/>
          <w:sz w:val="28"/>
          <w:sz w:val="28"/>
          <w:szCs w:val="28"/>
          <w:rtl w:val="true"/>
          <w:lang w:bidi="ar-SA"/>
        </w:rPr>
        <w:t>ولا يكفي التَّرجُمة مع القدرة، ويجبُ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الترجمة مع القدرة، ويجب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التلفّظ بها، بتمرين اللّسان على النطق بها صحيحةً بلا خلاف؛ لأنّه مقدّمةً للإتيان بها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تمكّن من التعلّم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 عليه قبل الوقت، وعلم بأنّه لا يتمكّن منه في الوقت، وجب التعلّم أيضاً، بناءً على ما هو الحقّ من وجوب المقدّمات التي يترتّب على تركها فوت الواجب المتأخّر في ظرفه، ولم يكن القدرة في ظرفه شرطاً للوجوب</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0477799_73709187"/>
      <w:bookmarkStart w:id="90" w:name="_Toc35"/>
      <w:bookmarkEnd w:id="89"/>
      <w:r>
        <w:rPr>
          <w:rtl w:val="true"/>
        </w:rPr>
        <w:t>العاجز عن النطق بالتكبيرة صحيحاً</w:t>
      </w:r>
      <w:bookmarkEnd w:id="90"/>
    </w:p>
    <w:p>
      <w:pPr>
        <w:pStyle w:val="BookText"/>
        <w:rPr/>
      </w:pPr>
      <w:r>
        <w:rPr>
          <w:rFonts w:ascii="Amiri" w:hAnsi="Amiri" w:eastAsia="Amiri" w:cs="Amiri"/>
          <w:color w:val="111111"/>
          <w:sz w:val="28"/>
          <w:sz w:val="28"/>
          <w:szCs w:val="28"/>
          <w:rtl w:val="true"/>
          <w:lang w:bidi="ar-SA"/>
        </w:rPr>
        <w:t>وإنْ ضاق الوقت، أو عجز عن تعلّم التكبيرة قبل فوات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على الإتيان بها ملحونةً‌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عليها حتّى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القادر على ذلك، فالأظهر وجوبه، كما هو المشهور، بل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الميسور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فهو أولى بالعُذر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بغير افتتاح</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بتقريب إنّه بعد القطع بأنّ العاجز مكلّفٌ بالصَّلاة، والمفروض عدم تحقّقها بغير افتتاح، فلابدّ وأنْ يكون متعلّق أمره هو الذي يقدر عليه، وإلّا لزم عدم التكليف بالصَّلاة، أو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قاعدة الميسور فإنّه لم يدلّ دليلٌ على ثبوتها في الميسور من ما يعتبر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والأخيران لا يدلّان على وجوب الملحون تعييناً، وإنّما يدلّان على عدم وجوب الصحيح،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ذلك، فحوى ما ورد</w:t>
      </w:r>
      <w:r>
        <w:rPr>
          <w:rStyle w:val="FootnoteAnchor"/>
          <w:rtl w:val="true"/>
        </w:rPr>
        <w:footnoteReference w:id="89"/>
      </w:r>
      <w:r>
        <w:rPr>
          <w:rFonts w:ascii="Amiri" w:hAnsi="Amiri" w:eastAsia="Amiri" w:cs="Amiri"/>
          <w:color w:val="111111"/>
          <w:sz w:val="28"/>
          <w:sz w:val="28"/>
          <w:szCs w:val="28"/>
          <w:rtl w:val="true"/>
          <w:lang w:bidi="ar-SA"/>
        </w:rPr>
        <w:t>في الفأفاء</w:t>
      </w:r>
      <w:r>
        <w:rPr>
          <w:rStyle w:val="FootnoteAnchor"/>
          <w:rtl w:val="true"/>
        </w:rPr>
        <w:footnoteReference w:id="90"/>
      </w:r>
      <w:r>
        <w:rPr>
          <w:rFonts w:ascii="IRNazanin" w:hAnsi="IRNazanin" w:eastAsia="IRNazanin"/>
          <w:color w:val="111111"/>
          <w:sz w:val="28"/>
          <w:sz w:val="28"/>
          <w:szCs w:val="28"/>
          <w:rtl w:val="true"/>
          <w:lang w:bidi="fa-IR"/>
        </w:rPr>
        <w:t>والتمتام</w:t>
      </w:r>
      <w:r>
        <w:rPr>
          <w:rStyle w:val="FootnoteAnchor"/>
          <w:rtl w:val="true"/>
        </w:rPr>
        <w:footnoteReference w:id="91"/>
      </w:r>
      <w:r>
        <w:rPr>
          <w:rFonts w:ascii="IRNazanin" w:hAnsi="IRNazanin" w:eastAsia="IRNazanin"/>
          <w:color w:val="111111"/>
          <w:sz w:val="28"/>
          <w:sz w:val="28"/>
          <w:szCs w:val="28"/>
          <w:rtl w:val="true"/>
          <w:lang w:bidi="fa-IR"/>
        </w:rPr>
        <w:t>والألثغ</w:t>
      </w:r>
      <w:r>
        <w:rPr>
          <w:rStyle w:val="FootnoteAnchor"/>
          <w:rtl w:val="true"/>
        </w:rPr>
        <w:footnoteReference w:id="92"/>
      </w:r>
      <w:r>
        <w:rPr>
          <w:rFonts w:ascii="Amiri" w:hAnsi="Amiri" w:eastAsia="Amiri" w:cs="Amiri"/>
          <w:color w:val="111111"/>
          <w:sz w:val="28"/>
          <w:sz w:val="28"/>
          <w:szCs w:val="28"/>
          <w:rtl w:val="true"/>
          <w:lang w:bidi="ar-SA"/>
        </w:rPr>
        <w:t>والأليغ</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لم يكن قادراً 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عليه الإحرام بترجمتها من غير العربيّة، أو يسقط عنه‌؟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w:t>
      </w:r>
      <w:r>
        <w:rPr>
          <w:rStyle w:val="FootnoteAnchor"/>
          <w:rtl w:val="true"/>
        </w:rPr>
        <w:footnoteReference w:id="94"/>
      </w:r>
      <w:r>
        <w:rPr>
          <w:rFonts w:ascii="Amiri" w:hAnsi="Amiri" w:eastAsia="Amiri" w:cs="Amiri"/>
          <w:color w:val="111111"/>
          <w:sz w:val="28"/>
          <w:sz w:val="28"/>
          <w:szCs w:val="28"/>
          <w:rtl w:val="true"/>
          <w:lang w:bidi="ar-SA"/>
        </w:rPr>
        <w:t>الأوّل إلى علمائنا، واستدلّ له بعض الأكابر</w:t>
      </w:r>
      <w:r>
        <w:rPr>
          <w:rStyle w:val="FootnoteAnchor"/>
          <w:rtl w:val="true"/>
        </w:rPr>
        <w:footnoteReference w:id="95"/>
      </w:r>
      <w:r>
        <w:rPr>
          <w:rFonts w:ascii="Amiri" w:hAnsi="Amiri" w:eastAsia="Amiri" w:cs="Amiri"/>
          <w:color w:val="111111"/>
          <w:sz w:val="28"/>
          <w:sz w:val="28"/>
          <w:szCs w:val="28"/>
          <w:rtl w:val="true"/>
          <w:lang w:bidi="ar-SA"/>
        </w:rPr>
        <w:t xml:space="preserve">بإطلاق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مفتاح الصَّلاة التكبير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بدعوى أنّه وإنْ قُيّد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التقييد مختصٌّ بحال القدرة، لأنّ العمدة فيه الإجماع، فيبقى الإطلاق بحاله في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دليل التقييد لا يختصٌّ بالإجماع، بل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يدلّان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Style w:val="FootnoteAnchor"/>
          <w:rtl w:val="true"/>
        </w:rPr>
        <w:footnoteReference w:id="98"/>
      </w:r>
      <w:r>
        <w:rPr>
          <w:rFonts w:ascii="Amiri" w:hAnsi="Amiri" w:eastAsia="Amiri" w:cs="Amiri"/>
          <w:color w:val="111111"/>
          <w:sz w:val="28"/>
          <w:sz w:val="28"/>
          <w:szCs w:val="28"/>
          <w:rtl w:val="true"/>
          <w:lang w:bidi="ar-SA"/>
        </w:rPr>
        <w:t>من الاستدلال له بخبر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بغير افتتاح</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بتقريب إنّ حقيقة الصَّلاة لا تتحقّق من دون ذلك، والعاجز عن التكبيرة بعد فرض عدم سقوط الصَّلاة عنه، واستحالة التكليف بالمحال، يعلم بأنّه مكلّفٌ بالافتتاح بشيءٍ آخر، والمتيقّن منه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كسائر النصوص ليس له إطلاقٌ‌، لعدم كونه مسوقاً للبيان من هذه الجهة، وعلى فرض ثبوته، فهو مقيّدٌ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عدم التمكّن منه لا محالة يكون التكليف به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ما تضمّن من النصوص من أنّ به افتتاحها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0"/>
      </w:r>
      <w:r>
        <w:rPr>
          <w:rFonts w:ascii="Amiri" w:hAnsi="Amiri" w:eastAsia="Amiri" w:cs="Amiri"/>
          <w:color w:val="111111"/>
          <w:sz w:val="28"/>
          <w:sz w:val="28"/>
          <w:szCs w:val="28"/>
          <w:rtl w:val="true"/>
          <w:lang w:bidi="ar-SA"/>
        </w:rPr>
        <w:t>من سقوط التكبير عمّن من شأنه هذا، هو الأظهر بحسب القواعد، لولا الإجماع على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1" w:name="pg11800_96831"/>
    </w:p>
    <w:p>
      <w:pPr>
        <w:pStyle w:val="BookText"/>
        <w:rPr/>
      </w:pPr>
      <w:bookmarkEnd w:id="91"/>
      <w:r>
        <w:rPr>
          <w:rFonts w:ascii="Amiri" w:hAnsi="Amiri" w:eastAsia="Amiri" w:cs="Amiri"/>
          <w:color w:val="111111"/>
          <w:sz w:val="28"/>
          <w:sz w:val="28"/>
          <w:szCs w:val="28"/>
          <w:rtl w:val="true"/>
          <w:lang w:bidi="ar-SA"/>
        </w:rPr>
        <w:t>والأخرس يُشير بها مع عقد قلبه</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10477801_73709187"/>
      <w:bookmarkStart w:id="93" w:name="_Toc36"/>
      <w:bookmarkEnd w:id="92"/>
      <w:r>
        <w:rPr>
          <w:rtl w:val="true"/>
        </w:rPr>
        <w:t>تكبيرة الأخرس</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بالتكبيرة على قدر الإمكان، لما تقدّم في العاجز عن تعلّم التكبيرة قبل فوات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جعفر بن محمّد عليه السلام في موثّق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الأخرس في القراءة في الصَّلاة والتشهّد، وما أشبه ذلك، فهذا بمنزلة العَجَم، والمُحرم لا يُراد منه ما يراد من العاقل المتكلّم الفصيح</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فلا يدلّ على وجوب الناقص عليه، وإنّما يدلّ على عدم وجوب التامّ‌،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عجز عن النطق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بها مع عقد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الإشارة بالإصبع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103"/>
      </w:r>
      <w:r>
        <w:rPr>
          <w:rFonts w:ascii="Amiri" w:hAnsi="Amiri" w:eastAsia="Amiri" w:cs="Amiri"/>
          <w:color w:val="111111"/>
          <w:sz w:val="28"/>
          <w:sz w:val="28"/>
          <w:szCs w:val="28"/>
          <w:rtl w:val="true"/>
          <w:lang w:bidi="ar-SA"/>
        </w:rPr>
        <w:t>ذلك مع إضافة تحريك اللّسان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لهذا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أنّ الواجب في الافتتاح، ليس هو معنى التكبير، وهو إظهار كبريائه تعالى‌، بل هو الصيغة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المرويّ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تلبية الأخرس وتشهده وقراءته للقرآن في الصَّلاة، تحريك لسانه وإشارته بإصبعه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وشرطها القيام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أنّه لا خصوصيّة لموارده الثلاثة، وإنّما هو في مقام بيان إعطاء الضابط كما هو الظاهر، وعليه فيعتبر تحريك اللّسان مع الإشارة بالإصبع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اعتباره، هو الدليل على اعتبار لحاظ المعنى في الناطق، وعدم ذكره في الخبر، إنّما هو لأجل كونه في مقام بيان ما يكون بدلاً عن اللّفظ، فالأخرس كغيره لابدَّ له من القصد إلى الصورة المعهودة للتكبيرة، سواءٌ عقل معناها أم لا، وعوضاً عن اللّفظ يشير بإصبعه مع تحريك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وشرطها القيام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كبّر قاعداً أو منحنياً ولو ببعض التكبيرة، بطلت صلاته بلا خلافٍ‌، إلّاعن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0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اعتباره في الصَّلاة، الظاهر في وجوبه في كلّ جزءٍ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وجب عليه الصَّلاة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وجب عليه الصَّلاة، من قيامٍ فنسي حتّى افتتح الصَّلاة وهو قاعد، فعليه أن يقطع صلاته، ويقوم فيقتتح الصَّلاة وهو قائم، ولايعتدّ بافتتاحه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4" w:name="pg11800_96833"/>
    </w:p>
    <w:p>
      <w:pPr>
        <w:pStyle w:val="BookText"/>
        <w:rPr/>
      </w:pPr>
      <w:bookmarkEnd w:id="94"/>
      <w:r>
        <w:rPr>
          <w:rFonts w:ascii="Amiri" w:hAnsi="Amiri" w:eastAsia="Amiri" w:cs="Amiri"/>
          <w:color w:val="111111"/>
          <w:sz w:val="28"/>
          <w:sz w:val="28"/>
          <w:szCs w:val="28"/>
          <w:rtl w:val="true"/>
          <w:lang w:bidi="ar-SA"/>
        </w:rPr>
        <w:t>ويستحبُّ رفع اليدين بها</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0477803_73709187"/>
      <w:bookmarkStart w:id="96" w:name="_Toc37"/>
      <w:bookmarkEnd w:id="95"/>
      <w:r>
        <w:rPr>
          <w:rtl w:val="true"/>
        </w:rPr>
        <w:t>رَفعُ اليدين حال التكبيرة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رفع اليدين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الرَّضي رحمه الله</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في جميع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في خصوص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أقمتَ‌</w:t>
      </w:r>
      <w:r>
        <w:rPr>
          <w:rStyle w:val="FootnoteAnchor"/>
          <w:rtl w:val="true"/>
        </w:rPr>
        <w:footnoteReference w:id="111"/>
      </w:r>
      <w:r>
        <w:rPr>
          <w:rFonts w:ascii="Amiri" w:hAnsi="Amiri" w:eastAsia="Amiri" w:cs="Amiri"/>
          <w:color w:val="111111"/>
          <w:sz w:val="28"/>
          <w:sz w:val="28"/>
          <w:szCs w:val="28"/>
          <w:rtl w:val="true"/>
          <w:lang w:bidi="ar-SA"/>
        </w:rPr>
        <w:t>الصَّلاة فكبّرت، فارفع يديك، ولا تجاوز بكفّيك اُذنيك، أي حيال خدّيك</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Style w:val="FootnoteAnchor"/>
          <w:rtl w:val="true"/>
        </w:rPr>
        <w:footnoteReference w:id="113"/>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حمل هذه الأخبار على الاستحباب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بقرينة ما في النصوص من التعليلات، الظاهرة في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وصحيح علي بن جعفر، عن أخيه الإمام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أنْ يرفع يده في الصَّلاة، ليس على غيره أن يرفع يده في الصَّلاة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فإنّ عدم وجوبه على غير الإمام، يستلزم عدم وجوبه على الإمام أيضاً، لعدم القول بالفصل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الرفع حال القنوت من الرفع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إرادة الرفع فيما من شأنه أن يُرفع به اليد، وأظهر مصاديقه التكبيرة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الرفع إلى حيال الوجه، كما نُسب إلى الأشهر</w:t>
      </w:r>
      <w:r>
        <w:rPr>
          <w:rStyle w:val="FootnoteAnchor"/>
          <w:rtl w:val="true"/>
        </w:rPr>
        <w:footnoteReference w:id="117"/>
      </w:r>
      <w:r>
        <w:rPr>
          <w:rFonts w:ascii="Amiri" w:hAnsi="Amiri" w:eastAsia="Amiri" w:cs="Amiri"/>
          <w:color w:val="111111"/>
          <w:sz w:val="28"/>
          <w:sz w:val="28"/>
          <w:szCs w:val="28"/>
          <w:rtl w:val="true"/>
          <w:lang w:bidi="ar-SA"/>
        </w:rPr>
        <w:t>، ويشهد له صحيح زرارة، وصحيح ابن سنان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أسفل منه، ويشهد له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حين افتتح الصَّلاة، يرفع يديه أسفل من وجهه قليلاً أو إلى النحر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Style w:val="FootnoteAnchor"/>
          <w:rtl w:val="true"/>
        </w:rPr>
        <w:footnoteReference w:id="119"/>
      </w:r>
      <w:r>
        <w:rPr>
          <w:rFonts w:ascii="Amiri" w:hAnsi="Amiri" w:eastAsia="Amiri" w:cs="Amiri"/>
          <w:color w:val="111111"/>
          <w:sz w:val="28"/>
          <w:sz w:val="28"/>
          <w:szCs w:val="28"/>
          <w:rtl w:val="true"/>
          <w:lang w:bidi="ar-SA"/>
        </w:rPr>
        <w:t>أنّ معناه ارفع يديك إلى النحر في الصَّلاة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شَحمتي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شَحمتي الاُذنين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الاستدلال له برواية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فكبّرتَ فلا تجاوز اُذنيك</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عدم تجاوز الرفع عن الاُذنين، للنهي عنه في 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يبتدأ بالتكبير بابتداء الرفع، وينتهي بانتهائه كما هو المشهور، لقوله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يرفع اليدان بالتكبير</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استفادته من سائر النصوص المتضمّنة للأمر 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الظاهر منها اعتبار المقارنة العرفيّة، وهي إنّما تتحقّق بالكيفيّة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عن بعض</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من تعيّن كون التكبيرة بعد الرفع قبل الإرسال، مستنداً إلى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فارفع كفّيك ثمّ ابسطهما بسطاً ثمّ كبّر</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بدعوى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التراخي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أنّه لم يرد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النصوص الترتيب، وإلّا لزم التنافي بين الصحيح وصحيح زرارة المتقدّم، حيث رتّب رفع اليدين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استحباب أن يُضيف إلى تكبيرة الإحرام ستّة تكبيرات اُخرى ليكون المجموع سبعاً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فيه، وفي أنّه لو أتى بالسَّبع، يتخيّر في تعيين تكبيرة الإحرام في أيّتها شاء، أو يحرم بالجميع، أو يتعيّن اختيار الأُولى، أو اختيار الأخيرة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يستحبّ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المصنّف رحمه الله، وتعرّضه لهذه المسألة، فانتظر</w:t>
      </w:r>
      <w:r>
        <w:rPr>
          <w:rFonts w:eastAsia="Amiri" w:cs="Amiri" w:ascii="Amiri" w:hAnsi="Amiri"/>
          <w:color w:val="111111"/>
          <w:sz w:val="28"/>
          <w:szCs w:val="28"/>
          <w:rtl w:val="true"/>
          <w:lang w:bidi="ar-SA"/>
        </w:rPr>
        <w:t>.</w:t>
      </w:r>
      <w:bookmarkStart w:id="97" w:name="pg11800_96837"/>
    </w:p>
    <w:p>
      <w:pPr>
        <w:pStyle w:val="Heading5"/>
        <w:numPr>
          <w:ilvl w:val="4"/>
          <w:numId w:val="1"/>
        </w:numPr>
        <w:rPr/>
      </w:pPr>
      <w:bookmarkStart w:id="98" w:name="__RefHeading___Toc10477805_73709187"/>
      <w:bookmarkStart w:id="99" w:name="_Toc38"/>
      <w:bookmarkEnd w:id="97"/>
      <w:bookmarkEnd w:id="98"/>
      <w:r>
        <w:rPr>
          <w:rtl w:val="true"/>
        </w:rPr>
        <w:t>الثالث</w:t>
      </w:r>
      <w:r>
        <w:rPr>
          <w:rtl w:val="true"/>
        </w:rPr>
        <w:t xml:space="preserve">: </w:t>
      </w:r>
      <w:r>
        <w:rPr>
          <w:rtl w:val="true"/>
        </w:rPr>
        <w:t>القيام</w:t>
      </w:r>
      <w:bookmarkEnd w:id="99"/>
    </w:p>
    <w:p>
      <w:pPr>
        <w:pStyle w:val="Heading6"/>
        <w:numPr>
          <w:ilvl w:val="5"/>
          <w:numId w:val="1"/>
        </w:numPr>
        <w:rPr/>
      </w:pPr>
      <w:bookmarkStart w:id="100" w:name="__RefHeading___Toc10477807_73709187"/>
      <w:bookmarkStart w:id="101" w:name="_Toc39"/>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وهو ركنٌ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الصَّلاة الواجبة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w:t>
      </w:r>
      <w:r>
        <w:rPr>
          <w:rStyle w:val="FootnoteAnchor"/>
          <w:rtl w:val="true"/>
        </w:rPr>
        <w:footnoteReference w:id="126"/>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يُصلّي قائماً، والمريض جالساً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منتصباً،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ركنٌ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فمن تركه عمداً أو سهواً بطلت صلاته، والمصنّف رحمه الله تبعاً لجماعة من الأساطين</w:t>
      </w:r>
      <w:r>
        <w:rPr>
          <w:rStyle w:val="FootnoteAnchor"/>
          <w:rtl w:val="true"/>
        </w:rPr>
        <w:footnoteReference w:id="130"/>
      </w:r>
      <w:r>
        <w:rPr>
          <w:rFonts w:ascii="Amiri" w:hAnsi="Amiri" w:eastAsia="Amiri" w:cs="Amiri"/>
          <w:color w:val="111111"/>
          <w:sz w:val="28"/>
          <w:sz w:val="28"/>
          <w:szCs w:val="28"/>
          <w:rtl w:val="true"/>
          <w:lang w:bidi="ar-SA"/>
        </w:rPr>
        <w:t>أطلق أنّ القيام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قدس سره في بعض كتبه</w:t>
      </w:r>
      <w:r>
        <w:rPr>
          <w:rStyle w:val="FootnoteAnchor"/>
          <w:rtl w:val="true"/>
        </w:rPr>
        <w:footnoteReference w:id="131"/>
      </w:r>
      <w:r>
        <w:rPr>
          <w:rFonts w:ascii="Amiri" w:hAnsi="Amiri" w:eastAsia="Amiri" w:cs="Amiri"/>
          <w:color w:val="111111"/>
          <w:sz w:val="28"/>
          <w:sz w:val="28"/>
          <w:szCs w:val="28"/>
          <w:rtl w:val="true"/>
          <w:lang w:bidi="ar-SA"/>
        </w:rPr>
        <w:t>، التصريح بأنّه ركنٌ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وبإطلاق ما دلَّ على وجوبه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خلاف في صحّة صلاة ناسي القراءة، مع أنّه يفوّت بعض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فلحكومة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عليه، وبه يقيّد بصورة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حال التكبير ركن، وكذلك القيام المتّصل بالركوع، والقيام حال القراءة، وبعد الركوع واجبٌ ليس بركن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بحث التكبير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فلإتّفاق الأصحاب على أنّ الركوع عن جلوس سهواً موجبٌ للبطلان، والنزاع في أنّ وجه البطلان فقد القيام المتّصل بالركوع، أو عدم الإتيان بالركوع عن قيام، لا تترتّب عليه ثمرة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الإخلال به سهواً بتبع ترك القراءة أو مع الإتيان بها، لا يوجب البطلان،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وجوبه، فلإطلاق ما دلَّ على وجوب القيام في الصَّلاة</w:t>
      </w:r>
      <w:r>
        <w:rPr>
          <w:rStyle w:val="FootnoteAnchor"/>
          <w:rtl w:val="true"/>
        </w:rPr>
        <w:footnoteReference w:id="134"/>
      </w:r>
      <w:r>
        <w:rPr>
          <w:rFonts w:ascii="Amiri" w:hAnsi="Amiri" w:eastAsia="Amiri" w:cs="Amiri"/>
          <w:color w:val="111111"/>
          <w:sz w:val="28"/>
          <w:sz w:val="28"/>
          <w:szCs w:val="28"/>
          <w:rtl w:val="true"/>
          <w:lang w:bidi="ar-SA"/>
        </w:rPr>
        <w:t>، ومنه يظهر وجه كون القيام بعد الركوع غير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تكون زيادة القيام سهواً كنقيصته موجبة للبطلان في الجملة أم لا؟ وجهان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أقواهما العدم، إذ زيادة القيام حال التكبير بتبع زيادته، قد عرفت إنّها لا توجب البطلان، ومستقلّاً لا تُعقل، وكذلك في حال القراءة على ما سيأتي في مبحث القراءة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2" w:name="pg11800_96839"/>
    </w:p>
    <w:p>
      <w:pPr>
        <w:pStyle w:val="BookText"/>
        <w:rPr/>
      </w:pPr>
      <w:bookmarkEnd w:id="102"/>
      <w:r>
        <w:rPr>
          <w:rFonts w:ascii="Amiri" w:hAnsi="Amiri" w:eastAsia="Amiri" w:cs="Amiri"/>
          <w:color w:val="111111"/>
          <w:sz w:val="28"/>
          <w:sz w:val="28"/>
          <w:szCs w:val="28"/>
          <w:rtl w:val="true"/>
          <w:lang w:bidi="ar-SA"/>
        </w:rPr>
        <w:t>وأمّا 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w:t>
      </w:r>
      <w:r>
        <w:rPr>
          <w:rStyle w:val="FootnoteAnchor"/>
          <w:rtl w:val="true"/>
        </w:rPr>
        <w:footnoteReference w:id="136"/>
      </w:r>
      <w:r>
        <w:rPr>
          <w:rFonts w:ascii="Amiri" w:hAnsi="Amiri" w:eastAsia="Amiri" w:cs="Amiri"/>
          <w:color w:val="111111"/>
          <w:sz w:val="28"/>
          <w:sz w:val="28"/>
          <w:szCs w:val="28"/>
          <w:rtl w:val="true"/>
          <w:lang w:bidi="ar-SA"/>
        </w:rPr>
        <w:t>على مبطليّة زيادته السهويّة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على أنّه 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ما دلَّ على أنّ من زاد في صلاته فعليه الإعادة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على ركنيّته، فقد عرفت أنّه لا يدلّ على مبطليّة زيادته أيضاً، لعدم ثبوت كون معنى الرّكن ما يوجب زيادته عمداً وسهواً كنقيصته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العموم، فلحكومة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عليه، بناءً على شموله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عدم مبطليّة زيادته سهواً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0477809_73709187"/>
      <w:bookmarkStart w:id="104" w:name="_Toc40"/>
      <w:bookmarkEnd w:id="103"/>
      <w:r>
        <w:rPr>
          <w:rtl w:val="true"/>
        </w:rPr>
        <w:t>ما يعتبرُ في القيام</w:t>
      </w:r>
      <w:bookmarkEnd w:id="104"/>
    </w:p>
    <w:p>
      <w:pPr>
        <w:pStyle w:val="Heading6"/>
        <w:numPr>
          <w:ilvl w:val="5"/>
          <w:numId w:val="1"/>
        </w:numPr>
        <w:rPr/>
      </w:pPr>
      <w:bookmarkStart w:id="105" w:name="__RefHeading___Toc10477811_73709187"/>
      <w:bookmarkStart w:id="106" w:name="_Toc41"/>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يعتبر في القيام اُمور</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0477813_73709187"/>
      <w:bookmarkStart w:id="108" w:name="_Toc42"/>
      <w:bookmarkEnd w:id="107"/>
      <w:r>
        <w:rPr>
          <w:rtl w:val="true"/>
        </w:rPr>
        <w:t>إقامة الصُّلب</w:t>
      </w:r>
      <w:bookmarkEnd w:id="10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الصُّلب، ويعبّر عنها بالإنتصاب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وقم منتصباً فإنّ رسول اللّه صلى الله عليه و آله قال مَنْ لم يُقِم صُلبه فلا صلاة 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 أبي بصير، عن الإمام الصادق عليه السلام عن الإمام أمير المؤمنين عليه السلام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09" w:name="pg11800_96840"/>
    </w:p>
    <w:p>
      <w:pPr>
        <w:pStyle w:val="BookText"/>
        <w:rPr/>
      </w:pPr>
      <w:bookmarkEnd w:id="109"/>
      <w:r>
        <w:rPr>
          <w:rFonts w:ascii="Amiri" w:hAnsi="Amiri" w:eastAsia="Amiri" w:cs="Amiri"/>
          <w:color w:val="111111"/>
          <w:sz w:val="28"/>
          <w:sz w:val="28"/>
          <w:szCs w:val="28"/>
          <w:rtl w:val="true"/>
          <w:lang w:bidi="ar-SA"/>
        </w:rPr>
        <w:t>والصُّلب هو العظم الذي يكون من الكاهل إلى آخر الذَنَب، وإقامته مستلزمة للانتصاب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يخلّ بالإنتصاب إطراق الرأس، فلا يجبُ ترك ذلك،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حريز، عن أبي جعفر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الاعتدال في القيام، أن يُقيم صُلبه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سُلّم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العنق، فإنّه لضعفه في نفسه، وإعراض الأصحاب عنه، يتعيّن طرحه، مع أنّه 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الصدر في اللّغة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10477815_73709187"/>
      <w:bookmarkStart w:id="111" w:name="_Toc43"/>
      <w:bookmarkEnd w:id="110"/>
      <w:r>
        <w:rPr>
          <w:rtl w:val="true"/>
        </w:rPr>
        <w:t>الإستقرار</w:t>
      </w:r>
      <w:bookmarkEnd w:id="11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الإستقرار، بأنْ يكون واقفاً ساكناً بلا حراكٍ‌، وهذا ممّا لا خلاف فيه، وعن جماعةٍ‌</w:t>
      </w:r>
      <w:r>
        <w:rPr>
          <w:rStyle w:val="FootnoteAnchor"/>
          <w:rtl w:val="true"/>
        </w:rPr>
        <w:footnoteReference w:id="14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اعتبار الوقوف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 وما قيل</w:t>
      </w:r>
      <w:r>
        <w:rPr>
          <w:rStyle w:val="FootnoteAnchor"/>
          <w:rtl w:val="true"/>
        </w:rPr>
        <w:footnoteReference w:id="144"/>
      </w:r>
      <w:r>
        <w:rPr>
          <w:rFonts w:ascii="Amiri" w:hAnsi="Amiri" w:eastAsia="Amiri" w:cs="Amiri"/>
          <w:color w:val="111111"/>
          <w:sz w:val="28"/>
          <w:sz w:val="28"/>
          <w:szCs w:val="28"/>
          <w:rtl w:val="true"/>
          <w:lang w:bidi="ar-SA"/>
        </w:rPr>
        <w:t xml:space="preserve">من دخوله في مفهوم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 في الرّجل يُصلّي في موضعٍ ثمّ يريد أن يتقدّم‌؟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القراءة في مشيه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سليمان بن صالح،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وليتمكّن في الإقامة كما يتمكّن في الصَّلاة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12" w:name="pg11800_96841"/>
    </w:p>
    <w:p>
      <w:pPr>
        <w:pStyle w:val="BookText"/>
        <w:rPr/>
      </w:pPr>
      <w:bookmarkEnd w:id="112"/>
      <w:r>
        <w:rPr>
          <w:rFonts w:ascii="Amiri" w:hAnsi="Amiri" w:eastAsia="Amiri" w:cs="Amiri"/>
          <w:color w:val="111111"/>
          <w:sz w:val="28"/>
          <w:sz w:val="28"/>
          <w:szCs w:val="28"/>
          <w:rtl w:val="true"/>
          <w:lang w:bidi="ar-SA"/>
        </w:rPr>
        <w:t>وإرادة الاستحباب منه في الإقامة لدليلٍ آخر، لا تدلّ على عدم لزومه في الصَّلاة، مع أنّه قد عرفت لزومه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ودخوله في مفهوم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هارون ابن حمزة الغنوي، الذي رواه المشايخ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عن الصَّلاة في السفينة‌؟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محمّلة ثقيلة، إذا قمتَ فيها لم تتحرّك فصلِّ قائماً، وإنْ كان خفيفة تَكَفَّأ فصلِّ قاعداً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 في تقديم الصَّلاة جالساً مستقرّاً على الصَّلاة قائماً متحرِّكاً، ولولا وجوبه لم يكن وجه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ترجيح الصَّلاة جالساً بلا انكفاء، على الصَّلاة قائماً مع الانكفاء، فيكون أجنبيّاً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سَلّمنا كون المراد من الانكفاء كونها توجب انقلاب من قام فيها، فلا وجه لحمله على التحرّك، إلّاأنّ مفهوم الجملة الاُولى يدلّ على عدم وجوب الصَّلاة قائماً في صورة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لا تكفأ لا شاهد له، فتأمّل، هذا فضلاً عن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التحرّك بقرينة الشرطيّة الأُولى غير بعيد</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0477817_73709187"/>
      <w:bookmarkStart w:id="114" w:name="_Toc44"/>
      <w:bookmarkEnd w:id="113"/>
      <w:r>
        <w:rPr>
          <w:rtl w:val="true"/>
        </w:rPr>
        <w:t>الإستقلال على المشهور</w:t>
      </w:r>
      <w:bookmarkEnd w:id="114"/>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الإستقلال على المشهور، واستدلّ 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بدخوله في مفهوم القيام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ما دلَّ على اعتبار القيام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 كصحيح ابن سنان،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تمسك بخَمَرِكَ وأنتَ تُصلّي، ولا تستند إلى جدارٍ، إلّاأنْ تكون مريضاً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وراءك من شَجَرٍ أو بناءٍ أو غيرهما</w:t>
      </w:r>
      <w:r>
        <w:rPr>
          <w:rStyle w:val="FootnoteAnchor"/>
          <w:rtl w:val="true"/>
        </w:rPr>
        <w:footnoteReference w:id="150"/>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مثل هذا الانصراف لا يوجب تقييد الإطلاق، كما حُقّق في محلّه، مع أنّ للمنع عنه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فلمعارضة هذه النصوص مع جملةٍ من النصوص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الرّجل هل يصلح له أن يستند إلى حائط المسجد وهو يُصلّي، أو يضع يده وهو قائمٌ من غير مرضٍ ولا علّةٍ؟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متوكئاً على عصاءٍ أو على حائط؟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هذه النصوص على الاستناد غير التامّ الذي لا يوجب خروج قيامه عن الاستقلال، والنصوص الأول على صورة الاعتماد، جمعٌ تبرّعيٌ لا شاهد له، بل الجمع العرفي يقتضي حمل الأوّل على الكراهة</w:t>
      </w:r>
      <w:r>
        <w:rPr>
          <w:rFonts w:eastAsia="Amiri" w:cs="Amiri" w:ascii="Amiri" w:hAnsi="Amiri"/>
          <w:color w:val="111111"/>
          <w:sz w:val="28"/>
          <w:szCs w:val="28"/>
          <w:rtl w:val="true"/>
          <w:lang w:bidi="ar-SA"/>
        </w:rPr>
        <w:t xml:space="preserve">.). </w:t>
      </w:r>
      <w:bookmarkStart w:id="115" w:name="pg11800_96843"/>
    </w:p>
    <w:p>
      <w:pPr>
        <w:pStyle w:val="BookText"/>
        <w:rPr/>
      </w:pPr>
      <w:bookmarkEnd w:id="115"/>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إعراض الأصحاب عن نصوص الجواز، يسقطها عن الحُجيّة،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أبي الصّلاح</w:t>
      </w:r>
      <w:r>
        <w:rPr>
          <w:rStyle w:val="FootnoteAnchor"/>
          <w:rtl w:val="true"/>
        </w:rPr>
        <w:footnoteReference w:id="153"/>
      </w:r>
      <w:r>
        <w:rPr>
          <w:rFonts w:ascii="Amiri" w:hAnsi="Amiri" w:eastAsia="Amiri" w:cs="Amiri"/>
          <w:color w:val="111111"/>
          <w:sz w:val="28"/>
          <w:sz w:val="28"/>
          <w:szCs w:val="28"/>
          <w:rtl w:val="true"/>
          <w:lang w:bidi="ar-SA"/>
        </w:rPr>
        <w:t>وجماعةٍ من المتأخّرين</w:t>
      </w:r>
      <w:r>
        <w:rPr>
          <w:rStyle w:val="FootnoteAnchor"/>
          <w:rtl w:val="true"/>
        </w:rPr>
        <w:footnoteReference w:id="154"/>
      </w:r>
      <w:r>
        <w:rPr>
          <w:rFonts w:ascii="Amiri" w:hAnsi="Amiri" w:eastAsia="Amiri" w:cs="Amiri"/>
          <w:color w:val="111111"/>
          <w:sz w:val="28"/>
          <w:sz w:val="28"/>
          <w:szCs w:val="28"/>
          <w:rtl w:val="true"/>
          <w:lang w:bidi="ar-SA"/>
        </w:rPr>
        <w:t>من جواز الاعتماد على كراهةٍ‌، غير موافقٍ للإحتياط</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0477819_73709187"/>
      <w:bookmarkStart w:id="117" w:name="_Toc45"/>
      <w:bookmarkEnd w:id="116"/>
      <w:r>
        <w:rPr>
          <w:rtl w:val="true"/>
        </w:rPr>
        <w:t>عدم التفريج الفاحش بين الرِّجلين</w:t>
      </w:r>
      <w:bookmarkEnd w:id="117"/>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التفريج الفاحش بين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الجملة ممّا لا شبهة فيه ولا خلاف، إنّما الكلام في تحديد ذلك وقد حدّده جماعة</w:t>
      </w:r>
      <w:r>
        <w:rPr>
          <w:rStyle w:val="FootnoteAnchor"/>
          <w:rtl w:val="true"/>
        </w:rPr>
        <w:footnoteReference w:id="155"/>
      </w:r>
      <w:r>
        <w:rPr>
          <w:rFonts w:ascii="Amiri" w:hAnsi="Amiri" w:eastAsia="Amiri" w:cs="Amiri"/>
          <w:color w:val="111111"/>
          <w:sz w:val="28"/>
          <w:sz w:val="28"/>
          <w:szCs w:val="28"/>
          <w:rtl w:val="true"/>
          <w:lang w:bidi="ar-SA"/>
        </w:rPr>
        <w:t>بمايوجب الخروج عن صدق القيام، والوجه في اعتباره حينئذٍ ما دلَّ على وجوب القيام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57"/>
      </w:r>
      <w:r>
        <w:rPr>
          <w:rFonts w:ascii="Amiri" w:hAnsi="Amiri" w:eastAsia="Amiri" w:cs="Amiri"/>
          <w:color w:val="111111"/>
          <w:sz w:val="28"/>
          <w:sz w:val="28"/>
          <w:szCs w:val="28"/>
          <w:rtl w:val="true"/>
          <w:lang w:bidi="ar-SA"/>
        </w:rPr>
        <w:t>التحديد بالشِّبر، لصحيح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فلا تُلصق قَدَمك بالاُخرى‌، دَع بينهما فصلاً إصبعاً أقلّ ذلك، إلى شبر أكثره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لأجل اتّفاق الأصحاب على استحباب عدم التفريج بهذا الحَدّ، يتعيّن حمله على الاستحباب، لو كان ظاهراً في الوجوب</w:t>
      </w:r>
      <w:r>
        <w:rPr>
          <w:rFonts w:eastAsia="Amiri" w:cs="Amiri" w:ascii="Amiri" w:hAnsi="Amiri"/>
          <w:color w:val="111111"/>
          <w:sz w:val="28"/>
          <w:szCs w:val="28"/>
          <w:rtl w:val="true"/>
          <w:lang w:bidi="ar-SA"/>
        </w:rPr>
        <w:t xml:space="preserve">. </w:t>
      </w:r>
      <w:bookmarkStart w:id="118" w:name="pg11800_96844"/>
    </w:p>
    <w:p>
      <w:pPr>
        <w:pStyle w:val="Heading6"/>
        <w:numPr>
          <w:ilvl w:val="5"/>
          <w:numId w:val="1"/>
        </w:numPr>
        <w:rPr/>
      </w:pPr>
      <w:bookmarkStart w:id="119" w:name="__RefHeading___Toc10477821_73709187"/>
      <w:bookmarkStart w:id="120" w:name="_Toc46"/>
      <w:bookmarkEnd w:id="118"/>
      <w:bookmarkEnd w:id="119"/>
      <w:r>
        <w:rPr>
          <w:rtl w:val="true"/>
        </w:rPr>
        <w:t>القيام على رجلين</w:t>
      </w:r>
      <w:bookmarkEnd w:id="120"/>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على رجلين كما عن جماعةٍ‌</w:t>
      </w:r>
      <w:r>
        <w:rPr>
          <w:rStyle w:val="FootnoteAnchor"/>
          <w:rtl w:val="true"/>
        </w:rPr>
        <w:footnoteReference w:id="159"/>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نصوص القيام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المعهود من فعل النبيّ صلى الله عليه و آله، ويجب التأسّي به،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بعدما عظم وثقل كان يُصلّي وهو قائم، ورفع إحدى رجليه حتّى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161"/>
      </w:r>
      <w:r>
        <w:rPr>
          <w:rFonts w:ascii="IRNazanin" w:hAnsi="IRNazanin" w:eastAsia="IRNazanin"/>
          <w:color w:val="111111"/>
          <w:sz w:val="28"/>
          <w:sz w:val="28"/>
          <w:szCs w:val="28"/>
          <w:rtl w:val="true"/>
          <w:lang w:bidi="fa-IR"/>
        </w:rPr>
        <w:t>فوضعها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الإنصراف فممنوع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ودليل التأسّي مجملٌ‌، إذ لا ريب في عدم وجوب التأسّي في جمع الخصوصيّات المحدّدة لصلاته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إنّما يدلّ على عدم اللّزوم، لا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المعتمد إطلاق نصوص القيام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ظهر أنّه لا يجب الوقوف على القدمين، بل يجوز على الأصابع، إذ لا مدرك له سوى الانصراف وأنّه المعهود، وخبر أبي بصير، عن الإمام الباقر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يقوم على أطراف رجليه،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في الجميع</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يجوز الوقوف على الأصابع إذا كان مستلزماً لترك الإستقرار، لما ثبت من وجوب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تسوية الرِّجلين في الاعتماد، فلا ينبغي الشكّ في عدم وجوبها، إذ لا مدرك له سوى بعض ما مرّ، فما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رحمه الله</w:t>
      </w:r>
      <w:r>
        <w:rPr>
          <w:rStyle w:val="FootnoteAnchor"/>
          <w:rtl w:val="true"/>
        </w:rPr>
        <w:footnoteReference w:id="165"/>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وغيرهما</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الاعتماد عليهما، غير تامّ‌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21" w:name="pg11800_96846"/>
    </w:p>
    <w:p>
      <w:pPr>
        <w:pStyle w:val="Heading6"/>
        <w:numPr>
          <w:ilvl w:val="5"/>
          <w:numId w:val="1"/>
        </w:numPr>
        <w:rPr/>
      </w:pPr>
      <w:bookmarkStart w:id="122" w:name="__RefHeading___Toc10477823_73709187"/>
      <w:bookmarkStart w:id="123" w:name="_Toc47"/>
      <w:bookmarkEnd w:id="121"/>
      <w:bookmarkEnd w:id="122"/>
      <w:r>
        <w:rPr>
          <w:rtl w:val="true"/>
        </w:rPr>
        <w:t>تنبيهات</w:t>
      </w:r>
      <w:r>
        <w:rPr>
          <w:rtl w:val="true"/>
        </w:rPr>
        <w:t>:</w:t>
      </w:r>
      <w:bookmarkEnd w:id="123"/>
    </w:p>
    <w:p>
      <w:pPr>
        <w:pStyle w:val="Heading6"/>
        <w:numPr>
          <w:ilvl w:val="5"/>
          <w:numId w:val="1"/>
        </w:numPr>
        <w:rPr/>
      </w:pPr>
      <w:bookmarkStart w:id="124" w:name="__RefHeading___Toc10477825_73709187"/>
      <w:bookmarkStart w:id="125" w:name="_Toc48"/>
      <w:bookmarkEnd w:id="124"/>
      <w:r>
        <w:rPr>
          <w:rtl w:val="true"/>
        </w:rPr>
        <w:t>نسيان الإنتصاب أو الاستقلال أو الاستقرار</w:t>
      </w:r>
      <w:bookmarkEnd w:id="125"/>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الانتصاب، أو الاستقرار، أو الاستقلال ناسياً، صحّت صلاته، من غير فرقٍ بين كون ذلك في القيام الرّكني وغيره،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للبطلان</w:t>
      </w:r>
      <w:r>
        <w:rPr>
          <w:rStyle w:val="FootnoteAnchor"/>
          <w:rtl w:val="true"/>
        </w:rPr>
        <w:footnoteReference w:id="169"/>
      </w:r>
      <w:r>
        <w:rPr>
          <w:rFonts w:ascii="Amiri" w:hAnsi="Amiri" w:eastAsia="Amiri" w:cs="Amiri"/>
          <w:color w:val="111111"/>
          <w:sz w:val="28"/>
          <w:sz w:val="28"/>
          <w:szCs w:val="28"/>
          <w:rtl w:val="true"/>
          <w:lang w:bidi="ar-SA"/>
        </w:rPr>
        <w:t>في القيام الركني؛ بأنّ كلّ واحدٍ من هذه الاُمور شرط في القيام، فإذا انتفى انتفى القيام، فإذا كان القيام ركناً بطلت الصَّلاة لفواته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يمكن أن تكون هذه الاُمور شروطاً للقيام، كذلك يمكن أن تكون شروطاً للصَّلاة، وعليه فلا موجب لتقييد نصوص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تقيّد الصَّلاة بها، ولو لأجل كونها معتبرة في القيام معلومٌ‌، وتقيّد القيام بها مشكوكٌ فيه، فالمرجع إلى إطلاق أدلّته، بل لا يبعد دعوى ظهور أدلّتها في اعتبارها في الصَّلاة،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فانتفائها أو انتفاء واحدٍ منها، لا يوجب انتفاء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به بعض المحقّقين</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الركنيّة إنّما هو ذات القيام، لا القيام المشروط، فلا يتمّ ما ذكر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كلّ واحدٍ من هذه الاُمور شرطاً للقيام، فلا محالة يكون المأمور به هو المشروط، لا ذات القيام، لتقيّد إطلاق نصوصه حينئذٍ بما 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فيتعيّن أنْ يكون الرّكن أيضاً هو المشروط، إذ غيره لا يكون من أجزاء الصَّلاة، فكيف يكون من أركانها؟ فالصحيح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بعضهم</w:t>
      </w:r>
      <w:r>
        <w:rPr>
          <w:rStyle w:val="FootnoteAnchor"/>
          <w:rtl w:val="true"/>
        </w:rPr>
        <w:footnoteReference w:id="171"/>
      </w:r>
      <w:r>
        <w:rPr>
          <w:rFonts w:ascii="Amiri" w:hAnsi="Amiri" w:eastAsia="Amiri" w:cs="Amiri"/>
          <w:color w:val="111111"/>
          <w:sz w:val="28"/>
          <w:sz w:val="28"/>
          <w:szCs w:val="28"/>
          <w:rtl w:val="true"/>
          <w:lang w:bidi="ar-SA"/>
        </w:rPr>
        <w:t>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هذه الاُمور في مفهوم القيام، فمع انتفاء أحدها ينتفي القيام، فإذا كان ذلك في القيام الركني، فلا محالة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ضعف المبنى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6" w:name="pg11800_96848"/>
    </w:p>
    <w:p>
      <w:pPr>
        <w:pStyle w:val="BookText"/>
        <w:rPr/>
      </w:pPr>
      <w:bookmarkEnd w:id="126"/>
      <w:r>
        <w:rPr>
          <w:rFonts w:ascii="Amiri" w:hAnsi="Amiri" w:eastAsia="Amiri" w:cs="Amiri"/>
          <w:color w:val="111111"/>
          <w:sz w:val="28"/>
          <w:sz w:val="28"/>
          <w:szCs w:val="28"/>
          <w:rtl w:val="true"/>
          <w:lang w:bidi="ar-SA"/>
        </w:rPr>
        <w:t>ولو عَجَز اعتَمد</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0477827_73709187"/>
      <w:bookmarkStart w:id="128" w:name="_Toc49"/>
      <w:bookmarkEnd w:id="127"/>
      <w:r>
        <w:rPr>
          <w:rtl w:val="true"/>
        </w:rPr>
        <w:t>دوران الأمر بين القيام الاضطراري والجلوس</w:t>
      </w:r>
      <w:bookmarkEnd w:id="128"/>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القيام الاضطراري والجلوس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يقدَّم الأوّل بأقسامه من كونه مع الاعتماد أو مع الانحناء أو مع التفريج الفاحش بين الرِّجلين، أو مع عدم الاستقرار؟</w:t>
      </w:r>
    </w:p>
    <w:p>
      <w:pPr>
        <w:pStyle w:val="BookText"/>
        <w:rPr/>
      </w:pPr>
      <w:r>
        <w:rPr>
          <w:rFonts w:ascii="Amiri" w:hAnsi="Amiri" w:eastAsia="Amiri" w:cs="Amiri"/>
          <w:color w:val="111111"/>
          <w:sz w:val="28"/>
          <w:sz w:val="28"/>
          <w:szCs w:val="28"/>
          <w:rtl w:val="true"/>
          <w:lang w:bidi="ar-SA"/>
        </w:rPr>
        <w:t>أو يُقدَّم الثاني مطلقاً؟</w:t>
      </w:r>
    </w:p>
    <w:p>
      <w:pPr>
        <w:pStyle w:val="BookText"/>
        <w:rPr/>
      </w:pPr>
      <w:r>
        <w:rPr>
          <w:rFonts w:ascii="Amiri" w:hAnsi="Amiri" w:eastAsia="Amiri" w:cs="Amiri"/>
          <w:color w:val="111111"/>
          <w:sz w:val="28"/>
          <w:sz w:val="28"/>
          <w:szCs w:val="28"/>
          <w:rtl w:val="true"/>
          <w:lang w:bidi="ar-SA"/>
        </w:rPr>
        <w:t>أو يفصّل بين القسمين الأوّلين، فالقيام يقدّم، وبين الأخيرين فالجلوس‌؟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أقواها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المستفاد من صحيح ابن سنان المتقدّم في وجوب الاستقلال،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مع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يتمكّن معه من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على جواز القيام، ولا يدلّ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التلازم بين جوازه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يستفاد من صحيح علي بن يقطين،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السفينة لم يقدر صاحبها على القيام، يُصلّي فيها وهو جالسٌ يؤمي أو يسجد؟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وإنْ حنى ظهره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القيام مع التفريج الفاحش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w:t>
      </w:r>
      <w:r>
        <w:rPr>
          <w:rStyle w:val="FootnoteAnchor"/>
          <w:rtl w:val="true"/>
        </w:rPr>
        <w:footnoteReference w:id="173"/>
      </w:r>
      <w:r>
        <w:rPr>
          <w:rFonts w:ascii="Amiri" w:hAnsi="Amiri" w:eastAsia="Amiri" w:cs="Amiri"/>
          <w:color w:val="111111"/>
          <w:sz w:val="28"/>
          <w:sz w:val="28"/>
          <w:szCs w:val="28"/>
          <w:rtl w:val="true"/>
          <w:lang w:bidi="ar-SA"/>
        </w:rPr>
        <w:t>على تقديمه على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معرفة الخلاف في تقديمه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ميسورُ القيام، فيكون مقدّماً على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وباستفادته من صحيح ابن يقطين المتقدّم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مراراً من عدم حجيّة قاعدة الميسور</w:t>
      </w:r>
      <w:r>
        <w:rPr>
          <w:rStyle w:val="FootnoteAnchor"/>
          <w:rtl w:val="true"/>
        </w:rPr>
        <w:footnoteReference w:id="175"/>
      </w:r>
      <w:r>
        <w:rPr>
          <w:rFonts w:ascii="Amiri" w:hAnsi="Amiri" w:eastAsia="Amiri" w:cs="Amiri"/>
          <w:color w:val="111111"/>
          <w:sz w:val="28"/>
          <w:sz w:val="28"/>
          <w:szCs w:val="28"/>
          <w:rtl w:val="true"/>
          <w:lang w:bidi="ar-SA"/>
        </w:rPr>
        <w:t>، مضافاً إلى أنّه لم يدلّ دليلٌ عليتقديم ميسور القيام على الجلوس الواجب، على من لم يقدر على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فللفرق بين القيام مع الانحناء، والقيام مع التفريج الفاحش بين الرِّجلين، والصحيح إنّما يدلّ على تقديم الأوّل على الجلوس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إطلاقه يشمل تقديمه مع انحناء الظهر بما يُخرجه عن صدق القيام، ومن هنا توهّم استفادة تقدّم الثاني على الجلوس، ولكنّه توهّمٌضعيفٌ‌، للفرق بينهما،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القيام الفاقد للإستقرار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تقدّم الجلوس عليه، لخبر هارون المتقدّم</w:t>
      </w:r>
      <w:r>
        <w:rPr>
          <w:rStyle w:val="FootnoteAnchor"/>
          <w:rtl w:val="true"/>
        </w:rPr>
        <w:footnoteReference w:id="176"/>
      </w:r>
      <w:r>
        <w:rPr>
          <w:rFonts w:ascii="Amiri" w:hAnsi="Amiri" w:eastAsia="Amiri" w:cs="Amiri"/>
          <w:color w:val="111111"/>
          <w:sz w:val="28"/>
          <w:sz w:val="28"/>
          <w:szCs w:val="28"/>
          <w:rtl w:val="true"/>
          <w:lang w:bidi="ar-SA"/>
        </w:rPr>
        <w:t>في وجوب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لتقدّم القيام مع عدم الاستقرار على الجلوس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معرفة الخلاف في تقديمه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ميسور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وباستفادته من صحيح ابن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ما عرفت، مضافاً إلى أنّه مع دلالة الخبر على تقديم الجلوس عليه، لا يبقى موردٌ لهذه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الخبر بما إذا كان القيام حَرَجيّاً، لاضطراب السفينة، فلا يدلّ على وجوب القعود بمجرّد عدم التمكّن من حفظ السكون، حتّى يلحق المورد الثاني به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مفهوم صدره، يدلّ على تقديم الجلوس على القيام مع عدم الاستقرار بجميع مراتبه، فلا وجه لدعوى الاختصاص بما إذا كان القيام حَرَجيّاً، ومورده وإنْ كان القيام مع عدم السكون، إلّاأنّه يثبت الحكم في القيام ماشياً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المفيد</w:t>
      </w:r>
      <w:r>
        <w:rPr>
          <w:rStyle w:val="FootnoteAnchor"/>
          <w:rtl w:val="true"/>
        </w:rPr>
        <w:footnoteReference w:id="177"/>
      </w:r>
      <w:r>
        <w:rPr>
          <w:rFonts w:ascii="Amiri" w:hAnsi="Amiri" w:eastAsia="Amiri" w:cs="Amiri"/>
          <w:color w:val="111111"/>
          <w:sz w:val="28"/>
          <w:sz w:val="28"/>
          <w:szCs w:val="28"/>
          <w:rtl w:val="true"/>
          <w:lang w:bidi="ar-SA"/>
        </w:rPr>
        <w:t>وجماعة من الأكابر</w:t>
      </w:r>
      <w:r>
        <w:rPr>
          <w:rStyle w:val="FootnoteAnchor"/>
          <w:rtl w:val="true"/>
        </w:rPr>
        <w:footnoteReference w:id="178"/>
      </w:r>
      <w:r>
        <w:rPr>
          <w:rFonts w:ascii="Amiri" w:hAnsi="Amiri" w:eastAsia="Amiri" w:cs="Amiri"/>
          <w:color w:val="111111"/>
          <w:sz w:val="28"/>
          <w:sz w:val="28"/>
          <w:szCs w:val="28"/>
          <w:rtl w:val="true"/>
          <w:lang w:bidi="ar-SA"/>
        </w:rPr>
        <w:t>من تقديم الصَّلاة ماشياً على الصَّلاة قاعداً، ضعيفٌ‌، واستشهد لهم بخبر سليمان بن حفص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إنّما يُصلّي قاعداً إذا صار بالحال التي لا يقدر فيها على أن يمشي مقدار صلاته إلى أنْ يفرغ قائماً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تحديد العجز الموجب لجواز الجلوس، ولكن لا تعبّداً، بل لأنّ الظاهر التلازم بين القدرة على المشي بمقدار صلاته، والقدرة على الصَّلاة واقفاً، ولو</w:t>
      </w:r>
      <w:r>
        <w:rPr>
          <w:rFonts w:eastAsia="Amiri" w:cs="Amiri" w:ascii="Amiri" w:hAnsi="Amiri"/>
          <w:color w:val="111111"/>
          <w:sz w:val="28"/>
          <w:szCs w:val="28"/>
          <w:rtl w:val="true"/>
          <w:lang w:bidi="ar-SA"/>
        </w:rPr>
        <w:t xml:space="preserve">). </w:t>
      </w:r>
      <w:bookmarkStart w:id="129" w:name="pg11800_96851"/>
    </w:p>
    <w:p>
      <w:pPr>
        <w:pStyle w:val="BookText"/>
        <w:rPr/>
      </w:pPr>
      <w:bookmarkEnd w:id="129"/>
      <w:r>
        <w:rPr>
          <w:rFonts w:ascii="IRNazanin" w:hAnsi="IRNazanin" w:eastAsia="IRNazanin"/>
          <w:color w:val="111111"/>
          <w:sz w:val="28"/>
          <w:sz w:val="28"/>
          <w:szCs w:val="28"/>
          <w:rtl w:val="true"/>
          <w:lang w:bidi="fa-IR"/>
        </w:rPr>
        <w:t>معتمداً على عصاء أو حائط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يرد عليه ما أورده بعض الأعاظم</w:t>
      </w:r>
      <w:r>
        <w:rPr>
          <w:rStyle w:val="FootnoteAnchor"/>
          <w:rtl w:val="true"/>
        </w:rPr>
        <w:footnoteReference w:id="180"/>
      </w:r>
      <w:r>
        <w:rPr>
          <w:rFonts w:ascii="Amiri" w:hAnsi="Amiri" w:eastAsia="Amiri" w:cs="Amiri"/>
          <w:color w:val="111111"/>
          <w:sz w:val="28"/>
          <w:sz w:val="28"/>
          <w:szCs w:val="28"/>
          <w:rtl w:val="true"/>
          <w:lang w:bidi="ar-SA"/>
        </w:rPr>
        <w:t>من معارضة الخبر حينئذٍ مع الأخبار الصحيحة المتضمّنة لنفي تحديد العجز، وإيكال معرفته إلى نفس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فلا يوجب حمل الخبر على إرادة ترجيح الصَّلاة ماشياً على الصَّلاة قاعداً، مع عدم القرينة على إرادته منه، لا سيّما مع تطرّق احتمالات اُخر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تقديم الصَّلاة قاعداً على الصَّلاة ماشياً</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0477829_73709187"/>
      <w:bookmarkStart w:id="131" w:name="_Toc50"/>
      <w:bookmarkEnd w:id="130"/>
      <w:r>
        <w:rPr>
          <w:rtl w:val="true"/>
        </w:rPr>
        <w:t>دوران الأمر بين الاُمور المعتبرة في الصَّلاة</w:t>
      </w:r>
      <w:bookmarkEnd w:id="131"/>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ترك أحد الأمرين المعتبرين في القيام، كما لو لم يتمكّن من الجمع بين الانتصاب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 الأكابر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أنّ اللّازم الأخذ بما هو أهمّ أو محتمل الأهميّة، وإلّا فالتخيير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يبتني على ما بنوا عليه، من كون موارد التنافي بين الحكمين الضمنيّين، من موارد التزاحم، ولكن قد عرفت في مبحث القبلة</w:t>
      </w:r>
      <w:r>
        <w:rPr>
          <w:rStyle w:val="FootnoteAnchor"/>
          <w:rtl w:val="true"/>
        </w:rPr>
        <w:footnoteReference w:id="182"/>
      </w:r>
      <w:r>
        <w:rPr>
          <w:rFonts w:ascii="Amiri" w:hAnsi="Amiri" w:eastAsia="Amiri" w:cs="Amiri"/>
          <w:color w:val="111111"/>
          <w:sz w:val="28"/>
          <w:sz w:val="28"/>
          <w:szCs w:val="28"/>
          <w:rtl w:val="true"/>
          <w:lang w:bidi="ar-SA"/>
        </w:rPr>
        <w:t>ضعف المبنى، وإنّها إنّما تكون من موارد التعارض، وذكرنا في محلّه أنّ مركز التنافي إنّما هو إطلاق دليل كلّ من المعتبرين في المركّب، وإنّه لو كان بينهما عمومٌ من وجه سقط الإطلاقان، والمرجع إلى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الفرض يقع التعارض بين إطلاق دليل الانتصاب، وإطلاق دليل الاستقلال، فيتساقطان</w:t>
      </w:r>
      <w:r>
        <w:rPr>
          <w:rStyle w:val="FootnoteAnchor"/>
          <w:rtl w:val="true"/>
        </w:rPr>
        <w:footnoteReference w:id="183"/>
      </w:r>
      <w:r>
        <w:rPr>
          <w:rFonts w:ascii="Amiri" w:hAnsi="Amiri" w:eastAsia="Amiri" w:cs="Amiri"/>
          <w:color w:val="111111"/>
          <w:sz w:val="28"/>
          <w:sz w:val="28"/>
          <w:szCs w:val="28"/>
          <w:rtl w:val="true"/>
          <w:lang w:bidi="ar-SA"/>
        </w:rPr>
        <w:t>والمرجع إلى أصالة البراءة عن وجوب كلٍّ منهما بالخصوص، بناءً على ما هو الحقّ من جريانها عند دوران الأمر بين التعيّين والتخيّير، فيثبت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ذلك المبحث، وأشرنا إليه في المقام، يظهر أنّ الحكم في عدّة من المسائل المعنونة في المقام في كلمات الأصحاب،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دار الأمر بين مراعاة القيام، أو أحد الاُمور الاُخر المعتبرة في الصَّلاة، كالاستقبال، فما ذُكر في وجه وجوب مراعاة الثاني من أهميّة الاستقبال من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حيث استثنى فيه فَقد الاستقبال، ولم يستثنى فيه فَقْد القيام، مثل ما قيل في 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قدر على القيام في بعض الركعات دون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أفتى به جماعةٌ من المحقّقين، منهم المحقّق النائيني رحمه الله</w:t>
      </w:r>
      <w:r>
        <w:rPr>
          <w:rStyle w:val="FootnoteAnchor"/>
          <w:rtl w:val="true"/>
        </w:rPr>
        <w:footnoteReference w:id="185"/>
      </w:r>
      <w:r>
        <w:rPr>
          <w:rFonts w:ascii="Amiri" w:hAnsi="Amiri" w:eastAsia="Amiri" w:cs="Amiri"/>
          <w:color w:val="111111"/>
          <w:sz w:val="28"/>
          <w:sz w:val="28"/>
          <w:szCs w:val="28"/>
          <w:rtl w:val="true"/>
          <w:lang w:bidi="ar-SA"/>
        </w:rPr>
        <w:t>والاُستاذ</w:t>
      </w:r>
      <w:r>
        <w:rPr>
          <w:rStyle w:val="FootnoteAnchor"/>
          <w:rtl w:val="true"/>
        </w:rPr>
        <w:footnoteReference w:id="186"/>
      </w:r>
      <w:r>
        <w:rPr>
          <w:rFonts w:ascii="Amiri" w:hAnsi="Amiri" w:eastAsia="Amiri" w:cs="Amiri"/>
          <w:color w:val="111111"/>
          <w:sz w:val="28"/>
          <w:sz w:val="28"/>
          <w:szCs w:val="28"/>
          <w:rtl w:val="true"/>
          <w:lang w:bidi="ar-SA"/>
        </w:rPr>
        <w:t>من وجوب القيام إلى أنْ يتجدّد العجز، في غير محلّه، لابتنائه على كون المورد من موارد التزاحم، وحيثُ أنّ من مرجّحات باب التزاحم، سبق الوجود، فلابدَّ من القيام في الركعة الأُولى‌، ثمّ في الثانية، فهكذا إلى أن يتحقّق العجز</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قد عرفت ضعف المبنى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Style w:val="FootnoteAnchor"/>
          <w:rtl w:val="true"/>
        </w:rPr>
        <w:footnoteReference w:id="187"/>
      </w:r>
      <w:r>
        <w:rPr>
          <w:rFonts w:ascii="Amiri" w:hAnsi="Amiri" w:eastAsia="Amiri" w:cs="Amiri"/>
          <w:color w:val="111111"/>
          <w:sz w:val="28"/>
          <w:sz w:val="28"/>
          <w:szCs w:val="28"/>
          <w:rtl w:val="true"/>
          <w:lang w:bidi="ar-SA"/>
        </w:rPr>
        <w:t>في وجه لزوم تقديم الأوّل، وهو أنّه لقدرته على القيام في الركعة الأُولى‌، يجبُ عليه للعمومات، فإذا طرأ العجز يعمل عمل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جميع الأجزاء في ضمن وجوب الكُلّ‌، إنّما يتحقّق قبل الشروع، فقبل الشروع يقع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دلَّ على لزوم القيام في الركعة الأُولى، الشامل لهذا الفرض بإطلاقه، إذ المستفاد من النصوص اعتبار القيام في كلّ ركعة، بل في كلّ جزءٍ منها، عدا ما استثنى، مع قطع النظر عن سائر الركعات والأجزاء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دلَّ على اعتباره في الركعة المترتّبة عليها، الشامل بإطلاقه لهذا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فيتساقطان والمرجع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كما عرفت يقتضي الأمر في المقام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الأمر بين القيام في أوّل الركعة أو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دار الأمر بين مراعاة القيام المتّصل بالركوع، أو القيام في حال القراءة، لزم مراعاة الأوّل، لما تضمّن الأمر بقيام الجالس في آخر السّورة،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جميع هذه الموارد هو التخيير، وما ذُكر في المقام من النقض والإبرام في كلّ مسألةٍ من هذه المسائل، أجنبيٌ عمّا هو محلّ البحث، فلا وجه لإطالة الكلام في ذكر ما قيل في كلّ مسألةٍ‌، والإيراد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32" w:name="pg11800_96854"/>
    </w:p>
    <w:p>
      <w:pPr>
        <w:pStyle w:val="BookText"/>
        <w:rPr/>
      </w:pPr>
      <w:bookmarkEnd w:id="132"/>
      <w:r>
        <w:rPr>
          <w:rFonts w:ascii="Amiri" w:hAnsi="Amiri" w:eastAsia="Amiri" w:cs="Amiri"/>
          <w:color w:val="111111"/>
          <w:sz w:val="28"/>
          <w:sz w:val="28"/>
          <w:szCs w:val="28"/>
          <w:rtl w:val="true"/>
          <w:lang w:bidi="ar-SA"/>
        </w:rPr>
        <w:t>فإن تعذّر صَلّى قاعداً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0477831_73709187"/>
      <w:bookmarkStart w:id="134" w:name="_Toc51"/>
      <w:bookmarkEnd w:id="133"/>
      <w:r>
        <w:rPr>
          <w:rtl w:val="true"/>
        </w:rPr>
        <w:t>بدليّة الجلوس عن القيام</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ولو في بعض الصَّلاة مطلقاً، حتّى الفاقد للاستقلال أو الانتصاب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مضطجعاً، ولا مُستَلقياً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w:t>
      </w:r>
      <w:r>
        <w:rPr>
          <w:rStyle w:val="FootnoteAnchor"/>
          <w:rtl w:val="true"/>
        </w:rPr>
        <w:footnoteReference w:id="18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w:t>
      </w:r>
      <w:r>
        <w:rPr>
          <w:rStyle w:val="FootnoteAnchor"/>
          <w:rtl w:val="true"/>
        </w:rPr>
        <w:footnoteReference w:id="189"/>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يُصلّي قائماً وقعوداً، والمريض يُصلّي جالساً وَ عَلى 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العراق يسألون أبي عن الصَّلاة في السفينة‌؟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تخرجوا إلى الجدد فافعلوا، فإنْ لم تقدروا فصلّوا قياماً، فإنْ لم تقدروا فصلّوا قعوداً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المريض قائماً، فإنْ لم يقدر على ذلك صَلّى جالساً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الصَّلاة في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القيام فليصلِّ قائماً وإلّا فليقعد ثمّ يُصلّي</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التعذّر عن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المسوّغ للصَّلاة جالساً، عدم كونه ميسوراً له عرفاً، لا تعذّره عقلاً، فيجوز الجلوس في مقام معالجة الأمراض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أو المرأة يذهب بصره، فيأتيه الأطبّاء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نداويك شهراً أو أربعين يوماً مستلقياً، كذلك يُصلّي‌؟ فرخّص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فَلا إِثْمَ عَلَيْهِ‌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الوليد بن صبيح،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حممتُ بالمدينة يوماً في شهر رمضان، فبعث إليّ أبو عبد اللّه عليه السلام بقصعةٍ فيها خلٌّ وزَيت،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افطر وصَلِّ وأنتَ قاعد</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تشخيص التعذّر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فمعرفته موكولةٌ إلى نفس المكلّف، كما 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ما حَدّ المريض الذي يُصلّي قاعداً؟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ليوعك ويحرج، ولكنّه أعلم بنفسه، إذا قوى فليقم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حَدّ المرض الذي يفطر فيه الصائم، ويدَع الصَّلاة من قيام‌؟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أعلم بما يُطيقه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 رحمه الله</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بأنْ لا يتمكّن من المشي بقدر زمان صلاته، واستشهد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سليمان بن حفص المروزي المتقدّم، في ترجيح الصَّلاة قاعداً على الصَّلاة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تقدّم أنّه لا يعارض هذه النصوص، فراجع</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الاُمور المعتبرة في القيام، من الانتصاب والاستقلال والاستقرار في الجلوس، لإطلاق أدلّتها، الشامل للجلوس،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الدالّ على وجوب الانتصاب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تستند إلى جدارٍ</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وأنت تُصلّي، الدالّ على اعتبار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وليتمكّن في الإقامة كما يتمكّن في الصَّلاة</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الدالّ على لزوم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إطلاق معاقد الإجماعات على وجوبه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من الإشكال في الحكم، لإختصاص القيام بالدليل دون الجلوس،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5" w:name="pg11800_96857"/>
    </w:p>
    <w:p>
      <w:pPr>
        <w:pStyle w:val="BookText"/>
        <w:rPr/>
      </w:pPr>
      <w:bookmarkEnd w:id="135"/>
      <w:r>
        <w:rPr>
          <w:rFonts w:ascii="Amiri" w:hAnsi="Amiri" w:eastAsia="Amiri" w:cs="Amiri"/>
          <w:color w:val="111111"/>
          <w:sz w:val="28"/>
          <w:sz w:val="28"/>
          <w:szCs w:val="28"/>
          <w:rtl w:val="true"/>
          <w:lang w:bidi="ar-SA"/>
        </w:rPr>
        <w:t>ولو عَجَز صَلّى مضطجعاً</w:t>
      </w:r>
    </w:p>
    <w:p>
      <w:pPr>
        <w:pStyle w:val="Heading6"/>
        <w:numPr>
          <w:ilvl w:val="5"/>
          <w:numId w:val="1"/>
        </w:numPr>
        <w:rPr/>
      </w:pPr>
      <w:bookmarkStart w:id="136" w:name="__RefHeading___Toc10477833_73709187"/>
      <w:bookmarkStart w:id="137" w:name="_Toc52"/>
      <w:bookmarkEnd w:id="136"/>
      <w:r>
        <w:rPr>
          <w:rtl w:val="true"/>
        </w:rPr>
        <w:t>صلاة المُضطَجع</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أبي حمزة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لا يستطيع الجلوس‌؟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فليصلِّ وهو مضطجع، وليضع على جبهته شيئاً إذا سجد</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إذا لم يقدر أن يُصلّي قاعداً، يوجّه كما يوجّه الرّجل في لحده، وينام على جانبه الأيمن، ثمّ يؤمي بالصَّلاة، فإنْ لم يقدر على جانبه الأيمن، فكيف ما قدر، فإنّه جائز، ويستقبل بوجهه القبلة، ثمّ يؤمى بالصَّلاة إيماءً‌</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يُصلّي قائماً، فإنْ لم يستطع صَلّى جالساً، فإنْ لم يستطع صَلّى على جنبه الأيمن، فإنْ لم يستطع صَلّى على جنبه الأيسر، فإنْ لم يستطع استلقى وأومأ إيماءً وجَعل وجهه نحو القبلة، وجَعل سجوده أخفض من ركوعه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النصوص تعيّن الصَّلاة مضطجعاً، وبها يقيّد إطلاق ما تضمّن أنّ المريض إذا لم يقدر على أن يُصلّي قاعداً، صَلّى كيف ما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المتضمّنة أنّه يُصلّي مستلقياً كخبر محمّد بن إبراهيم، عمّن حدّثه،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المريض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ذلك صَلّى قاعداً، فإنْ لم يقدر صَلّى مستلقياً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تقييدها بالنصوص المتقدّمة، وإلّا فلابدَّ من طرحها، أو حملها على التقيّة،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بتعيّن الاضطجاع اختلفوا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مخيّرٌ بين الجانبين، وعند تعذّر الاضطجاع على الجانبين يستلقي‌؟</w:t>
      </w:r>
    </w:p>
    <w:p>
      <w:pPr>
        <w:pStyle w:val="BookText"/>
        <w:rPr/>
      </w:pPr>
      <w:r>
        <w:rPr>
          <w:rFonts w:ascii="Amiri" w:hAnsi="Amiri" w:eastAsia="Amiri" w:cs="Amiri"/>
          <w:color w:val="111111"/>
          <w:sz w:val="28"/>
          <w:sz w:val="28"/>
          <w:szCs w:val="28"/>
          <w:rtl w:val="true"/>
          <w:lang w:bidi="ar-SA"/>
        </w:rPr>
        <w:t>أو أنّه يتعيّن الاضطجاع على الجانب الأيمن، وإذا عجز عنه اضطجع على الجانب الأيسر، وإذا عجز عنه استلقى‌؟</w:t>
      </w:r>
    </w:p>
    <w:p>
      <w:pPr>
        <w:pStyle w:val="BookText"/>
        <w:rPr/>
      </w:pPr>
      <w:r>
        <w:rPr>
          <w:rFonts w:ascii="Amiri" w:hAnsi="Amiri" w:eastAsia="Amiri" w:cs="Amiri"/>
          <w:color w:val="111111"/>
          <w:sz w:val="28"/>
          <w:sz w:val="28"/>
          <w:szCs w:val="28"/>
          <w:rtl w:val="true"/>
          <w:lang w:bidi="ar-SA"/>
        </w:rPr>
        <w:t>أو أنّه إذا عجز عن الاضطجاع على الجانب الأيمن استلقى، وإنْ عجز عنه اضطجع على الجانب الأيسر؟</w:t>
      </w:r>
    </w:p>
    <w:p>
      <w:pPr>
        <w:pStyle w:val="BookText"/>
        <w:rPr/>
      </w:pPr>
      <w:r>
        <w:rPr>
          <w:rFonts w:ascii="Amiri" w:hAnsi="Amiri" w:eastAsia="Amiri" w:cs="Amiri"/>
          <w:color w:val="111111"/>
          <w:sz w:val="28"/>
          <w:sz w:val="28"/>
          <w:szCs w:val="28"/>
          <w:rtl w:val="true"/>
          <w:lang w:bidi="ar-SA"/>
        </w:rPr>
        <w:t>أو أنّه إذا عجز عنه تخيّر بين الاستلقاء والاضطجاع على الجانب الأيسر؟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وغيرها كظاهرالمتن هو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والمنسوب إلى المشهور</w:t>
      </w:r>
      <w:r>
        <w:rPr>
          <w:rStyle w:val="FootnoteAnchor"/>
          <w:rtl w:val="true"/>
        </w:rPr>
        <w:footnoteReference w:id="216"/>
      </w:r>
      <w:r>
        <w:rPr>
          <w:rFonts w:ascii="Amiri" w:hAnsi="Amiri" w:eastAsia="Amiri" w:cs="Amiri"/>
          <w:color w:val="111111"/>
          <w:sz w:val="28"/>
          <w:sz w:val="28"/>
          <w:szCs w:val="28"/>
          <w:rtl w:val="true"/>
          <w:lang w:bidi="ar-SA"/>
        </w:rPr>
        <w:t>هو الثاني، وهو الأقوى‌، لمرسل الفقيه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سنده لإرساله مندفعة، بأنّ 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الصحاح، لشهادة الصدوق بصحّة ما فيه، مع أنّ عمل الأصحاب يوجب جبر ضعف سنده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يقيّد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على التخيير بين الجانبين، كموثّق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ما دلَّ على التخيير بين الاضطجاع على الجانب الأيسر والاستلقاء عند تعذّر الاضطجاع على الجانب الأيمن، كموثّق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إذا لم يقدر أن يُصلّي قاعداً كيفَ قدر صَلّى، إمّا أنْ يوجّه فيؤمي إيماءً‌، وقال عليه السلام يوجّه كما يوجّه الرّجل في لحده، وينام على جَنبه الأيمن ثمّ يؤمي بالصَّلاة إيماءً‌، فإنْ لم يقدر أن ينام على جنبه الأيمن فكيفَ ما قدر فإنّه له جائز، وليستقبل بوجهه جانب القبلة، ثمّ يؤمي بالصَّلاة إيماءً‌</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حمّاد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 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يستطع أن يُصلّي على جنبه الأيمن، صَلّى مستلقياً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لضعف سنده لابدَّ من طرحه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8" w:name="pg11800_96860"/>
    </w:p>
    <w:p>
      <w:pPr>
        <w:pStyle w:val="BookText"/>
        <w:rPr/>
      </w:pPr>
      <w:bookmarkEnd w:id="138"/>
      <w:r>
        <w:rPr>
          <w:rFonts w:ascii="Amiri" w:hAnsi="Amiri" w:eastAsia="Amiri" w:cs="Amiri"/>
          <w:color w:val="111111"/>
          <w:sz w:val="28"/>
          <w:sz w:val="28"/>
          <w:szCs w:val="28"/>
          <w:rtl w:val="true"/>
          <w:lang w:bidi="ar-SA"/>
        </w:rPr>
        <w:t>بالإيماء</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0477835_73709187"/>
      <w:bookmarkStart w:id="140" w:name="_Toc53"/>
      <w:bookmarkEnd w:id="139"/>
      <w:r>
        <w:rPr>
          <w:rtl w:val="true"/>
        </w:rPr>
        <w:t>الإيماء للرّكوع والسّجود</w:t>
      </w:r>
      <w:bookmarkEnd w:id="140"/>
    </w:p>
    <w:p>
      <w:pPr>
        <w:pStyle w:val="Heading6"/>
        <w:numPr>
          <w:ilvl w:val="5"/>
          <w:numId w:val="1"/>
        </w:numPr>
        <w:rPr/>
      </w:pPr>
      <w:bookmarkStart w:id="141" w:name="__RefHeading___Toc10477837_73709187"/>
      <w:bookmarkStart w:id="142" w:name="_Toc54"/>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ويجبُ الإتيان بالركوع والسّجود إنْ أمكن بلا خلافٍ‌؛ لإطلاق أدلّتهما، وما في الأخبار 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الغالب في موردها من عدم إمكانه، ومع عدم إمكانه يتعيّن للمضطجع أنْ يكون ركوعه وسجوده بالإيماء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كبير لا يستطيع القيام إلى الخلاء لضعفه، ولا يمكنه الركوع والسّجود؟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برأسه إيماءً‌، وإنْ كان له من يرفع الخمرة فليسجد، فإنْ لم يمكنه ذلك فليومِ برأسه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إذا لم يستطع القيام والسّجود؟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برأسه إيماءً‌</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 الإيماء فيها، هو الإيماء بالرأس، كما صرّح به عليه السلام في صحيح الحلبي وخبر إبراهيم وغيرهما، فلا يشمل تغميض العينين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المريض قائماً، فإنْ لم يقدر على ذلك صَلّى جالساً، فإنْ لم يقدر أن يُصلّي جالساً صَلّى مستلقياً، يكبِّر ثمّ يقرأ، فإذا أراد الركوع غمّض عينيه ثمّ سبَّح، فإذا سبَّح فتح عينيه، فيكون فتحُ عينيه رفع رأسه من الركوع، فإذا أراد أن يسجد غمّض عينيه ثمّ سبَّح، فإذا سبَّح فتح عينيه، فيكون فتحُ عينيه رفع رأسه من السّجود، ثمّ يتشهّد وينصرف</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ذلك مرسل محمّد بن إبراهيم</w:t>
      </w:r>
      <w:r>
        <w:rPr>
          <w:rStyle w:val="FootnoteAnchor"/>
          <w:rtl w:val="true"/>
        </w:rPr>
        <w:footnoteReference w:id="222"/>
      </w:r>
      <w:r>
        <w:rPr>
          <w:rFonts w:ascii="Amiri" w:hAnsi="Amiri" w:eastAsia="Amiri" w:cs="Amiri"/>
          <w:color w:val="111111"/>
          <w:sz w:val="28"/>
          <w:sz w:val="28"/>
          <w:szCs w:val="28"/>
          <w:rtl w:val="true"/>
          <w:lang w:bidi="ar-SA"/>
        </w:rPr>
        <w:t>، وخبر عبد السلام الوارد في الصَّلاة فوق الكعبة</w:t>
      </w:r>
      <w:r>
        <w:rPr>
          <w:rStyle w:val="FootnoteAnchor"/>
          <w:rtl w:val="true"/>
        </w:rPr>
        <w:footnoteReference w:id="223"/>
      </w:r>
      <w:r>
        <w:rPr>
          <w:rFonts w:ascii="Amiri" w:hAnsi="Amiri" w:eastAsia="Amiri" w:cs="Amiri"/>
          <w:color w:val="111111"/>
          <w:sz w:val="28"/>
          <w:sz w:val="28"/>
          <w:szCs w:val="28"/>
          <w:rtl w:val="true"/>
          <w:lang w:bidi="ar-SA"/>
        </w:rPr>
        <w:t>، لكن بما أنّ موردهما المستلقي، لا يُعتمد عليهما في المضطجع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بينهما، لا دليل عليها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أنّ ما نُسب إلى المشهور</w:t>
      </w:r>
      <w:r>
        <w:rPr>
          <w:rStyle w:val="FootnoteAnchor"/>
          <w:rtl w:val="true"/>
        </w:rPr>
        <w:footnoteReference w:id="224"/>
      </w:r>
      <w:r>
        <w:rPr>
          <w:rFonts w:ascii="Amiri" w:hAnsi="Amiri" w:eastAsia="Amiri" w:cs="Amiri"/>
          <w:color w:val="111111"/>
          <w:sz w:val="28"/>
          <w:sz w:val="28"/>
          <w:szCs w:val="28"/>
          <w:rtl w:val="true"/>
          <w:lang w:bidi="ar-SA"/>
        </w:rPr>
        <w:t>من أنّه مع تعذّر الإيماء بالرأس فبالعينين بتغميضهما، لم يدلّ عليه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عَجَز صَلّى مستلقياً مومياً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المشهور تعيّن الإيماء عليه مع الإمكان، كما صرّح بذلك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صَلّى مستقلياً مومياً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عدمه فالتغميض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وغيرها</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البدل في المستلقي بالتغميض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بالتخيير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الآمرة بالإيماء، كمرسل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المتقدّم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تعارضها نصوص التغميض؛ لأخصيّتها منها، لشمولها لصورتي إمكان الإيماء وعدمه، واختصاص نصوص الإيماء بصورة الإمكان، فتخصّص نصوص التغميض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نصوص التغميض أيضاً بصورة إمكانه، فتكون من هذه الجهة أخصّ من نصوص الإيماء، فيكون التعارض بالعموم من وجه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المستلقي إذا لم يمكنه تغميض العينين، فلا محالة لا يقدر على الإيماء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43" w:name="pg11800_96863"/>
    </w:p>
    <w:p>
      <w:pPr>
        <w:pStyle w:val="BookText"/>
        <w:rPr/>
      </w:pPr>
      <w:bookmarkEnd w:id="143"/>
      <w:r>
        <w:rPr>
          <w:rFonts w:ascii="Amiri" w:hAnsi="Amiri" w:eastAsia="Amiri" w:cs="Amiri"/>
          <w:color w:val="111111"/>
          <w:sz w:val="28"/>
          <w:sz w:val="28"/>
          <w:szCs w:val="28"/>
          <w:rtl w:val="true"/>
          <w:lang w:bidi="ar-SA"/>
        </w:rPr>
        <w:t>بالرأس، لأنّه في حَدّ ذاته يشقّ عليه صدور الإيماء منه، فإذا فُرض أنّه لمزيد الضعف لا يقدر على التغميض، فلا محالة لا يمكنه الإيماء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فالجمع بين النصوص، بالحمل على التخيير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بانحصار البدل بالتغميض، بدعوى الاقتصار في النصوص على ذكره، إذ قد عرفت تضمّن جملةٍ من النصوص للإيماء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ما نُسب إلى المشهور</w:t>
      </w:r>
      <w:r>
        <w:rPr>
          <w:rStyle w:val="FootnoteAnchor"/>
          <w:rtl w:val="true"/>
        </w:rPr>
        <w:footnoteReference w:id="232"/>
      </w:r>
      <w:r>
        <w:rPr>
          <w:rFonts w:ascii="Amiri" w:hAnsi="Amiri" w:eastAsia="Amiri" w:cs="Amiri"/>
          <w:color w:val="111111"/>
          <w:sz w:val="28"/>
          <w:sz w:val="28"/>
          <w:szCs w:val="28"/>
          <w:rtl w:val="true"/>
          <w:lang w:bidi="ar-SA"/>
        </w:rPr>
        <w:t>من تعيّن الإيماء عليه مع الإمكان، ومع تعذّره فالتغميض</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0477839_73709187"/>
      <w:bookmarkStart w:id="145" w:name="_Toc55"/>
      <w:bookmarkEnd w:id="144"/>
      <w:r>
        <w:rPr>
          <w:rtl w:val="true"/>
        </w:rPr>
        <w:t>أقول</w:t>
      </w:r>
      <w:r>
        <w:rPr>
          <w:rtl w:val="true"/>
        </w:rPr>
        <w:t xml:space="preserve">: </w:t>
      </w:r>
      <w:r>
        <w:rPr>
          <w:rtl w:val="true"/>
        </w:rPr>
        <w:t>بقي الكلام في أمرين</w:t>
      </w:r>
      <w:r>
        <w:rPr>
          <w:rtl w:val="true"/>
        </w:rPr>
        <w:t>:</w:t>
      </w:r>
      <w:bookmarkEnd w:id="145"/>
    </w:p>
    <w:p>
      <w:pPr>
        <w:pStyle w:val="Heading6"/>
        <w:numPr>
          <w:ilvl w:val="5"/>
          <w:numId w:val="1"/>
        </w:numPr>
        <w:rPr/>
      </w:pPr>
      <w:bookmarkStart w:id="146" w:name="__RefHeading___Toc10477841_73709187"/>
      <w:bookmarkStart w:id="147" w:name="_Toc56"/>
      <w:bookmarkEnd w:id="146"/>
      <w:r>
        <w:rPr>
          <w:rtl w:val="true"/>
        </w:rPr>
        <w:t>جعل إيماء سجوده أخفض منه لركوعه</w:t>
      </w:r>
      <w:bookmarkEnd w:id="147"/>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الأصحاب</w:t>
      </w:r>
      <w:r>
        <w:rPr>
          <w:rStyle w:val="FootnoteAnchor"/>
          <w:rtl w:val="true"/>
        </w:rPr>
        <w:footnoteReference w:id="233"/>
      </w:r>
      <w:r>
        <w:rPr>
          <w:rFonts w:ascii="Amiri" w:hAnsi="Amiri" w:eastAsia="Amiri" w:cs="Amiri"/>
          <w:color w:val="111111"/>
          <w:sz w:val="28"/>
          <w:sz w:val="28"/>
          <w:szCs w:val="28"/>
          <w:rtl w:val="true"/>
          <w:lang w:bidi="ar-SA"/>
        </w:rPr>
        <w:t>إنّه متى أومأ للركوع والسّجود، فليجعل إيماءَ سجوده أخفض منه لركوعه،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صلى الله عليه و آله على رجلٍ من الأنصار، وقد شبكته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كيف اُصلّي‌؟</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تُجلِسوه فاجلسوه، وإلّا فوجّهوه إلى القبلة، ومُروه فليؤمى إيماءً‌، ويجعل السّجود أخفض من الركوع</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يعقوب بن شعيب،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الصَّلاة في السفر ماشياً؟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أومي إيماءً واجعل السّجود أخفض من الركوع</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bookmarkStart w:id="148" w:name="pg11800_96864"/>
    </w:p>
    <w:p>
      <w:pPr>
        <w:pStyle w:val="BookText"/>
        <w:rPr/>
      </w:pPr>
      <w:bookmarkEnd w:id="148"/>
      <w:r>
        <w:rPr>
          <w:rFonts w:ascii="Amiri" w:hAnsi="Amiri" w:eastAsia="Amiri" w:cs="Amiri"/>
          <w:color w:val="111111"/>
          <w:sz w:val="28"/>
          <w:sz w:val="28"/>
          <w:szCs w:val="28"/>
          <w:rtl w:val="true"/>
          <w:lang w:bidi="ar-SA"/>
        </w:rPr>
        <w:t>وعن جماعةٍ من الأصحاب كالمحقّق والشهيد الثانيين</w:t>
      </w:r>
      <w:r>
        <w:rPr>
          <w:rStyle w:val="FootnoteAnchor"/>
          <w:rtl w:val="true"/>
        </w:rPr>
        <w:footnoteReference w:id="236"/>
      </w:r>
      <w:r>
        <w:rPr>
          <w:rFonts w:ascii="Amiri" w:hAnsi="Amiri" w:eastAsia="Amiri" w:cs="Amiri"/>
          <w:color w:val="111111"/>
          <w:sz w:val="28"/>
          <w:sz w:val="28"/>
          <w:szCs w:val="28"/>
          <w:rtl w:val="true"/>
          <w:lang w:bidi="ar-SA"/>
        </w:rPr>
        <w:t>، وسلاّر</w:t>
      </w:r>
      <w:r>
        <w:rPr>
          <w:rStyle w:val="FootnoteAnchor"/>
          <w:rtl w:val="true"/>
        </w:rPr>
        <w:footnoteReference w:id="237"/>
      </w:r>
      <w:r>
        <w:rPr>
          <w:rFonts w:ascii="Amiri" w:hAnsi="Amiri" w:eastAsia="Amiri" w:cs="Amiri"/>
          <w:color w:val="111111"/>
          <w:sz w:val="28"/>
          <w:sz w:val="28"/>
          <w:szCs w:val="28"/>
          <w:rtl w:val="true"/>
          <w:lang w:bidi="ar-SA"/>
        </w:rPr>
        <w:t>وغيرهم</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زيادة غمض العين للسجود على غمضها للركوع في التغميض،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المراد من الإيماء في النصوص، ما يشمل التغميض، ومقتضى إطلاق الأمر بجعله للسجود أخفض، وجوبه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ليحصل الفرق بين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 من أنّ الإيماء لا يعمّ التغميض، لا سيّما النصوص المتضمّنة للأخفضيّة، لعدم قابليّة الغمض للزيادة إلّافي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الفرق يحصل بالقصد أيضاً</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0477843_73709187"/>
      <w:bookmarkStart w:id="150" w:name="_Toc57"/>
      <w:bookmarkEnd w:id="149"/>
      <w:r>
        <w:rPr>
          <w:rtl w:val="true"/>
        </w:rPr>
        <w:t>الواجبُ هو الإيماء المجرّد</w:t>
      </w:r>
      <w:bookmarkEnd w:id="15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لمن أومأ للسجود وضعُ شيءٍ ممّا يصحّ السّجود عليه على جبهته أم لا؟</w:t>
      </w:r>
    </w:p>
    <w:p>
      <w:pPr>
        <w:pStyle w:val="BookText"/>
        <w:rPr/>
      </w:pPr>
      <w:r>
        <w:rPr>
          <w:rFonts w:ascii="Amiri" w:hAnsi="Amiri" w:eastAsia="Amiri" w:cs="Amiri"/>
          <w:color w:val="111111"/>
          <w:sz w:val="28"/>
          <w:sz w:val="28"/>
          <w:szCs w:val="28"/>
          <w:rtl w:val="true"/>
          <w:lang w:bidi="ar-SA"/>
        </w:rPr>
        <w:t>أو يتخيّر بين الوضع والإيماء؟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وأقوال، بل عن بعضٍ‌</w:t>
      </w:r>
      <w:r>
        <w:rPr>
          <w:rStyle w:val="FootnoteAnchor"/>
          <w:rtl w:val="true"/>
        </w:rPr>
        <w:footnoteReference w:id="239"/>
      </w:r>
      <w:r>
        <w:rPr>
          <w:rFonts w:ascii="Amiri" w:hAnsi="Amiri" w:eastAsia="Amiri" w:cs="Amiri"/>
          <w:color w:val="111111"/>
          <w:sz w:val="28"/>
          <w:sz w:val="28"/>
          <w:szCs w:val="28"/>
          <w:rtl w:val="true"/>
          <w:lang w:bidi="ar-SA"/>
        </w:rPr>
        <w:t>تعيّن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المريض لا يستطيع الجلوس، أيُصلّي وهو مضطجعٌ‌، ويضع على جبهته شيئاً إذا سجد؟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يكلّف اللّه إلّاطاقته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لا يستطيع الجلوس‌؟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وهو مضطجع، وليضع على جبهته شيئاً إذا سجد، فإنّه يُجزي عنه، ولن يكلّف اللّه ما لا طاقة له به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يدلّان على عدم لزوم الإيماء، فلا وجه مع الأمر به في النصوص القول بعدم وجوبه، بل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وليضع على جبهته شيئاً إذا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وجوب الإيماء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نصوص الإيماء ظاهرةٌ في بدليّته مجرّداً عن الوضع تعييناً، والخبرين ظاهران في بدليّة الوضع تعييناً، فيجمع برفع اليد عن ظهورهما في التعيين، ويُحملان على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بشهادة 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المريض كيف يسجد؟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خُمرةٍ أو على مروحةٍ‌، أو على مسواك يرفعه إليه، هو أفضل من الإيماء</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إذا لم يستطع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القيام والسّجود؟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برأسه إيماءً‌، وأنْ يضع جبهته على الأرض أحبَّ إليّ‌</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كلّ من الطائفتين في الوجوب التعييني لا يُنكر، إلّاأنّه لا منافاة بينهما كي يُرفع اليد عن ظهورهما في التعيين، وليس لهما مفهوم كي يدلّ كلّ منهما على عدم وجوب غير ما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الحلبي إنّما يدلّ على أفضليّة وضع الجبهة على الأرض مع الإيماء عن الإيماء المجرّد، لا أفضليّة وضع الجبهة عليها عن الإيماء،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زرارة إنّما يدلّ على أفضليّة السّجود على الأرض، المتوقّف صدقه على الإيماء عن الإيماء المجرّد، لا أفضليّة وضع شيءٍ من الأرض على الجبهة عن الإيماء،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ولظهور الخبرين على ما عرفت في استحباب وضع شيءٍ من ما يصحّ السّجود عليه، تُرفع اليد عمّا ظاهره وجوب ذلك، كموثّق سماعة المتقدّم، ويُحمل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الشهيدين</w:t>
      </w:r>
      <w:r>
        <w:rPr>
          <w:rStyle w:val="FootnoteAnchor"/>
          <w:rtl w:val="true"/>
        </w:rPr>
        <w:footnoteReference w:id="244"/>
      </w:r>
      <w:r>
        <w:rPr>
          <w:rFonts w:ascii="Amiri" w:hAnsi="Amiri" w:eastAsia="Amiri" w:cs="Amiri"/>
          <w:color w:val="111111"/>
          <w:sz w:val="28"/>
          <w:sz w:val="28"/>
          <w:szCs w:val="28"/>
          <w:rtl w:val="true"/>
          <w:lang w:bidi="ar-SA"/>
        </w:rPr>
        <w:t>والكَرَكي</w:t>
      </w:r>
      <w:r>
        <w:rPr>
          <w:rStyle w:val="FootnoteAnchor"/>
          <w:rtl w:val="true"/>
        </w:rPr>
        <w:footnoteReference w:id="245"/>
      </w:r>
      <w:r>
        <w:rPr>
          <w:rFonts w:ascii="IRNazanin" w:hAnsi="IRNazanin" w:eastAsia="IRNazanin"/>
          <w:color w:val="111111"/>
          <w:sz w:val="28"/>
          <w:sz w:val="28"/>
          <w:szCs w:val="28"/>
          <w:rtl w:val="true"/>
          <w:lang w:bidi="fa-IR"/>
        </w:rPr>
        <w:t>والمقداد</w:t>
      </w:r>
      <w:r>
        <w:rPr>
          <w:rStyle w:val="FootnoteAnchor"/>
          <w:rtl w:val="true"/>
        </w:rPr>
        <w:footnoteReference w:id="246"/>
      </w:r>
      <w:r>
        <w:rPr>
          <w:rFonts w:ascii="Amiri" w:hAnsi="Amiri" w:eastAsia="Amiri" w:cs="Amiri"/>
          <w:color w:val="111111"/>
          <w:sz w:val="28"/>
          <w:sz w:val="28"/>
          <w:szCs w:val="28"/>
          <w:rtl w:val="true"/>
          <w:lang w:bidi="ar-SA"/>
        </w:rPr>
        <w:t>من وجوب تقريب ما يصحّ السّجود عليه إلى جبهته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ملاقاة الجبهة له واجبة، ولم يدلّ دليلٌ على سقوطها لتعذّر غيرها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وضع الجبهة على ما يصحّ السّجود عليه، لا وضعه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1" w:name="pg11800_96867"/>
    </w:p>
    <w:p>
      <w:pPr>
        <w:pStyle w:val="BookText"/>
        <w:rPr/>
      </w:pPr>
      <w:bookmarkEnd w:id="151"/>
      <w:r>
        <w:rPr>
          <w:rFonts w:ascii="IRNazanin" w:hAnsi="IRNazanin" w:eastAsia="IRNazanin"/>
          <w:color w:val="111111"/>
          <w:sz w:val="28"/>
          <w:sz w:val="28"/>
          <w:szCs w:val="28"/>
          <w:rtl w:val="true"/>
          <w:lang w:bidi="fa-IR"/>
        </w:rPr>
        <w:t xml:space="preserve">ودعوى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الإجماع على أنّه لو عَجز عن السّجود، رفع ما يسجد عليه، ولم يجز الإيماء إلّامع عدمهما، أو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ما إذا تمكّن من الانحناء الكثير، غير البالغ مقدار الواجب، وأمّا مورد الإيماء بالرأس فغير داخلٍ تحت معقد الإجماع، لوضوح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كفاية الإيماء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للأمر بالإيماء، الواردة في الأبواب المتفرّقة من النافلة والفريضة، للماشي والراكب والعاري وغيرها، حيث لم ترد في هذه النصوص برغم كثرتها إشارةٌ إلى لزوم وضع شيءٍ على جبهته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0477845_73709187"/>
      <w:bookmarkStart w:id="153" w:name="_Toc58"/>
      <w:bookmarkEnd w:id="152"/>
      <w:r>
        <w:rPr>
          <w:rtl w:val="true"/>
        </w:rPr>
        <w:t>هل يجوز للعاجز البدار</w:t>
      </w:r>
      <w:bookmarkEnd w:id="1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لا يتمكّن عنه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علم بعدم التمكّن، جاز له البدار بإتيان الصَّلاة مع البدل الاضطراري، ولا يخفى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علم بأنّه يقدر عليه في آخر الوقت، لا يجوز له ذلك، ويتعيّن عليه التأخير، لإطلاق أدلّة القيام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يصدق عليه في أوّل الوقت العاجز عن القيام، فيشمله أدلّة </w:t>
      </w:r>
    </w:p>
    <w:p>
      <w:pPr>
        <w:pStyle w:val="BookText"/>
        <w:rPr/>
      </w:pPr>
      <w:r>
        <w:rPr>
          <w:rFonts w:ascii="Amiri" w:hAnsi="Amiri" w:eastAsia="Amiri" w:cs="Amiri"/>
          <w:color w:val="111111"/>
          <w:sz w:val="28"/>
          <w:sz w:val="28"/>
          <w:szCs w:val="28"/>
          <w:rtl w:val="true"/>
          <w:lang w:bidi="ar-SA"/>
        </w:rPr>
        <w:t>البدل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العاجز في أوّل الوقت، كالعاجز في مكان خاص، غير مشمولٍ للنصوص، لعدم كونه بالخصوص ظرفاً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الموضوع في النصوص هو العاجز عن القيام في الصَّلاة المأمور بها، لا العاجز عنه في فردٍ منها،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شكّ في تمكّنه منه في آخر الوقت، فهل يجوز له البدار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بناءً على جريان الاستصحاب في الأمر الاستقبالي، وترتّب الأثر عليه بالفعل، كما هو الحقّ‌، فإنّه عليه يجري استصحاب عدم التمكّن إلى آخر الوقت، ويترتّب عليه جواز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ذلك يكون الجواز حكماً ظاهريّاً، فلو أتى بالصَّلاة ثمّ تجدّدت القدرة في آخر الوقت، مع اتّساع الوقت للاستئناف، يتعيّن عليه ذلك، لأنّه حينئذٍ يكشف عن عدم مشروعيّة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تجدّدت القدرة على القيام في الأثناء، فإنْ كان الوقت يسع للإستيناف وجب له ذلك، وإلّا انتقل إليه وأتمّ صلاته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العاجز عن حالة غير القيام من جلوسٍ أو اضطجاع، فإنّه لا يصحّ له الإتيان بما دونها إذا علم بتمكّنه منها في آخر الوقت، وفي ضيق الوقت لو شرع فيها، ووجد في الأثناء خفّة، انتقل إلى الحالة المستطاعة، كما هو المشهور بين الأصحاب، بل لم يُنقل الخلاف عن أحدٍ منّا</w:t>
      </w:r>
      <w:r>
        <w:rPr>
          <w:rFonts w:eastAsia="Amiri" w:cs="Amiri" w:ascii="Amiri" w:hAnsi="Amiri"/>
          <w:color w:val="111111"/>
          <w:sz w:val="28"/>
          <w:szCs w:val="28"/>
          <w:rtl w:val="true"/>
          <w:lang w:bidi="ar-SA"/>
        </w:rPr>
        <w:t>.</w:t>
      </w:r>
      <w:bookmarkStart w:id="154" w:name="pg11800_96869"/>
    </w:p>
    <w:p>
      <w:pPr>
        <w:pStyle w:val="Heading5"/>
        <w:numPr>
          <w:ilvl w:val="4"/>
          <w:numId w:val="1"/>
        </w:numPr>
        <w:rPr/>
      </w:pPr>
      <w:bookmarkStart w:id="155" w:name="__RefHeading___Toc10477847_73709187"/>
      <w:bookmarkStart w:id="156" w:name="_Toc59"/>
      <w:bookmarkEnd w:id="154"/>
      <w:bookmarkEnd w:id="155"/>
      <w:r>
        <w:rPr>
          <w:rtl w:val="true"/>
        </w:rPr>
        <w:t>الرابع</w:t>
      </w:r>
      <w:r>
        <w:rPr>
          <w:rtl w:val="true"/>
        </w:rPr>
        <w:t xml:space="preserve">: </w:t>
      </w:r>
      <w:r>
        <w:rPr>
          <w:rtl w:val="true"/>
        </w:rPr>
        <w:t>القراءة</w:t>
      </w:r>
      <w:bookmarkEnd w:id="156"/>
    </w:p>
    <w:p>
      <w:pPr>
        <w:pStyle w:val="Heading6"/>
        <w:numPr>
          <w:ilvl w:val="5"/>
          <w:numId w:val="1"/>
        </w:numPr>
        <w:rPr/>
      </w:pPr>
      <w:bookmarkStart w:id="157" w:name="__RefHeading___Toc10477849_73709187"/>
      <w:bookmarkStart w:id="158" w:name="_Toc60"/>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الحَمد،</w:t>
      </w:r>
    </w:p>
    <w:p>
      <w:pPr>
        <w:pStyle w:val="BookText"/>
        <w:rPr/>
      </w:pPr>
      <w:r>
        <w:rPr>
          <w:rFonts w:ascii="Amiri" w:hAnsi="Amiri" w:eastAsia="Amiri" w:cs="Amiri"/>
          <w:color w:val="111111"/>
          <w:sz w:val="28"/>
          <w:sz w:val="28"/>
          <w:szCs w:val="28"/>
          <w:rtl w:val="true"/>
          <w:lang w:bidi="ar-SA"/>
        </w:rPr>
        <w:t>في القراءة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الصبح، والرّكعتين الأوليين من سائر الصلوات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وغيرها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لا يقرأ فاتحة الكتاب في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 إلّاأنْ يقرأ بها في جهرٍ أو إخفاتٍ‌</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نَسي أُمّ القرآن‌؟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فليعد أُمّ القرآن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النصوص وإنْ لم يعيّن مورد الحمد، إلّاأنّه يشهد لكون مورده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التسالم عليه لدى المتشرّعة، على حسب ما وصل إليهم من صاحب الشرع قولاً وفعلاً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عن الصدوق بإسناده عن الفضل بن شاذان، عن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القراءة في الرّكعتين الأولتين، والتسبيح في الأخيرتين، للفرق بين ما فرضه اللّه من عنده، وبين ما فرضه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فإنّهما يدلّان على المختار بضميمة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الفاتحة في كلّ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رواه الصدوق، عن الفضل، عن الإمام الرضا عليه السلام في حديثٍ متضمّن لبيان حِكمة أفعال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بدىء بالحمد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السّور، لأنّه ليس شيءٌ من القرآن والكلام جُمع فيه من جوامع الخير والحكمة ما جُمع في سورة الحمد</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59" w:name="pg11800_96871"/>
    </w:p>
    <w:p>
      <w:pPr>
        <w:pStyle w:val="Heading6"/>
        <w:numPr>
          <w:ilvl w:val="5"/>
          <w:numId w:val="1"/>
        </w:numPr>
        <w:rPr/>
      </w:pPr>
      <w:bookmarkStart w:id="160" w:name="__RefHeading___Toc10477851_73709187"/>
      <w:bookmarkStart w:id="161" w:name="_Toc61"/>
      <w:bookmarkEnd w:id="159"/>
      <w:bookmarkEnd w:id="160"/>
      <w:r>
        <w:rPr>
          <w:rtl w:val="true"/>
        </w:rPr>
        <w:t>وجوب السّورة في الثنائية والأوليين من غيرها</w:t>
      </w:r>
      <w:bookmarkEnd w:id="161"/>
    </w:p>
    <w:p>
      <w:pPr>
        <w:pStyle w:val="Heading6"/>
        <w:numPr>
          <w:ilvl w:val="5"/>
          <w:numId w:val="1"/>
        </w:numPr>
        <w:rPr/>
      </w:pPr>
      <w:bookmarkStart w:id="162" w:name="__RefHeading___Toc10477853_73709187"/>
      <w:bookmarkStart w:id="163" w:name="_Toc62"/>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والسّورة في الثنائية والأوليين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يجبُ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الثنائيّة والأوليين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القدماء والمتأخّرين، الميل إلى عدم الوجوب، أو تقويته كالإسكافي</w:t>
      </w:r>
      <w:r>
        <w:rPr>
          <w:rStyle w:val="FootnoteAnchor"/>
          <w:rtl w:val="true"/>
        </w:rPr>
        <w:footnoteReference w:id="257"/>
      </w:r>
      <w:r>
        <w:rPr>
          <w:rFonts w:ascii="Amiri" w:hAnsi="Amiri" w:eastAsia="Amiri" w:cs="Amiri"/>
          <w:color w:val="111111"/>
          <w:sz w:val="28"/>
          <w:sz w:val="28"/>
          <w:szCs w:val="28"/>
          <w:rtl w:val="true"/>
          <w:lang w:bidi="ar-SA"/>
        </w:rPr>
        <w:t>، وسلّار الديلمي</w:t>
      </w:r>
      <w:r>
        <w:rPr>
          <w:rStyle w:val="FootnoteAnchor"/>
          <w:rtl w:val="true"/>
        </w:rPr>
        <w:footnoteReference w:id="258"/>
      </w:r>
      <w:r>
        <w:rPr>
          <w:rFonts w:ascii="Amiri" w:hAnsi="Amiri" w:eastAsia="Amiri" w:cs="Amiri"/>
          <w:color w:val="111111"/>
          <w:sz w:val="28"/>
          <w:sz w:val="28"/>
          <w:szCs w:val="28"/>
          <w:rtl w:val="true"/>
          <w:lang w:bidi="ar-SA"/>
        </w:rPr>
        <w:t>، وابن أبي عقيل</w:t>
      </w:r>
      <w:r>
        <w:rPr>
          <w:rStyle w:val="FootnoteAnchor"/>
          <w:rtl w:val="true"/>
        </w:rPr>
        <w:footnoteReference w:id="259"/>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والسبزواري</w:t>
      </w:r>
      <w:r>
        <w:rPr>
          <w:rStyle w:val="FootnoteAnchor"/>
          <w:rtl w:val="true"/>
        </w:rPr>
        <w:footnoteReference w:id="263"/>
      </w:r>
      <w:r>
        <w:rPr>
          <w:rFonts w:ascii="Amiri" w:hAnsi="Amiri" w:eastAsia="Amiri" w:cs="Amiri"/>
          <w:color w:val="111111"/>
          <w:sz w:val="28"/>
          <w:sz w:val="28"/>
          <w:szCs w:val="28"/>
          <w:rtl w:val="true"/>
          <w:lang w:bidi="ar-SA"/>
        </w:rPr>
        <w:t>، وغيرهم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سورةٍ كاملة، وجواز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يقتضي التكلّم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السّورة ولو بعضها في حال الاختيار، وعدم الاستعجال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تجب سورة كاملة، أم يجوز التبعيض‌؟</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في حال الضرورة والاستعجال في الفرائض والنوافل</w:t>
      </w:r>
      <w:r>
        <w:rPr>
          <w:rFonts w:eastAsia="Amiri" w:cs="Amiri" w:ascii="Amiri" w:hAnsi="Amiri"/>
          <w:color w:val="111111"/>
          <w:sz w:val="28"/>
          <w:szCs w:val="28"/>
          <w:rtl w:val="true"/>
          <w:lang w:bidi="ar-SA"/>
        </w:rPr>
        <w:t xml:space="preserve">. </w:t>
      </w:r>
      <w:bookmarkStart w:id="164" w:name="pg11800_96872"/>
    </w:p>
    <w:p>
      <w:pPr>
        <w:pStyle w:val="Heading6"/>
        <w:numPr>
          <w:ilvl w:val="5"/>
          <w:numId w:val="1"/>
        </w:numPr>
        <w:rPr/>
      </w:pPr>
      <w:bookmarkStart w:id="165" w:name="__RefHeading___Toc10477855_73709187"/>
      <w:bookmarkStart w:id="166" w:name="_Toc63"/>
      <w:bookmarkEnd w:id="164"/>
      <w:bookmarkEnd w:id="165"/>
      <w:r>
        <w:rPr>
          <w:rtl w:val="true"/>
        </w:rPr>
        <w:t>أدلّة وجوبُ السّورة</w:t>
      </w:r>
      <w:bookmarkEnd w:id="166"/>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للوجوب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في الفريضة بفاتحة الكتاب في الرّكعتين الأوليين، إذا ما أعجلت به حاجة، أو تخوّف شيئاً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بمفهوم الشرط يدلّ على ثبوت البأس في تركها في صورة عدم الاستعجال والخوف، ومن الواضح أنّ البأس إنّما يكون في ترك الواجب دون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جواز ترك السّورة إذا أعجلت المُصلّي حاجةً‌، والحاجة بما أنّها أعمّ من الضرورة، فالرخصة في الترك في تلك الحالة تنافي الوجوب،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المكتوبة بأقلّ من سورةٍ ولا بأكثر</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النهي عن القِران والتبعيض، ولا ينافي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للمريض أنْ يقرأ في الفريضة فاتحة الكتاب وحدها، ويجوزُ للصحيح في قضاء صلاة التطوّع بالليل والنهار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 على الوجوب متوقّفة عليحجيّة مفهوم الوصف، ولا نقول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بن عمران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ابتدأ ببسم اللّه الرحمن الرحيم في صلاته وحده في أُمّ الكتاب، فلما صار إلى غير أُمّ الكتاب من السّورة تركها، 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p>
    <w:p>
      <w:pPr>
        <w:pStyle w:val="BookText"/>
        <w:rPr/>
      </w:pPr>
      <w:r>
        <w:rPr>
          <w:rFonts w:ascii="Amiri" w:hAnsi="Amiri" w:eastAsia="Amiri" w:cs="Amiri"/>
          <w:color w:val="111111"/>
          <w:sz w:val="28"/>
          <w:sz w:val="28"/>
          <w:szCs w:val="28"/>
          <w:rtl w:val="true"/>
          <w:lang w:bidi="ar-SA"/>
        </w:rPr>
        <w:t>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مرّتين على رغم أنفه، يعني العبّاسي</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إنّما يدلّ على جزئيّة البسملة للسّورة، لا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بسم اللّه الرحمن الرحيم في فاتحة الكتاب‌؟ قال عليه السلام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الفاتحة أقرأ بسم اللّه الرحمن الرحيم مع السّورة‌؟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ظهوره في وجوب قراءة البسملة في المقامين، إلّاأنّه لا يستلزم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جزئيّة البسملة للسورة لا وجوبها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أكونُ في طريق مكّة، فننزل للصَّلاة في مواضع فيها الأعراب، أنُصلّي المكتوبة على الأرض، فنقرأ أُمّ الكتاب وحدها، أم نُصلّي على الرّاحلة، فنقرأ فاتحة الكتاب والسّورة‌؟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فصلِّ على الرّاحلة المكتوبة وغيرها، وإذا قرأتَ الحمد والسّورة أحبّ إليّ‌، ولا أرى بالذي فعلتَ بأساً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وجوب السّورة، لما جاز لأجلها ترك الواجب من القيام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 وأنّ الظاهر اعتقاد السائل وجوبها، وقد قرّره الإمام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الأمر بالصَّلاة على الرّاحلة فيه، لأجل ثبوت الخوف في النزول، كما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فننزل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قرأتَ الحَمد والسّورة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خلاف المدّعى أدلّ‌، لظهوره في عدم وجوب السّورة في الصَّلاة على الراحلة، فيكون ذلك ردعاً عمّا اعتقده السائل من 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الفضل بن شاذان</w:t>
      </w:r>
      <w:r>
        <w:rPr>
          <w:rStyle w:val="FootnoteAnchor"/>
          <w:rtl w:val="true"/>
        </w:rPr>
        <w:footnoteReference w:id="272"/>
      </w:r>
      <w:r>
        <w:rPr>
          <w:rFonts w:ascii="Amiri" w:hAnsi="Amiri" w:eastAsia="Amiri" w:cs="Amiri"/>
          <w:color w:val="111111"/>
          <w:sz w:val="28"/>
          <w:sz w:val="28"/>
          <w:szCs w:val="28"/>
          <w:rtl w:val="true"/>
          <w:lang w:bidi="ar-SA"/>
        </w:rPr>
        <w:t>المتقدّم في صدر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مقام بيان حِكمة تقديم الحمد على سائر السور، فلا يدلّ على وجوب السّورة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السّورتين في الركعة‌؟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لكلّ ركعةٍ سورة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إنّ المشروع في كلّ ركعةٍ سورة واحدة لا أزيد، فلا يدلّ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غَلَط في سورةٍ فليقرأ قُل هو اللّه أحد، ثمّليركع</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معارضته بصحيح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سورةً في ركعة فغلط، أيدعُ المكان الذي غلط فيه، ويمضي في قراءته، أو يدَع تلك السّورة ويتحوّل منها إلى غيرها؟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 بأس به، وإنْ قرأ آيةً واحدة فشاء أن يركع بها ركع</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ظاهره وجوب قراءة سورة التوحيد في الفرض، ولم يقل به أحدٌ، فلابدَّ من صرفه عن ظاهره، وحمله على الاستحباب، أو الإجزاء عن السّورة التي غلط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الوارد في المأموم المسبوق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في كلّ ركعةٍ ممّا أدرك خلف الإمام في نفسه باُمّ الكتاب وسورة، فإنْ لم يُدرك سورةً تامّة، أجزأته أُمّ الكتاب</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ورد في المأموم، إلّاأنّه لعدم القول بالفصل بينه وبين سائر المصلّين، يثبت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إرادة بيان عدم سقوط السّورة عن المأموم المسبوق، إلّافيما لم يُدرك سورة تامّة، وأمّا كون ثبوتها بنحو الوجوب أو الاستحباب فهو ساكتٌ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لا يقرأ بفاتحة الكتاب في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 إلّاأنْ يقرأ بها في جهر أو 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إذا كان خائفاً أو مستعجلاً يقرأ سورة أو فاتحة الكتاب‌؟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السؤال لا يكون إلّامع اعتقاد السائل وجوب السّورة، وقد قرّره الإمام عليه السلام على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سؤال الراوي لإحتماله أنْ يكون وجوب الحمد مختصّاً بحال عدم الخوف والاستعجال، ولأجله سأل عن الإتيان به أو بالسورة في صورة الخوف والاستعجال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الاستدلال له بأنّه قد تواتر النقل عن النبيّ صلى الله عليه و آله أنّه صَلّى بالسورة بعد الحمد، وداوم عليها، وهو بنفسه مشعرٌ بالوجوب، فضلاً عن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مداومة النبيّ صلى الله عليه و آله عليها بنفسها لا تدلّ على الوجوب، لأنّه صلى الله عليه و آله كان مداوماً على كثيرٍ من المستحبّات، والنبويّ قد عرفت في بعض المباحث السابقة أنّه مجملٌ‌،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بالأخبار الدالّة على تحريم العدول من سورتي الجَحْد والتوحيد إلى ما عدا سورتي الجمعة والمنافقين يوم الجمعة، كصحيح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صلاتك بقُل هو اللّه أحد وأنتَ تُريد أنْ يقرأ بغيرها فامضِ فيها ولا ترجع</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حرمة العدول لا وجوب السّورة،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الواردة في بيان كيفيّة صلاة الآيات وكميّتها</w:t>
      </w:r>
      <w:r>
        <w:rPr>
          <w:rStyle w:val="FootnoteAnchor"/>
          <w:rtl w:val="true"/>
        </w:rPr>
        <w:footnoteReference w:id="281"/>
      </w:r>
      <w:r>
        <w:rPr>
          <w:rFonts w:ascii="Amiri" w:hAnsi="Amiri" w:eastAsia="Amiri" w:cs="Amiri"/>
          <w:color w:val="111111"/>
          <w:sz w:val="28"/>
          <w:sz w:val="28"/>
          <w:szCs w:val="28"/>
          <w:rtl w:val="true"/>
          <w:lang w:bidi="ar-SA"/>
        </w:rPr>
        <w:t>، حيث إنّه لم يتعرّض فيها لوجوب السّورة مع وجوبها فيها، وليس إلّامن جهة الإحالة على علم السائل بوجوبها كالفاتحة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وجوبها فيها إنّما استفيد من دليلٍ آخر، فلعلّ عدم تعرّضه عليه السلام له من جهة الإحالة على ذلك الدليل، ومنه يظهر سقوط الاستدلال له بما ورد في صلاة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العيدين، مع وجوب السّورة فيهما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من ما استدلّ به على وجوب السّورة في الصَّلاة 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وسَلّمنا دلالة ما تقدّم على الوجوب، فلأجل معارضته بما هو صريحٌ في جواز الترك، كصحيح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فاتحة الكتاب تجوز وحدها، وتُجزي في الفريضة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علي بن رئاب،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إنّ فاتحة الكتاب تجوز وحدها في الفريضة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يتعيّن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بحمل الصحيحين على حال الاستعجال أو الخوف،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تمّت دلالة صحيح الحلبي المتقدّم في أدلّة وجوب السّورة عليه، لاختصاصه بحال الاستعجال والخوف يكون شاهداً للجمع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وحملهما على التقيّة، مع إمكان الجمع بينهما وبين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 إذ مجرّد موافقة الخبر مع العامّة، لا يوجب حمله على التقيّة، ولكن مع ذلك كلّه الإفتاء بعدم الوجوب، مع ذهاب أكثر المحقّقين والأساطين، ومن يُعتمد عليه إلى الوجوب مشكلٌ جدّاً، والاحتياط طريق النجاة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7" w:name="pg11800_96878"/>
    </w:p>
    <w:p>
      <w:pPr>
        <w:pStyle w:val="Heading6"/>
        <w:numPr>
          <w:ilvl w:val="5"/>
          <w:numId w:val="1"/>
        </w:numPr>
        <w:rPr/>
      </w:pPr>
      <w:bookmarkStart w:id="168" w:name="__RefHeading___Toc10477857_73709187"/>
      <w:bookmarkStart w:id="169" w:name="_Toc64"/>
      <w:bookmarkEnd w:id="167"/>
      <w:bookmarkEnd w:id="168"/>
      <w:r>
        <w:rPr>
          <w:rtl w:val="true"/>
        </w:rPr>
        <w:t>عدم وجوب السّورة الكاملة في الصَّلاة</w:t>
      </w:r>
      <w:bookmarkEnd w:id="169"/>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نصوصٍ كثيرة، جواز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الرّجل السّورة الواحدة في الرّكعتين من الفريضة‌؟ فقال لا بأس إذا كانت أكثر من ثلاث آيات</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أبان بن عثمان، عمّن أخبره،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تُقسّم السّورة في الرّكعتين‌؟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اقسمها كيف شئت</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بن سعد،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قرأ في ركعةٍ الحمد ونصف سورة، هل يُجزيه في الثانية أنْ لا يقرأ الحمد ويقرأ ما بقي من السّورة‌؟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الحمد ويقرأ ما بقي من السّورة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 في أدلّة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 من النصوص الكثيرة وفيها جملةٌ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عليها بإيرادات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معارضتها مع صحيح منصور المتقدّم، الدالّ بظاهره على عدم جواز التبعيض، وهو يقدّم لمخالفته للعامّة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بينها وبين الصحيح، يقتضي حمله على الكراهة، ومعه لا </w:t>
      </w:r>
    </w:p>
    <w:p>
      <w:pPr>
        <w:pStyle w:val="BookText"/>
        <w:rPr/>
      </w:pPr>
      <w:r>
        <w:rPr>
          <w:rFonts w:ascii="Amiri" w:hAnsi="Amiri" w:eastAsia="Amiri" w:cs="Amiri"/>
          <w:color w:val="111111"/>
          <w:sz w:val="28"/>
          <w:sz w:val="28"/>
          <w:szCs w:val="28"/>
          <w:rtl w:val="true"/>
          <w:lang w:bidi="ar-SA"/>
        </w:rPr>
        <w:t>تعارض بينهما، فلا وجه للرجوع إلى مرجّحات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دفع الإيراد الثاني، وهو إنّه تعارضها النصوص المتقدّمة الدالّة على وجوب السّورة الكاملة، مضافاً إلى ما تقدّم من 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صحيح الحلبي المتقدّم الدالّ على وجوب السّورة في غير حال الاستعجال والخوف، لأجل أخصيّته يقدّم على هذه النصوص، فتُحمل هذه على حال الاستعجال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 على فرض تماميّة دلالته على عدم جواز الاقتصار على الحمد، في غير حال الضرورة، لا ينافي هذه النصوص، لأنّه لا يدلّ على وجوب سورة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معارضتها مع صحيحه الآخر المتقدّم، الدالّ على لزوم المُضيّ في سورة التوحيد لو شرع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 أنّ من أراد الإتيان بسورة كاملة، ففي سورةٍ غير التوحيد يجوز العدول، وأمّا فيها فليس له ذلك، بل لابدَّ وأن يتمّها، وليس له دلالة على وجوب السّورة الكاملة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بالمضيّ متوجّهٌ إلى من يريد الرجوع أو المضيّ‌، فلا يدلّ على وجوب المضيّ مطلقاً، مع أنّ ظهوره في الوجوب لو ثبت، يُحمل على الاستحباب، بقرينة الروايات الصريحة في جواز التبعيض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إعراض المشهور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إنّ‌عدم إفتائهم بالجواز، يمكن أنْ يكون لبعض ماسبق، لا للإعراض عنها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موافقتها لجمهور أهل الخلاف، فيتعيّن حملها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موافقة العامّة إنّما تكون من مرجّحات إحدى الحجّتين على الاُخرى، بعد فقد جملةٍ من المرجّحات، لا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تسليم وجوب شيءٍ في القراءة زائداً على الحمد، لا دليل على وجوب سورةٍ كاملة، بل مقتضى النصوص جواز التبعيض، كما عن بعض الأساطين الإفتاء به</w:t>
      </w:r>
      <w:r>
        <w:rPr>
          <w:rStyle w:val="FootnoteAnchor"/>
          <w:rtl w:val="true"/>
        </w:rPr>
        <w:footnoteReference w:id="288"/>
      </w:r>
      <w:r>
        <w:rPr>
          <w:rFonts w:ascii="Amiri" w:hAnsi="Amiri" w:eastAsia="Amiri" w:cs="Amiri"/>
          <w:color w:val="111111"/>
          <w:sz w:val="28"/>
          <w:sz w:val="28"/>
          <w:szCs w:val="28"/>
          <w:rtl w:val="true"/>
          <w:lang w:bidi="ar-SA"/>
        </w:rPr>
        <w:t>، وطريق الاحتياط معلوم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0" w:name="pg11800_96881"/>
    </w:p>
    <w:p>
      <w:pPr>
        <w:pStyle w:val="Heading6"/>
        <w:numPr>
          <w:ilvl w:val="5"/>
          <w:numId w:val="1"/>
        </w:numPr>
        <w:rPr/>
      </w:pPr>
      <w:bookmarkStart w:id="171" w:name="__RefHeading___Toc10477859_73709187"/>
      <w:bookmarkStart w:id="172" w:name="_Toc65"/>
      <w:bookmarkEnd w:id="170"/>
      <w:bookmarkEnd w:id="171"/>
      <w:r>
        <w:rPr>
          <w:rtl w:val="true"/>
        </w:rPr>
        <w:t>موارد سقوط السُّورة</w:t>
      </w:r>
      <w:bookmarkEnd w:id="172"/>
    </w:p>
    <w:p>
      <w:pPr>
        <w:pStyle w:val="BookText"/>
        <w:rPr/>
      </w:pPr>
      <w:r>
        <w:rPr>
          <w:rFonts w:ascii="Amiri" w:hAnsi="Amiri" w:eastAsia="Amiri" w:cs="Amiri"/>
          <w:color w:val="111111"/>
          <w:sz w:val="28"/>
          <w:sz w:val="28"/>
          <w:szCs w:val="28"/>
          <w:rtl w:val="true"/>
          <w:lang w:bidi="ar-SA"/>
        </w:rPr>
        <w:t>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قراءة السّورة في حال المرض والاستعجال والخوف، ونحوها من أفراد الضرورة، بلا خلافٍ‌، وعن غير واحدٍ</w:t>
      </w:r>
      <w:r>
        <w:rPr>
          <w:rStyle w:val="FootnoteAnchor"/>
          <w:rtl w:val="true"/>
        </w:rPr>
        <w:footnoteReference w:id="28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 وخبر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مستعجلاً، يجزيه أنْ يقرأ في الفريضة بفاتحة الكتاب وحدها؟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 فراجع</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هل يكون ضيق الوقت عن أداء الصَّلاة بتمامها مع السّورة في الوقت، موجباً لسقوطها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هو الأوّل،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بالأصل، لعدم الإطلاق لما دلَّ على وجوب السّورة في الصَّلاة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دلَّ عليه في المستعجل، فإنْ إدراك الصَّلاة في الوقت غرضٌ مطلوبٌ للعقلاء والمتديّنين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دلَّ عليه في المأموم المسبوق، إذا لم يمهله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علي فرض تسليم دلالة النصوص المتقدّمة علي وجوب السّورة، فإنّ دعوى عدم الإطلاق لشيءٍ منها فاسدة، لاحظ صحيحي الحلبي ومنصور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إدراك مجموع الصَّلاة في الوقت غرضاً مطلوباً وحاجة، تتوقّف على سقوط السّورة، وإلّا فبما أنّ كونه حاجةً فرع الأمر به، وهو ممتنعٌ مع جزئيّة السّورة، فلا مصلحة في الفعل ولا وجوب ولا حاجة إلى فعل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أنْ يكون إدراك الصَّلاة وجهاً لسقوط السّورة، وإلّا لزم الدور،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سقوطه عن المأموم، إنّما يكون لدرك فضيلة الائتمام، و أمّا في المقام فلم يثبت كون إدراك الصَّلاة فاقدة للسورة، حاجةً وغرضه مطلوباً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عدم حجيّة المنقول منه، يمكن أنْ يكون إفتاء الأصحاب لبعض ما سبق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يبتني على ما حقّقناه في مبحث القبلة</w:t>
      </w:r>
      <w:r>
        <w:rPr>
          <w:rStyle w:val="FootnoteAnchor"/>
          <w:rtl w:val="true"/>
        </w:rPr>
        <w:footnoteReference w:id="294"/>
      </w:r>
      <w:r>
        <w:rPr>
          <w:rFonts w:ascii="Amiri" w:hAnsi="Amiri" w:eastAsia="Amiri" w:cs="Amiri"/>
          <w:color w:val="111111"/>
          <w:sz w:val="28"/>
          <w:sz w:val="28"/>
          <w:szCs w:val="28"/>
          <w:rtl w:val="true"/>
          <w:lang w:bidi="ar-SA"/>
        </w:rPr>
        <w:t>، من أنّ موارد التنافي بين الأوامر الضمنيّة إنّما تكون من موارد التعارض، وإنّ مركز التنافي إطلاق أدلّتها، إذ عليه في المقام يقع التعارض بين إطلاق ما دلَّ عليوجوب السّورة، وإطلاق ما دلَّ على لزوم إيقاع تمام الصَّلاة في الوقت، فيتعارضان ويتساقطان، والمرجع إلى الأصل، وهو يقتضى التخيير، كما تقدّم، وقضيّة ما ذكرناه كون تركها لدى الضيق رخصة لا عزيمة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3" w:name="pg11800_96883"/>
    </w:p>
    <w:p>
      <w:pPr>
        <w:pStyle w:val="BookText"/>
        <w:rPr/>
      </w:pPr>
      <w:bookmarkEnd w:id="173"/>
      <w:r>
        <w:rPr>
          <w:rFonts w:ascii="Amiri" w:hAnsi="Amiri" w:eastAsia="Amiri" w:cs="Amiri"/>
          <w:color w:val="111111"/>
          <w:sz w:val="28"/>
          <w:sz w:val="28"/>
          <w:szCs w:val="28"/>
          <w:rtl w:val="true"/>
          <w:lang w:bidi="ar-SA"/>
        </w:rPr>
        <w:t>ولا يجزي الترجمة، ويجب التعلّم لمن لا يحسن مع المكنة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عن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ترجمتها بالعربيّة وغيرها من اللّغات إجماعاً، لعدم تحقّق الامتثال</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0477861_73709187"/>
      <w:bookmarkStart w:id="175" w:name="_Toc66"/>
      <w:bookmarkEnd w:id="174"/>
      <w:r>
        <w:rPr>
          <w:rtl w:val="true"/>
        </w:rPr>
        <w:t>حُكم من لا يُحسِنُ القراءة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التعلّم لو لم يُحسِن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أن يدخل الوقت إنْ علم بأنّه لا يتمكّن منه بعده، أو الائتمام، أو متابعة الغير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التعلّم تعييناً،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وجوب القراءة يستدعي وجوب التعلّم تحصيلاً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ظاهر نصوص كثيرة وجوب التعلّم وجوبا نفسيّاً تعيينيّاً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وبالإجماع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الائتمام أو متابعة الغير يتوقّف على فعلٍ خارج عن تحت القدرة، فلا يمكن التخيير بينه وبين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الإتيان بالواجب، لا يتوقّف على التعلّم فقط، إذ الواجب يحصل بالائتمام أو المتابعة أيضاً، فالواجب هو القدر المشترك بين الثلاثة المذكورة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النصوص، كون وجوب التعلّم طريقيّاً، كما يشهد </w:t>
      </w:r>
    </w:p>
    <w:p>
      <w:pPr>
        <w:pStyle w:val="BookText"/>
        <w:rPr/>
      </w:pPr>
      <w:r>
        <w:rPr>
          <w:rFonts w:ascii="Amiri" w:hAnsi="Amiri" w:eastAsia="Amiri" w:cs="Amiri"/>
          <w:color w:val="111111"/>
          <w:sz w:val="28"/>
          <w:sz w:val="28"/>
          <w:szCs w:val="28"/>
          <w:rtl w:val="true"/>
          <w:lang w:bidi="ar-SA"/>
        </w:rPr>
        <w:t>به الخبر الوارد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Style w:val="FootnoteAnchor"/>
          <w:rtl w:val="true"/>
        </w:rPr>
        <w:footnoteReference w:id="297"/>
      </w:r>
      <w:r>
        <w:rPr>
          <w:rFonts w:ascii="Amiri" w:hAnsi="Amiri" w:eastAsia="Amiri" w:cs="Amiri"/>
          <w:color w:val="111111"/>
          <w:sz w:val="28"/>
          <w:sz w:val="28"/>
          <w:szCs w:val="28"/>
          <w:rtl w:val="true"/>
          <w:lang w:bidi="ar-SA"/>
        </w:rPr>
        <w:t>، فمع فرض القدرة على الإتيان بصلاةٍ صحيحة من غير تعلّمها، لا وجه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عدم حجيّة المنقول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وجوبه الغيري، ويكون إطلاق ذلك في كلامهم، كإطلاق وجوب أصل القراءة في الصَّلاة، فلا ينافي عدم وجوبه تعييناً مع التمكّن من الائتمام أو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التكليف بالمتابعة أو الائتمام، إنّما يكون بعد تحقّق ما هو خارج عن تحت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تمكّن من التعلّم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 عليه قبل الوقت، مع العلم بعدم التمكّن منه فيه، فالوجه في وجوبه حينئذٍ ما ذكرناه في الاُصول</w:t>
      </w:r>
      <w:r>
        <w:rPr>
          <w:rStyle w:val="FootnoteAnchor"/>
          <w:rtl w:val="true"/>
        </w:rPr>
        <w:footnoteReference w:id="298"/>
      </w:r>
      <w:r>
        <w:rPr>
          <w:rFonts w:ascii="Amiri" w:hAnsi="Amiri" w:eastAsia="Amiri" w:cs="Amiri"/>
          <w:color w:val="111111"/>
          <w:sz w:val="28"/>
          <w:sz w:val="28"/>
          <w:szCs w:val="28"/>
          <w:rtl w:val="true"/>
          <w:lang w:bidi="ar-SA"/>
        </w:rPr>
        <w:t>، من وجوب ما يترتّب على تركه فوت الواجب في ظرفه إذا لم تكن القدرة في ظرفه شرطاً للوجوب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6" w:name="pg11800_96885"/>
    </w:p>
    <w:p>
      <w:pPr>
        <w:pStyle w:val="BookText"/>
        <w:rPr/>
      </w:pPr>
      <w:bookmarkEnd w:id="176"/>
      <w:r>
        <w:rPr>
          <w:rFonts w:ascii="Amiri" w:hAnsi="Amiri" w:eastAsia="Amiri" w:cs="Amiri"/>
          <w:color w:val="111111"/>
          <w:sz w:val="28"/>
          <w:sz w:val="28"/>
          <w:szCs w:val="28"/>
          <w:rtl w:val="true"/>
          <w:lang w:bidi="ar-SA"/>
        </w:rPr>
        <w:t>وَمَع العجز يُصلّي بما يَحسُن</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0477863_73709187"/>
      <w:bookmarkStart w:id="178" w:name="_Toc67"/>
      <w:bookmarkEnd w:id="177"/>
      <w:r>
        <w:rPr>
          <w:rtl w:val="true"/>
        </w:rPr>
        <w:t>حكم من لا يُحسِن القراءة، ولا يتمكّن من التعلّم</w:t>
      </w:r>
      <w:bookmarkEnd w:id="178"/>
    </w:p>
    <w:p>
      <w:pPr>
        <w:pStyle w:val="BookText"/>
        <w:rPr/>
      </w:pPr>
      <w:r>
        <w:rPr>
          <w:rFonts w:ascii="Amiri" w:hAnsi="Amiri" w:eastAsia="Amiri" w:cs="Amiri"/>
          <w:color w:val="111111"/>
          <w:sz w:val="28"/>
          <w:sz w:val="28"/>
          <w:szCs w:val="28"/>
          <w:rtl w:val="true"/>
          <w:lang w:bidi="ar-SA"/>
        </w:rPr>
        <w:t xml:space="preserve">ثمّ إنّه لا خلاف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يقرأ ما تيسّر منها، وتصحّ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 يُحسن القراءة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يُحسن الفاتحة وحدها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يُحسنها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قراءتها ملحونة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إلّاعلى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 غيره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تمكّن من قراءة الفاتحة تامّة، ولم يكن عدم تمكّنه من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تقصير، فيُجزي في حقّه الحمد وحدها، وتصحّ صلاته؛ لأنّه مقتضى الجمع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تَدَعُ بحال</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وأصالة البراءة </w:t>
      </w:r>
    </w:p>
    <w:p>
      <w:pPr>
        <w:pStyle w:val="BookText"/>
        <w:rPr/>
      </w:pPr>
      <w:r>
        <w:rPr>
          <w:rFonts w:ascii="Amiri" w:hAnsi="Amiri" w:eastAsia="Amiri" w:cs="Amiri"/>
          <w:color w:val="111111"/>
          <w:sz w:val="28"/>
          <w:sz w:val="28"/>
          <w:szCs w:val="28"/>
          <w:rtl w:val="true"/>
          <w:lang w:bidi="ar-SA"/>
        </w:rPr>
        <w:t xml:space="preserve">عن وجوب التعويض عن المجهول، لعدم تماميّة شيءٍ من ما استدلّ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واستحالة التكليف بما لا يطاق، ولكن ذلك فيما إذا لم يتمكّن من الائتمام بناءً على كون الائتمام مسقطاً لها، لا يعتبر عدم التمكّن منه، إذ معنى ذلك اشتراط وجوب القراءة بعدم الائتمام، وعليه، فلا مقتضي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عدم تمكّنه من السّورة عن تقصير، فيُشكل الحكم بصحّة صلاته لأنّه كان قادراً على إتيان الصَّلاة تامّة الأجزاء والشرائط، فإجزاء الناقصة في حقّه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معناه إنّ المكلّف تجبُ عليه الصَّلاة في جميع حالاته بحسب وسعه، لا أنّه يجبُ عليه الصَّلاة الناقصة، بعد إنْ كان مكلّفاً بالتامّة، وصيّر إيجادها ممتنعاً في حقّه، ومعلوم أنّ القادر على السّورة مكلّفٌ بالصَّلاة معها على فرض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تمكّن من قراءتها مع السّورة ملحونةً‌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عدم تمكّنه من الإتيان بالقراءة تامّة عن تقصيرٍ، فحكمه حكم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يتمكّن من الائتمام أو المتابعة يأتِ بما تيسّر، ويجزي عنه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مسعدة بن صدقة،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سمعتُجعفربن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تريمن المُحرم من العجم لا يُراد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يراد من العالم الفصيح، و كذلك الأخرس فى القراءة والصَّلاة والتشهّد وما أشبه ذلك، فهذا بمنزلة العجم المُحرم، لا يُراد منه ما يُراد من العاقل المتكلّم الفصيح</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عن الإمام الصادق عليه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الأعجمي من اُمّتي ليقرأ القرآن بعجميّته، فترفعه الملائكة على عربيّته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الخبرين الاجتزاء بها، ولو مع التمكّن من الائتمام أو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الائتمام أو المتابعة بدلٌ اختياري، وهذه القراءة بدلٌ اضطراري، ولا يُنتقل إلى الاضطراري مع التمكّن من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الخبرين كون القراءة الناقصة في حقّ العاجز عن القراءة التامّة بمنزلتها في حقّ القادر، فكما أنّه مخيّر بين القراءة والائتمام، كذلك العاجز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عدم وجوب التعلّم، لأنّ عدم التعلّم يجعله موضوعاً لوجوب القراءة الناقصة، التي هي مثل التامّة من دون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الجائز كون وفاء الناقصة بالمصلحة، وكونها مثل التامّة في صورة عدم إمكان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لم يتمكّن إلّامن إتيان بعض سورة الحمد، الصادق عليه القرآن، فإنّه يجب عليه الإتيان بما تيسّر مع عدم التمكّن من الائتمام، بناءً على كونه بدلاً أو المتابعة بلا خلافٍ‌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وإنْ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استدلّ به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التعويض عن الجزء المجهول، كما عن جماعةٍ‌</w:t>
      </w:r>
      <w:r>
        <w:rPr>
          <w:rStyle w:val="FootnoteAnchor"/>
          <w:rtl w:val="true"/>
        </w:rPr>
        <w:footnoteReference w:id="305"/>
      </w:r>
      <w:r>
        <w:rPr>
          <w:rFonts w:ascii="Amiri" w:hAnsi="Amiri" w:eastAsia="Amiri" w:cs="Amiri"/>
          <w:color w:val="111111"/>
          <w:sz w:val="28"/>
          <w:sz w:val="28"/>
          <w:szCs w:val="28"/>
          <w:rtl w:val="true"/>
          <w:lang w:bidi="ar-SA"/>
        </w:rPr>
        <w:t>اختياره، بل نُسب إلى المشهور</w:t>
      </w:r>
      <w:r>
        <w:rPr>
          <w:rStyle w:val="FootnoteAnchor"/>
          <w:rtl w:val="true"/>
        </w:rPr>
        <w:footnoteReference w:id="3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فرض لزومه، هل يتعيّن الإتيان بغير ما يعلمه بقدر البقيّة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نسبته إلى المشهور، أم لا؟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للزوم التعويض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بعموم فَاقْرَؤُا ما تَيَسَّرَ مِنَ اَلْقُرْآنِ‌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خرج عنه الصَّلاة المشتملة على بدلها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وبخبر الفضل المتقدّم</w:t>
      </w:r>
      <w:r>
        <w:rPr>
          <w:rStyle w:val="FootnoteAnchor"/>
          <w:rtl w:val="true"/>
        </w:rPr>
        <w:footnoteReference w:id="313"/>
      </w:r>
      <w:r>
        <w:rPr>
          <w:rFonts w:ascii="Amiri" w:hAnsi="Amiri" w:eastAsia="Amiri" w:cs="Amiri"/>
          <w:color w:val="111111"/>
          <w:sz w:val="28"/>
          <w:sz w:val="28"/>
          <w:szCs w:val="28"/>
          <w:rtl w:val="true"/>
          <w:lang w:bidi="ar-SA"/>
        </w:rPr>
        <w:t>، الظاهر في أنّ في قراءة القرآن في الصَّلاة مصلحة، وقراءة الفاتحة ذات مصلحة اُخرى‌، فتعذّر استيفاءإحداهما لايوجبُ ترك الاُخرى‌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ما دلَّ على البدليّة عند تعذّر جميع الفاتحة، دلَّ على البدليّة عن كلّ جزءٍ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ظهوره في إرادته في الصَّلاة، مع أنّه لا ريب في عدم وجوب قراءة ما تيسّر فيها، ولا في غيرها، ولهذه القرينة يتعيّن حمل الأمر على الاستحباب، وعليه فلا وجه لحمله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لزوم قراءة الفاتحة، وبدليّة غيرها عنها تحتاج إلى دليل آخر، وعليه فإنْ كانت جزئيّتها باقية في حال العجز، لزم سقوط الصَّلاة، وإلّا فيجب الإتيان بغيرها من الأجزاء والشرائط، وحيثُ أنّ مقتضى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تدعُ بحال</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عدم سقوط الصَّلاة بمجرّد العجز عن قراءة الفاتحة، فلا محالة تكون غير معتبرة فيها، ولزوم شيء آخر عوضاً عنها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لزوم القراءة في الصَّلاة، وهي تتحقّق بإتيان بعض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بدليّة غير الفاتحة عنها عند تعذّرها، لا تعذّر بعضها، فثبوتها في هذه الحال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w:t>
      </w:r>
      <w:r>
        <w:rPr>
          <w:rStyle w:val="FootnoteAnchor"/>
          <w:rtl w:val="true"/>
        </w:rPr>
        <w:footnoteReference w:id="315"/>
      </w:r>
      <w:r>
        <w:rPr>
          <w:rFonts w:ascii="Amiri" w:hAnsi="Amiri" w:eastAsia="Amiri" w:cs="Amiri"/>
          <w:color w:val="111111"/>
          <w:sz w:val="28"/>
          <w:sz w:val="28"/>
          <w:szCs w:val="28"/>
          <w:rtl w:val="true"/>
          <w:lang w:bidi="ar-SA"/>
        </w:rPr>
        <w:t>من أنّ المرجع في دوران الأمر بين الأقلّ والأكثر الارتباطيين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لزوم التعويض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يكن العجز عن القراءة عن تقصير، وإلّا فحكمه حكم سابقيه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الاجتزاء بالصَّلاة مع القراءة الناقصة، وعليه فيجبُ عليه الإتيان بالصَّلاة معها في الوقت، والإتيان بها مع القراءة التامّة في خارجه، للعلم الإجمالي بوجوب إحداهما،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لا يَحُسُن شيئاً من القراءة، فيقرأ من سائر القرآن، كما هو المشهور بين الأصحاب،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فإنْ كان معك قرآنٌ فاقرأ به، وإلّا فاحمِد اللّه وهلّله وكبّره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 منجبرٌ بنقل الأصحاب له في كتبهم على وجه الاعتماد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من الصَّلاة الركوع والسّجود، ألا ترى لو أنّ رجلاً دخل في الإسلام لايحسن أنْ يقرأ القرآن، أجزأه أنْ يُكبِّر ويُسبِّح ويُصلّي</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عن خصوص الفاتحة خلاف الظاهر، فهما يدلّان على أنّ الاجتزاء بالذِّكر إنّما يكون عند عدم التمكّن من قراءة القرآن، وإلّا فهي تقدّم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وخبر الفضل المتقدّم</w:t>
      </w:r>
      <w:r>
        <w:rPr>
          <w:rStyle w:val="FootnoteAnchor"/>
          <w:rtl w:val="true"/>
        </w:rPr>
        <w:footnoteReference w:id="319"/>
      </w:r>
      <w:r>
        <w:rPr>
          <w:rFonts w:ascii="Amiri" w:hAnsi="Amiri" w:eastAsia="Amiri" w:cs="Amiri"/>
          <w:color w:val="111111"/>
          <w:sz w:val="28"/>
          <w:sz w:val="28"/>
          <w:szCs w:val="28"/>
          <w:rtl w:val="true"/>
          <w:lang w:bidi="ar-SA"/>
        </w:rPr>
        <w:t>الدالّ على أنّ ماهيّة القراءة مطلوبة في الصَّلاة، لحكمة عدم هجر القرآن، وخصوصيّة الفاتحة لحكمةٍ اُخرى‌، ومع عدم إمكان استيفاء الملاك الثاني، لا وجه لعدم استيفاء الأوّل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هذه النصوص، كفاية ما يسمّى قراءة، ولزوم المساواة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الحروف كما عن المشهور، أو في عدد الآيات ممّا لم يدلّ عليه دليل،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بأدلّة وجوب التعويض عن الفائت، المستلزم لوجوب المساواة هنا بالأولويّة القطعيّة، إذ لو لم يكتف بثلاث آياتٍ من الفاتحة، فكيف بها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خرج منه الصَّلاة المشتملة على ما يساويها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المنساق إلى الذهن من الأمر بالقراءة بدلاً عن الفاتحة لدى الجهل بها، إنّما هو لزوم الإتيان بها بمقدارٍ لا ينقص عن مقدار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عدم الدليل على لزوم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 آنفاً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أدلّة القراءة ليس ما يدلّ على بدليّتها عن الفاتحة، مع أنّ لزوم تساوي البدل والمبدّل في الصفات كالكميّة ممّا لم يدلّ عليه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يُحسِن شيئاً كبَّر اللّه وهلّله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يحسن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اللّه وهلّله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التحميد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كالإسكافي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واستوجهه الشهيد رحمه الله</w:t>
      </w:r>
      <w:r>
        <w:rPr>
          <w:rStyle w:val="FootnoteAnchor"/>
          <w:rtl w:val="true"/>
        </w:rPr>
        <w:footnoteReference w:id="326"/>
      </w:r>
      <w:r>
        <w:rPr>
          <w:rFonts w:ascii="IRNazanin" w:hAnsi="IRNazanin" w:eastAsia="IRNazanin"/>
          <w:color w:val="111111"/>
          <w:sz w:val="28"/>
          <w:sz w:val="28"/>
          <w:szCs w:val="28"/>
          <w:rtl w:val="true"/>
          <w:lang w:bidi="fa-IR"/>
        </w:rPr>
        <w:t>، وتبعه المحقّق</w:t>
      </w:r>
    </w:p>
    <w:p>
      <w:pPr>
        <w:pStyle w:val="BookText"/>
        <w:rPr/>
      </w:pPr>
      <w:r>
        <w:rPr>
          <w:rFonts w:ascii="Amiri" w:hAnsi="Amiri" w:eastAsia="Amiri" w:cs="Amiri"/>
          <w:color w:val="111111"/>
          <w:sz w:val="28"/>
          <w:sz w:val="28"/>
          <w:szCs w:val="28"/>
          <w:rtl w:val="true"/>
          <w:lang w:bidi="ar-SA"/>
        </w:rPr>
        <w:t>والشهيد الثانيان</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بتعيّن التسبيحات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وعبائر النصوص أيضاً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أن يكبّر ويُسبّح ويُصلّي</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تكبيرة الإحرام، فمفاده كفاية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فأحمِد اللّه وهلّله وكَبّره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سأل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استطيع أن أحفظ شيئاً من القرآن فماذا أصنع‌؟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به أحوط، جمعاً بين النصوص والفتاوى، وإنْ كان الأقوى كفاية مطلق الذِّكر، كما يشهد به اختلاف الأخبار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المشهور</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أنْ يكون الذِّكر بقدر القراءة، واستدلّ له بالوجوه المذكورة، لوجوب المساواة فيمن يُحسِن قراءة غير الفاتحة من القرآن، لكن 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الوجوب للأصل وإطلاق أدلّة الذِّكر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79" w:name="pg11800_96894"/>
    </w:p>
    <w:p>
      <w:pPr>
        <w:pStyle w:val="BookText"/>
        <w:rPr/>
      </w:pPr>
      <w:bookmarkEnd w:id="179"/>
      <w:r>
        <w:rPr>
          <w:rFonts w:ascii="Amiri" w:hAnsi="Amiri" w:eastAsia="Amiri" w:cs="Amiri"/>
          <w:color w:val="111111"/>
          <w:sz w:val="28"/>
          <w:sz w:val="28"/>
          <w:szCs w:val="28"/>
          <w:rtl w:val="true"/>
          <w:lang w:bidi="ar-SA"/>
        </w:rPr>
        <w:t>والأخرس يُحرّك لسانه، ويَعقد بها قلبه</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0477865_73709187"/>
      <w:bookmarkStart w:id="181" w:name="_Toc68"/>
      <w:bookmarkEnd w:id="180"/>
      <w:r>
        <w:rPr>
          <w:rtl w:val="true"/>
        </w:rPr>
        <w:t>قراءة الأخرس</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والأخرس يحرّك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ويشير بإصبعه كماصرّح به غير واحدٍ</w:t>
      </w:r>
      <w:r>
        <w:rPr>
          <w:rStyle w:val="FootnoteAnchor"/>
          <w:rtl w:val="true"/>
        </w:rPr>
        <w:footnoteReference w:id="332"/>
      </w:r>
      <w:r>
        <w:rPr>
          <w:rFonts w:ascii="Amiri" w:hAnsi="Amiri" w:eastAsia="Amiri" w:cs="Amiri"/>
          <w:color w:val="111111"/>
          <w:sz w:val="28"/>
          <w:sz w:val="28"/>
          <w:szCs w:val="28"/>
          <w:rtl w:val="true"/>
          <w:lang w:bidi="ar-SA"/>
        </w:rPr>
        <w:t>، ويشهد لهما خبر السكوني،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تلبية الأخرس وتشهّده وقراءته القرآن في الصَّلاة، تحريك لسانه، وإشارته بإصبعه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ويَعقد بها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يقصد بحركة اللّسان، كونها حركةً للقراءة، أي الألفاظ المحكيّة بها لا معناها، والوجه في اعتباره، عدم تأتي قصد امتثال الأمر المتوجّه إليه إلّا به، لأنّ الحركة بنفسها تصلح لغير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تطبيق الحركة على حروف القراءة جُزءً فجزء، بحيث يكون صوته بمنزلة كلامٍ غير متمايزة الحروف في حقّ من سمع ألفاظ القراءة وأتقنها، بل تكلّم بها مدة، ممّا لم يدلّ عليه دليل، وكون ذلك قراءته لا يقتضيه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الإشكال في وجوب ما ذكرناه للأخرس، الذي لم يعرف إنّ في الوجود كلاماً ولفظاً، في غير محلّه، إذ دعوى عدم إمكان ذلك فيه، مندفعة بتمكّنه من القصد إلى مايفعله الناطق إجمالاً، فوجوب عقد قلبه، بمعنى آيات القراءة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الأخرس بأقسامه واحدٌ، وهو أن يحرّك لسانه، ويُشير بإصبعه، مع عقد قلبه للألفاظ المحكيّة بالقراءة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ظهر ما في كلام الشيخ الأعظم الأنصاري رحمه الله، فلاحظه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182" w:name="pg11800_96895"/>
    </w:p>
    <w:p>
      <w:pPr>
        <w:pStyle w:val="BookText"/>
        <w:rPr/>
      </w:pPr>
      <w:bookmarkEnd w:id="182"/>
      <w:r>
        <w:rPr>
          <w:rFonts w:ascii="Amiri" w:hAnsi="Amiri" w:eastAsia="Amiri" w:cs="Amiri"/>
          <w:color w:val="111111"/>
          <w:sz w:val="28"/>
          <w:sz w:val="28"/>
          <w:szCs w:val="28"/>
          <w:rtl w:val="true"/>
          <w:lang w:bidi="ar-SA"/>
        </w:rPr>
        <w:t>ويتخيّر في الثالثة والرابعة بينها وبين التسبيح أربعاً</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0477867_73709187"/>
      <w:bookmarkStart w:id="184" w:name="_Toc69"/>
      <w:bookmarkEnd w:id="183"/>
      <w:r>
        <w:rPr>
          <w:rtl w:val="true"/>
        </w:rPr>
        <w:t>ما يجبُ في الرّكعات الأخيرة</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الثالثة والرابعة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قراءة الحمد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التسبيح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وغيرها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والأخباربه قريبة من المتواتر، بل هي متواترة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حنظلة،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الأخيرتين ما أصنع فيهما؟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فاتحة الكتاب، وإنْ شئتَ فاذكر اللّه فهو فيه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سواء، إنْ شئتَ سبَّحت وإنْ شئتَ قرأت</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التوقيع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عن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إليه يسأله عن الرّكعتين الأخيرتين، وقد كَثُرت فيهما الروايات، فبعضٌ يروي أنّ قراءة الحمد وحدها أفضل، وبعضٌ يروي أنّ التسبيح أفضل، فالفضل لأيّهما لنستعمله‌؟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نسَخت قراءة أُمّ الكتاب في هاتين الرّكعتين التسبيح، والذي نَسَخ التسبيح قول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صلاةٍ لا قراءة فيها فهي خَداج، إلّاللعليل أو مَنْ يكثر عليه السّهو، فيتخوّف بطلان الصَّلاة عليه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وأن يُحمل على الأفضليّة، بل لعلّها الظاهرة منه، كما يشهد به أنّ السؤال وقع عنها بعد المفروغيّة عن أصل الجواز، فيكون الجواب أيضاً مسوقاً لبيان ذلك، أو حمله على غير تلك، لئلّا ينافي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ظاهر الصدوقين</w:t>
      </w:r>
      <w:r>
        <w:rPr>
          <w:rStyle w:val="FootnoteAnchor"/>
          <w:rtl w:val="true"/>
        </w:rPr>
        <w:footnoteReference w:id="348"/>
      </w:r>
      <w:r>
        <w:rPr>
          <w:rFonts w:ascii="Amiri" w:hAnsi="Amiri" w:eastAsia="Amiri" w:cs="Amiri"/>
          <w:color w:val="111111"/>
          <w:sz w:val="28"/>
          <w:sz w:val="28"/>
          <w:szCs w:val="28"/>
          <w:rtl w:val="true"/>
          <w:lang w:bidi="ar-SA"/>
        </w:rPr>
        <w:t>وابن أبي عقيل</w:t>
      </w:r>
      <w:r>
        <w:rPr>
          <w:rStyle w:val="FootnoteAnchor"/>
          <w:rtl w:val="true"/>
        </w:rPr>
        <w:footnoteReference w:id="349"/>
      </w:r>
      <w:r>
        <w:rPr>
          <w:rFonts w:ascii="Amiri" w:hAnsi="Amiri" w:eastAsia="Amiri" w:cs="Amiri"/>
          <w:color w:val="111111"/>
          <w:sz w:val="28"/>
          <w:sz w:val="28"/>
          <w:szCs w:val="28"/>
          <w:rtl w:val="true"/>
          <w:lang w:bidi="ar-SA"/>
        </w:rPr>
        <w:t>من تعيّن التسبيح، للنّهي عن القراءة في بعض النصوص الآتية، وللأمر بالتسبيح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مصادمة للإجماع، وللقطعيّ من النصوص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فلابدّ من حمل</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على الرخصة، والنهي على إرادة أفضليّة التسبيح، وستعرف ما يقتضيه الجمع بين هذه النصوص وبين ما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المشهور ثبوت التخيير لناسي القراءة في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القراءة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نسي القراءة في الأوليتين قرأ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نَسي القراءة في الأولتين، وذكرها في الأخيرتين‌؟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القراءة والتكبير والتسبيح الذي فاته في الأُولتين، ولا شيء عليه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عن محلّ الكلام، إذ الظاهر منه رجحان القضاء بعد التسليم، نعم بناءً على ما في بعض الكتب</w:t>
      </w:r>
      <w:r>
        <w:rPr>
          <w:rStyle w:val="FootnoteAnchor"/>
          <w:rtl w:val="true"/>
        </w:rPr>
        <w:footnoteReference w:id="354"/>
      </w:r>
      <w:r>
        <w:rPr>
          <w:rFonts w:ascii="Amiri" w:hAnsi="Amiri" w:eastAsia="Amiri" w:cs="Amiri"/>
          <w:color w:val="111111"/>
          <w:sz w:val="28"/>
          <w:sz w:val="28"/>
          <w:szCs w:val="28"/>
          <w:rtl w:val="true"/>
          <w:lang w:bidi="ar-SA"/>
        </w:rPr>
        <w:t xml:space="preserve">، من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للاستدلال به وجهٌ‌، وإنْ كان يردُ عليه أنّ الظاهر منه حينئذٍ قضاء ما في الأُولتين في الأخيرتين، من غير إخلالٍ بما هو وظيفتهما، وعليه فلعدم القائل به منا يحمل على التقيّة، مع أنّ الزيادة المذكورة لم تثبت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لزوم الإتيان بها في أيّ موضع من الصَّلاة شاء، بل مفاده نفي الصَّلاة عند تركها في موضعها المقرّر لها شرعاً، فيكون أجنبيّاً عن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الحسين بن حمّاد،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عن القراءة في الركعة الأُولى؟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الثانية‌؟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صلاتي كلّها؟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 الركوع والسّجود فقد تمّت صلاتك</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ضعفه في نفسه، وإعراض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بصحيح معاوية بن عمّار،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يَسهو عن القراءة في الرّكعتين الأولتين، فيذكر في الرّكعتين الأخيرتين إنّه لم يقرأ؟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الركوع والسّجود؟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أجعل آخر صلاتي أوّلها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 أنْ يقرأ في الأُولى والثانية، أجزأه تسبيح الركوع والسّجود</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الجمع بينهما وبين الخبر، بحمل الخبر على الفضل والاستحباب؛ لظهور الصحيح في أنّ النسيان لا يوجب تغيّر ما هو وظيفة الأخيرتين، فالخبر معارضٌ بالصحيح والموثّق، والترجيح معهما لوجوه لا تخفى‌</w:t>
      </w:r>
      <w:r>
        <w:rPr>
          <w:rFonts w:eastAsia="Amiri" w:cs="Amiri" w:ascii="Amiri" w:hAnsi="Amiri"/>
          <w:color w:val="111111"/>
          <w:sz w:val="28"/>
          <w:szCs w:val="28"/>
          <w:rtl w:val="true"/>
          <w:lang w:bidi="ar-SA"/>
        </w:rPr>
        <w:t xml:space="preserve">.). </w:t>
      </w:r>
      <w:bookmarkStart w:id="185" w:name="pg11800_96899"/>
    </w:p>
    <w:p>
      <w:pPr>
        <w:pStyle w:val="Heading6"/>
        <w:numPr>
          <w:ilvl w:val="5"/>
          <w:numId w:val="1"/>
        </w:numPr>
        <w:rPr/>
      </w:pPr>
      <w:bookmarkStart w:id="186" w:name="__RefHeading___Toc10477869_73709187"/>
      <w:bookmarkStart w:id="187" w:name="_Toc70"/>
      <w:bookmarkEnd w:id="185"/>
      <w:bookmarkEnd w:id="186"/>
      <w:r>
        <w:rPr>
          <w:rtl w:val="true"/>
        </w:rPr>
        <w:t>القراءة أفضل أو التسبيح</w:t>
      </w:r>
      <w:bookmarkEnd w:id="187"/>
    </w:p>
    <w:p>
      <w:pPr>
        <w:pStyle w:val="BookText"/>
        <w:rPr/>
      </w:pPr>
      <w:r>
        <w:rPr>
          <w:rFonts w:ascii="Amiri" w:hAnsi="Amiri" w:eastAsia="Amiri" w:cs="Amiri"/>
          <w:color w:val="111111"/>
          <w:sz w:val="28"/>
          <w:sz w:val="28"/>
          <w:szCs w:val="28"/>
          <w:rtl w:val="true"/>
          <w:lang w:bidi="ar-SA"/>
        </w:rPr>
        <w:t>ثمّ إنّ للأصحاب في ترجيح التسبيح على القراءة خلافٌمنشأه اختلاف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 ظاهر الصدوقين</w:t>
      </w:r>
      <w:r>
        <w:rPr>
          <w:rStyle w:val="FootnoteAnchor"/>
          <w:rtl w:val="true"/>
        </w:rPr>
        <w:footnoteReference w:id="359"/>
      </w:r>
      <w:r>
        <w:rPr>
          <w:rFonts w:ascii="Amiri" w:hAnsi="Amiri" w:eastAsia="Amiri" w:cs="Amiri"/>
          <w:color w:val="111111"/>
          <w:sz w:val="28"/>
          <w:sz w:val="28"/>
          <w:szCs w:val="28"/>
          <w:rtl w:val="true"/>
          <w:lang w:bidi="ar-SA"/>
        </w:rPr>
        <w:t>، وابن أبي عقيل</w:t>
      </w:r>
      <w:r>
        <w:rPr>
          <w:rStyle w:val="FootnoteAnchor"/>
          <w:rtl w:val="true"/>
        </w:rPr>
        <w:footnoteReference w:id="360"/>
      </w:r>
      <w:r>
        <w:rPr>
          <w:rFonts w:ascii="Amiri" w:hAnsi="Amiri" w:eastAsia="Amiri" w:cs="Amiri"/>
          <w:color w:val="111111"/>
          <w:sz w:val="28"/>
          <w:sz w:val="28"/>
          <w:szCs w:val="28"/>
          <w:rtl w:val="true"/>
          <w:lang w:bidi="ar-SA"/>
        </w:rPr>
        <w:t>، والحِلّي</w:t>
      </w:r>
      <w:r>
        <w:rPr>
          <w:rStyle w:val="FootnoteAnchor"/>
          <w:rtl w:val="true"/>
        </w:rPr>
        <w:footnoteReference w:id="361"/>
      </w:r>
      <w:r>
        <w:rPr>
          <w:rFonts w:ascii="Amiri" w:hAnsi="Amiri" w:eastAsia="Amiri" w:cs="Amiri"/>
          <w:color w:val="111111"/>
          <w:sz w:val="28"/>
          <w:sz w:val="28"/>
          <w:szCs w:val="28"/>
          <w:rtl w:val="true"/>
          <w:lang w:bidi="ar-SA"/>
        </w:rPr>
        <w:t>، وجماعة من المتأخّرين ترجيحه عليها مطلقاً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أمّاالحلبي</w:t>
      </w:r>
      <w:r>
        <w:rPr>
          <w:rStyle w:val="FootnoteAnchor"/>
          <w:rtl w:val="true"/>
        </w:rPr>
        <w:footnoteReference w:id="363"/>
      </w:r>
      <w:r>
        <w:rPr>
          <w:rFonts w:ascii="Amiri" w:hAnsi="Amiri" w:eastAsia="Amiri" w:cs="Amiri"/>
          <w:color w:val="111111"/>
          <w:sz w:val="28"/>
          <w:sz w:val="28"/>
          <w:szCs w:val="28"/>
          <w:rtl w:val="true"/>
          <w:lang w:bidi="ar-SA"/>
        </w:rPr>
        <w:t>، والشهيد</w:t>
      </w:r>
      <w:r>
        <w:rPr>
          <w:rStyle w:val="FootnoteAnchor"/>
          <w:rtl w:val="true"/>
        </w:rPr>
        <w:footnoteReference w:id="364"/>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فقد رجّحوا القراءة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قال إنّه للإمام والتسوية في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وعن غيرها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إلى المشهور أنّ القراءة للإمام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للمأموم والقراءة للإمام، والتساوي للمنفرد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لأفضليّة التسبيح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الأخيرتين، لا تقرأ فيهما،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وسبحان اللّه واللّه أكبر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صار التسبيح في الأخيرتين أفضل من القراءة‌؟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التسبيح أفضل من القراءة، لأنّ النبيّ صلى الله عليه و آله لمّا كان في الأخيرتين، ذكر ما رأى من عظمة اللّه عزّ وجلّ فدهش،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 فلذلك صار التسبيح أفضل من القراءة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النبيّ صلى الله عليه و آله سبع ركعات ليس فيهنّ قراءة</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تعارضها طائفتان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صريح في المساواة، وعدم أفضليّة إحداهما على الاُخرى‌، كموثّق ابن حنظلة المتقدّم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أفضليّة القراءة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كالتوقيع المرويّ عن الحميري، المتقدّم في أوّل المبحث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القراءة في الرّكعتين الأخيرتين أو التسبيح‌؟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أفضل</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هذه الطوائف، يقتضي حمل نصوص أفضليّة التسبيح على المأموم، ونصوص أفضليّة القراءة على الإمام، ونصوص المساواة على المنفرد، بشهادة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القراءة خلف الإمام في الرّكعتين الأخيرتين‌؟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يقرأ فاتحة الكتاب، ومَنْ خَلفه يسبّح، فإذا كنتَ وحدك فاقرأ فيهما وإنْ شئتَ فسبّح</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منصور،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فاقرأ في الرّكعتين الأخيرتين بفاتحة الكتاب، وإنْ كنتَ وحدك فيسعك فعلت أو لم تفعل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صحيحتا زرارة</w:t>
      </w:r>
      <w:r>
        <w:rPr>
          <w:rStyle w:val="FootnoteAnchor"/>
          <w:rtl w:val="true"/>
        </w:rPr>
        <w:footnoteReference w:id="376"/>
      </w:r>
      <w:r>
        <w:rPr>
          <w:rFonts w:ascii="Amiri" w:hAnsi="Amiri" w:eastAsia="Amiri" w:cs="Amiri"/>
          <w:color w:val="111111"/>
          <w:sz w:val="28"/>
          <w:sz w:val="28"/>
          <w:szCs w:val="28"/>
          <w:rtl w:val="true"/>
          <w:lang w:bidi="ar-SA"/>
        </w:rPr>
        <w:t>وجميل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وإنْ كان تعيّن الفاتحة على الإمام، إلّاأنّها تُحمل على الفضل؛ للروايات الصريحة في عدم التعيّن، كصحيح زرارة، عن الإمام الباقر عليه السلام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تقرأنّ في الرّكعتين الأخيرتين من الأربع ركعات المفروضات شيئاً، إماماً كنتَ أو 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إماماً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 ثلاث مرّات، ثمّ تُكبّر وتركع</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نفي وجوبها الثابت في الأوليين، أو نفي كونها من حيث إنّها قراءة معتبرة فيهما، وإنْ جاز الإتيان بها من حيث إنّها ذكرٌ ودعاء، كما يشهد به صحيح ابن زرارة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الرّكعتين الأخيرتين من الظهر؟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وتستغفر، وإنْ شئتَ فاتحة الكتاب فإنّها تحميدٌ ودعاء</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ظهورها في تعيّن التسبيح لابدَّ وأن تُرفع اليد عنه، للأخبار المتضمّنة لأفضليّة التسبيح، الدالّة على جواز تركه والإتيان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 الجمع المزبور، بظهور بعض النصوص في أفضليّة التسبيح حتّى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رجاء بن أبي 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صَحب الرضا عليه السلام من المدينة إلى مرو، فكان يسبِّح في الأخراوين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إذا صَلّى يقرأ في الأولتين من صلاته الظهر سرّاً، ويسبّح في الأخيرتين من صلاته الظهر على نحو من صلاته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وتشير إليه النصوص الدالّة على أنّ المجعول في الأخيرتين هو التسبيح،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خبر رجاء ضعيف السّند جدّاً، والموثّق حكايةُ عملٍ مجملٍ‌، لإحتمال أنْ يكون المراد وقت ما يُصلّي وحده، أو خلف من يقرأ خلفه، والنصوص الدالّة على أنّ المجعول فيهما التسبيح، محمولة على أنّه مجعولٌ ابتداءً كما عرفت آنفاً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 الأفضل للإمام القراءة، وللمأموم التسبيح، وللمنفرد هما سواء</w:t>
      </w:r>
      <w:r>
        <w:rPr>
          <w:rFonts w:eastAsia="Amiri" w:cs="Amiri" w:ascii="Amiri" w:hAnsi="Amiri"/>
          <w:color w:val="111111"/>
          <w:sz w:val="28"/>
          <w:szCs w:val="28"/>
          <w:rtl w:val="true"/>
          <w:lang w:bidi="ar-SA"/>
        </w:rPr>
        <w:t xml:space="preserve">.). </w:t>
      </w:r>
      <w:bookmarkStart w:id="188" w:name="pg11800_96903"/>
    </w:p>
    <w:p>
      <w:pPr>
        <w:pStyle w:val="BookText"/>
        <w:rPr/>
      </w:pPr>
      <w:bookmarkEnd w:id="188"/>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0477871_73709187"/>
      <w:bookmarkStart w:id="190" w:name="_Toc71"/>
      <w:bookmarkEnd w:id="189"/>
      <w:r>
        <w:rPr>
          <w:rtl w:val="true"/>
        </w:rPr>
        <w:t>إجزاء المرّة من التسبيحات</w:t>
      </w:r>
      <w:bookmarkEnd w:id="190"/>
    </w:p>
    <w:p>
      <w:pPr>
        <w:pStyle w:val="BookText"/>
        <w:rPr/>
      </w:pPr>
      <w:r>
        <w:rPr>
          <w:rFonts w:ascii="Amiri" w:hAnsi="Amiri" w:eastAsia="Amiri" w:cs="Amiri"/>
          <w:color w:val="111111"/>
          <w:sz w:val="28"/>
          <w:sz w:val="28"/>
          <w:szCs w:val="28"/>
          <w:rtl w:val="true"/>
          <w:lang w:bidi="ar-SA"/>
        </w:rPr>
        <w:t xml:space="preserve">ثمّ إنّه لأصحابنا في تعيين الذِّكر الواجب في الأخيرتين،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الشيخين</w:t>
      </w:r>
      <w:r>
        <w:rPr>
          <w:rStyle w:val="FootnoteAnchor"/>
          <w:rtl w:val="true"/>
        </w:rPr>
        <w:footnoteReference w:id="382"/>
      </w:r>
      <w:r>
        <w:rPr>
          <w:rFonts w:ascii="Amiri" w:hAnsi="Amiri" w:eastAsia="Amiri" w:cs="Amiri"/>
          <w:color w:val="111111"/>
          <w:sz w:val="28"/>
          <w:sz w:val="28"/>
          <w:szCs w:val="28"/>
          <w:rtl w:val="true"/>
          <w:lang w:bidi="ar-SA"/>
        </w:rPr>
        <w:t>، والفاضلين</w:t>
      </w:r>
      <w:r>
        <w:rPr>
          <w:rStyle w:val="FootnoteAnchor"/>
          <w:rtl w:val="true"/>
        </w:rPr>
        <w:footnoteReference w:id="383"/>
      </w:r>
      <w:r>
        <w:rPr>
          <w:rFonts w:ascii="Amiri" w:hAnsi="Amiri" w:eastAsia="Amiri" w:cs="Amiri"/>
          <w:color w:val="111111"/>
          <w:sz w:val="28"/>
          <w:sz w:val="28"/>
          <w:szCs w:val="28"/>
          <w:rtl w:val="true"/>
          <w:lang w:bidi="ar-SA"/>
        </w:rPr>
        <w:t>، والشهيدين</w:t>
      </w:r>
      <w:r>
        <w:rPr>
          <w:rStyle w:val="FootnoteAnchor"/>
          <w:rtl w:val="true"/>
        </w:rPr>
        <w:footnoteReference w:id="384"/>
      </w:r>
      <w:r>
        <w:rPr>
          <w:rFonts w:ascii="Amiri" w:hAnsi="Amiri" w:eastAsia="Amiri" w:cs="Amiri"/>
          <w:color w:val="111111"/>
          <w:sz w:val="28"/>
          <w:sz w:val="28"/>
          <w:szCs w:val="28"/>
          <w:rtl w:val="true"/>
          <w:lang w:bidi="ar-SA"/>
        </w:rPr>
        <w:t>، وغيرهم</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 سُبحان اللّه، والحَمدُ للّهِ‌، ولا إله إلّااللّه،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ويُجزي ذلك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إنّه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حُكي</w:t>
      </w:r>
      <w:r>
        <w:rPr>
          <w:rStyle w:val="FootnoteAnchor"/>
          <w:rtl w:val="true"/>
        </w:rPr>
        <w:footnoteReference w:id="387"/>
      </w:r>
      <w:r>
        <w:rPr>
          <w:rFonts w:ascii="Amiri" w:hAnsi="Amiri" w:eastAsia="Amiri" w:cs="Amiri"/>
          <w:color w:val="111111"/>
          <w:sz w:val="28"/>
          <w:sz w:val="28"/>
          <w:szCs w:val="28"/>
          <w:rtl w:val="true"/>
          <w:lang w:bidi="ar-SA"/>
        </w:rPr>
        <w:t>الإجماع عليه في بعض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الرّكعتين الأخيرتين‌؟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 وتكبّر وتركع</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وظهوره في الاكتفاء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بضميمة تعرّضه عليه السلام لبيان تكبير الركوع مع عدم السؤال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بل لا يَبعُد صراحته في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بأنّ في طريقه محمّد بن إسماعيل، وهو مشتركٌ بين جماعةٍ‌ </w:t>
      </w:r>
    </w:p>
    <w:p>
      <w:pPr>
        <w:pStyle w:val="BookText"/>
        <w:rPr/>
      </w:pPr>
      <w:r>
        <w:rPr>
          <w:rFonts w:ascii="Amiri" w:hAnsi="Amiri" w:eastAsia="Amiri" w:cs="Amiri"/>
          <w:color w:val="111111"/>
          <w:sz w:val="28"/>
          <w:sz w:val="28"/>
          <w:szCs w:val="28"/>
          <w:rtl w:val="true"/>
          <w:lang w:bidi="ar-SA"/>
        </w:rPr>
        <w:t>منهم الضعيف، ولا قرينة على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مضافاً إلى أنّ الكليني رحمه الله رواه مقتصراً عليه</w:t>
      </w:r>
      <w:r>
        <w:rPr>
          <w:rStyle w:val="FootnoteAnchor"/>
          <w:rtl w:val="true"/>
        </w:rPr>
        <w:footnoteReference w:id="390"/>
      </w:r>
      <w:r>
        <w:rPr>
          <w:rFonts w:ascii="Amiri" w:hAnsi="Amiri" w:eastAsia="Amiri" w:cs="Amiri"/>
          <w:color w:val="111111"/>
          <w:sz w:val="28"/>
          <w:sz w:val="28"/>
          <w:szCs w:val="28"/>
          <w:rtl w:val="true"/>
          <w:lang w:bidi="ar-SA"/>
        </w:rPr>
        <w:t>، والشيخ ذَكره في كتابيه في صدر الأخبار الواردة في الباب</w:t>
      </w:r>
      <w:r>
        <w:rPr>
          <w:rStyle w:val="FootnoteAnchor"/>
          <w:rtl w:val="true"/>
        </w:rPr>
        <w:footnoteReference w:id="391"/>
      </w:r>
      <w:r>
        <w:rPr>
          <w:rFonts w:ascii="Amiri" w:hAnsi="Amiri" w:eastAsia="Amiri" w:cs="Amiri"/>
          <w:color w:val="111111"/>
          <w:sz w:val="28"/>
          <w:sz w:val="28"/>
          <w:szCs w:val="28"/>
          <w:rtl w:val="true"/>
          <w:lang w:bidi="ar-SA"/>
        </w:rPr>
        <w:t>، ووَصَفه جماعةٌ من الأساطين منهم المصنّف</w:t>
      </w:r>
      <w:r>
        <w:rPr>
          <w:rStyle w:val="FootnoteAnchor"/>
          <w:rtl w:val="true"/>
        </w:rPr>
        <w:footnoteReference w:id="392"/>
      </w:r>
      <w:r>
        <w:rPr>
          <w:rFonts w:ascii="Amiri" w:hAnsi="Amiri" w:eastAsia="Amiri" w:cs="Amiri"/>
          <w:color w:val="111111"/>
          <w:sz w:val="28"/>
          <w:sz w:val="28"/>
          <w:szCs w:val="28"/>
          <w:rtl w:val="true"/>
          <w:lang w:bidi="ar-SA"/>
        </w:rPr>
        <w:t>والشهيد</w:t>
      </w:r>
      <w:r>
        <w:rPr>
          <w:rStyle w:val="FootnoteAnchor"/>
          <w:rtl w:val="true"/>
        </w:rPr>
        <w:footnoteReference w:id="393"/>
      </w:r>
      <w:r>
        <w:rPr>
          <w:rFonts w:ascii="Amiri" w:hAnsi="Amiri" w:eastAsia="Amiri" w:cs="Amiri"/>
          <w:color w:val="111111"/>
          <w:sz w:val="28"/>
          <w:sz w:val="28"/>
          <w:szCs w:val="28"/>
          <w:rtl w:val="true"/>
          <w:lang w:bidi="ar-SA"/>
        </w:rPr>
        <w:t>والمحقّق الثاني</w:t>
      </w:r>
      <w:r>
        <w:rPr>
          <w:rStyle w:val="FootnoteAnchor"/>
          <w:rtl w:val="true"/>
        </w:rPr>
        <w:footnoteReference w:id="394"/>
      </w:r>
      <w:r>
        <w:rPr>
          <w:rFonts w:ascii="Amiri" w:hAnsi="Amiri" w:eastAsia="Amiri" w:cs="Amiri"/>
          <w:color w:val="111111"/>
          <w:sz w:val="28"/>
          <w:sz w:val="28"/>
          <w:szCs w:val="28"/>
          <w:rtl w:val="true"/>
          <w:lang w:bidi="ar-SA"/>
        </w:rPr>
        <w:t xml:space="preserve">بالصحّة، بل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وصحيح الحلبي أصحّ ما بلغنا في هذا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محمّد بن إسماعيل هذا يُعرَف بالبندقي وهو نيسابوريٌ‌، وهو من مشايخ الإجازة، وروى عنه الكليني رحمه الله ما يزيد على خمسمائة حديث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النجفيّة</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وهذا كاشفٌ عن جلالة قدره، بل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من أنّ الظاهر أنّ كتب الفضل رحمه الله كانت موجودة بعينها في زمن الكليني، وأنّ محمّد بن إسماعيل هذا ذُكر لمجرّد اتّصال السند، فالصحيح من حيث السند والدلالة ممّا لا مجال للخدشة فيه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مختصرالمصباح</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تكرار الذِّكر المذكور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له على مستندٌ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بتوقّف اليقين بالبراءة من يقين الشُّغل على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تقارب البدل والمبدل عنه، الحاصل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وبفتوى مَنْ عُلم مِنْ حالهم عدم ذكر ذلك منهم إلّابنصّ‌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رواه ابن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نقلاً عن كتاب حريز، عن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أو وحدك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ثلاث مرّات، ثمّ تكبّر وتركع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وبخبر رجاء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أصالة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يُرجع إليها في أمثال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دوران الأمر بين الأقلّ والأكثر الارتباطيين، والمرجع فيه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مورد لها، بعد دلالة الدليل على إجزاء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تقارب البدل والمبدل منه لا أصل 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وفتوى الأساطين يمكن أن تكون لبعض 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وخبر زرارة رواه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التكبير،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مثله، إلّاأنّه زاد فيه بعد التسبيحات، تكملة تسع تسبيحات،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العلّامة رحمه الله</w:t>
      </w:r>
      <w:r>
        <w:rPr>
          <w:rStyle w:val="FootnoteAnchor"/>
          <w:rtl w:val="true"/>
        </w:rPr>
        <w:footnoteReference w:id="408"/>
      </w:r>
      <w:r>
        <w:rPr>
          <w:rFonts w:ascii="Amiri" w:hAnsi="Amiri" w:eastAsia="Amiri" w:cs="Amiri"/>
          <w:color w:val="111111"/>
          <w:sz w:val="28"/>
          <w:sz w:val="28"/>
          <w:szCs w:val="28"/>
          <w:rtl w:val="true"/>
          <w:lang w:bidi="ar-SA"/>
        </w:rPr>
        <w:t>القول بالتسع إلى حريز، وذكر الخبر شاهداً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فالمتعيّن البناء على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للوثوق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الأصل فيما دار الأمر بين الثبوت والسقوط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 حينئذٍ وبين صحيح زرارة، يقتضي التخيير بين الأربع والتسع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ثبوت التكبير، فالمتعيّن حمله حينئذٍ على الاستحباب، أو الوجوب التخييري، للجمع بينه وبين 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رجاء فقد مرَّ 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مستند من قال بوجوب تسع تسبيحات، كحريز، والصدوقين</w:t>
      </w:r>
      <w:r>
        <w:rPr>
          <w:rStyle w:val="FootnoteAnchor"/>
          <w:rtl w:val="true"/>
        </w:rPr>
        <w:footnoteReference w:id="409"/>
      </w:r>
      <w:r>
        <w:rPr>
          <w:rFonts w:ascii="Amiri" w:hAnsi="Amiri" w:eastAsia="Amiri" w:cs="Amiri"/>
          <w:color w:val="111111"/>
          <w:sz w:val="28"/>
          <w:sz w:val="28"/>
          <w:szCs w:val="28"/>
          <w:rtl w:val="true"/>
          <w:lang w:bidi="ar-SA"/>
        </w:rPr>
        <w:t>، وابن أبي عقيل</w:t>
      </w:r>
      <w:r>
        <w:rPr>
          <w:rStyle w:val="FootnoteAnchor"/>
          <w:rtl w:val="true"/>
        </w:rPr>
        <w:footnoteReference w:id="410"/>
      </w:r>
      <w:r>
        <w:rPr>
          <w:rFonts w:ascii="Amiri" w:hAnsi="Amiri" w:eastAsia="Amiri" w:cs="Amiri"/>
          <w:color w:val="111111"/>
          <w:sz w:val="28"/>
          <w:sz w:val="28"/>
          <w:szCs w:val="28"/>
          <w:rtl w:val="true"/>
          <w:lang w:bidi="ar-SA"/>
        </w:rPr>
        <w:t>، وأبي الصّلاح</w:t>
      </w:r>
      <w:r>
        <w:rPr>
          <w:rStyle w:val="FootnoteAnchor"/>
          <w:rtl w:val="true"/>
        </w:rPr>
        <w:footnoteReference w:id="411"/>
      </w:r>
      <w:r>
        <w:rPr>
          <w:rFonts w:ascii="Amiri" w:hAnsi="Amiri" w:eastAsia="Amiri" w:cs="Amiri"/>
          <w:color w:val="111111"/>
          <w:sz w:val="28"/>
          <w:sz w:val="28"/>
          <w:szCs w:val="28"/>
          <w:rtl w:val="true"/>
          <w:lang w:bidi="ar-SA"/>
        </w:rPr>
        <w:t>، وما يمكن أن يورد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في بعض كتبه</w:t>
      </w:r>
      <w:r>
        <w:rPr>
          <w:rStyle w:val="FootnoteAnchor"/>
          <w:rtl w:val="true"/>
        </w:rPr>
        <w:footnoteReference w:id="412"/>
      </w:r>
      <w:r>
        <w:rPr>
          <w:rFonts w:ascii="Amiri" w:hAnsi="Amiri" w:eastAsia="Amiri" w:cs="Amiri"/>
          <w:color w:val="111111"/>
          <w:sz w:val="28"/>
          <w:sz w:val="28"/>
          <w:szCs w:val="28"/>
          <w:rtl w:val="true"/>
          <w:lang w:bidi="ar-SA"/>
        </w:rPr>
        <w:t>، والسيّد في جُمله</w:t>
      </w:r>
      <w:r>
        <w:rPr>
          <w:rStyle w:val="FootnoteAnchor"/>
          <w:rtl w:val="true"/>
        </w:rPr>
        <w:footnoteReference w:id="413"/>
      </w:r>
      <w:r>
        <w:rPr>
          <w:rFonts w:ascii="IRNazanin" w:hAnsi="IRNazanin" w:eastAsia="IRNazanin"/>
          <w:color w:val="111111"/>
          <w:sz w:val="28"/>
          <w:sz w:val="28"/>
          <w:szCs w:val="28"/>
          <w:rtl w:val="true"/>
          <w:lang w:bidi="fa-IR"/>
        </w:rPr>
        <w:t>ومصباحه</w:t>
      </w:r>
      <w:r>
        <w:rPr>
          <w:rStyle w:val="FootnoteAnchor"/>
          <w:rtl w:val="true"/>
        </w:rPr>
        <w:footnoteReference w:id="4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Pr>
        <w:footnoteReference w:id="41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عشر تسبيحات، بإثبات التكبير في الأخيرة وإسقاطه في الأوليين، واستدلّ له بصحيح زرارة المرويّ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بدعوى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تكبير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بكفاية ثلاث تسبيحات، بإسقاط التكبير، ولم أرَ له 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بثلاث تسبيحات بإسقاط التهليل، ويشهد له 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الأخيرتين لا تقرأ فيهما،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وسُبحان اللّه واللّه أكبر</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لعدم القائل ممّن يعتمد عليه به، لا يكون الاعتماد عليه موافقاًللاحتياط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سعيد</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الإكتفاء بسبحان اللّه ثلاثاً، لخبر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القول في الرّكعتين الأخيرتين، ثلاث تسبحات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لأنّ في طريقه محمّد بن علي الهَمْداني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مشتركٌ بين ابن سمينة الضعيف جدّاً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طاووس</w:t>
      </w:r>
      <w:r>
        <w:rPr>
          <w:rStyle w:val="FootnoteAnchor"/>
          <w:rtl w:val="true"/>
        </w:rPr>
        <w:footnoteReference w:id="422"/>
      </w:r>
      <w:r>
        <w:rPr>
          <w:rFonts w:ascii="Amiri" w:hAnsi="Amiri" w:eastAsia="Amiri" w:cs="Amiri"/>
          <w:color w:val="111111"/>
          <w:sz w:val="28"/>
          <w:sz w:val="28"/>
          <w:szCs w:val="28"/>
          <w:rtl w:val="true"/>
          <w:lang w:bidi="ar-SA"/>
        </w:rPr>
        <w:t>والمجلسي</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بمطلق الذِّكر،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ابن حنظلة المتقدّم في أوّل المبحث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الرّكعتين الأخيرتين من الظهر؟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وتَحمد اللّه وتستغفر لذنبك، فإنْ شئتَ فاتحة الكتاب فإنّها تحميدٌ ودعاء</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في المأموم المسبوق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الأخيرتين لا يقرأ فيهما، إنّما هو تسبيحٌ وتكبير وتهليل ودعاء، ليس فيهما قراءة</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xml:space="preserve">، بجعل الواو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الذِّكر في الموثّق الذي ذُكر في آخره التسبيح لا إطلاق له، لإحتمال أنْ يكون المراد التسبيحة الكبرى المعروفة، كما هو متعارف فيما لا يحسن تكراره في كلّ خطابٍ‌، وله صورة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يدلّ على كفاية مطلق الذِّكر، وإنّما يدلّ على لزوم التحميد والتسبيح، وحيثُ أنّ كلّ من قال بوجوبهما، فقد أوجب التهليل والتكبير عدا من لا يُعبأ بخلافه، فهو يؤيّد القول بالأربع، كما أنّ حمل الواو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الإشكال في صحيح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ذكرناه يظهر ضعف الأقوال الاُخر، مثل التخيير بين جميع ما في أخبار الباب</w:t>
      </w:r>
      <w:r>
        <w:rPr>
          <w:rStyle w:val="FootnoteAnchor"/>
          <w:rtl w:val="true"/>
        </w:rPr>
        <w:footnoteReference w:id="426"/>
      </w:r>
      <w:r>
        <w:rPr>
          <w:rFonts w:ascii="Amiri" w:hAnsi="Amiri" w:eastAsia="Amiri" w:cs="Amiri"/>
          <w:color w:val="111111"/>
          <w:sz w:val="28"/>
          <w:sz w:val="28"/>
          <w:szCs w:val="28"/>
          <w:rtl w:val="true"/>
          <w:lang w:bidi="ar-SA"/>
        </w:rPr>
        <w:t>وغيره</w:t>
      </w:r>
      <w:r>
        <w:rPr>
          <w:rStyle w:val="FootnoteAnchor"/>
          <w:rtl w:val="true"/>
        </w:rPr>
        <w:footnoteReference w:id="427"/>
      </w:r>
      <w:r>
        <w:rPr>
          <w:rFonts w:ascii="Amiri" w:hAnsi="Amiri" w:eastAsia="Amiri" w:cs="Amiri"/>
          <w:color w:val="111111"/>
          <w:sz w:val="28"/>
          <w:sz w:val="28"/>
          <w:szCs w:val="28"/>
          <w:rtl w:val="true"/>
          <w:lang w:bidi="ar-SA"/>
        </w:rPr>
        <w:t>، فلا حاجة إلى تطويل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التخيير بين الأربع والتسع، والأُولى أحوط، والأولى تكرار التسبيحات الأربع ثلاثاً، فتدبّر، وأولى منه إضافة الاستغفار إليها؛ لصحيح عُبيد المتقدّم، والظاهر أنّ المراد منه مطلق الدّعاء، لا خصوص الاستغفار، كما يشير إليه صحيح زرارة الوارد في المأموم 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الدّعاء للصحيحين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حملهما على الاستحباب، لصحيحي زرارة المتقدّمين النافيين لوجوب غير التسبيحات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91" w:name="pg11800_96910"/>
    </w:p>
    <w:p>
      <w:pPr>
        <w:pStyle w:val="Heading6"/>
        <w:numPr>
          <w:ilvl w:val="5"/>
          <w:numId w:val="1"/>
        </w:numPr>
        <w:rPr/>
      </w:pPr>
      <w:bookmarkStart w:id="192" w:name="__RefHeading___Toc10477873_73709187"/>
      <w:bookmarkStart w:id="193" w:name="_Toc72"/>
      <w:bookmarkEnd w:id="191"/>
      <w:bookmarkEnd w:id="192"/>
      <w:r>
        <w:rPr>
          <w:rtl w:val="true"/>
        </w:rPr>
        <w:t>مسائل</w:t>
      </w:r>
      <w:r>
        <w:rPr>
          <w:rtl w:val="true"/>
        </w:rPr>
        <w:t>:</w:t>
      </w:r>
      <w:bookmarkEnd w:id="193"/>
    </w:p>
    <w:p>
      <w:pPr>
        <w:pStyle w:val="Heading6"/>
        <w:numPr>
          <w:ilvl w:val="5"/>
          <w:numId w:val="1"/>
        </w:numPr>
        <w:rPr/>
      </w:pPr>
      <w:bookmarkStart w:id="194" w:name="__RefHeading___Toc10477875_73709187"/>
      <w:bookmarkStart w:id="195" w:name="_Toc73"/>
      <w:bookmarkEnd w:id="194"/>
      <w:r>
        <w:rPr>
          <w:rtl w:val="true"/>
        </w:rPr>
        <w:t>الخَلل في القِراءة</w:t>
      </w:r>
      <w:bookmarkEnd w:id="195"/>
    </w:p>
    <w:p>
      <w:pPr>
        <w:pStyle w:val="Heading6"/>
        <w:numPr>
          <w:ilvl w:val="5"/>
          <w:numId w:val="1"/>
        </w:numPr>
        <w:rPr/>
      </w:pPr>
      <w:bookmarkStart w:id="196" w:name="__RefHeading___Toc10477877_73709187"/>
      <w:bookmarkStart w:id="197" w:name="_Toc74"/>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قراءة الحمد والسّورة بناءً على وجوبها بتمامهما، ولا يجوزُ الإخلال بشيءٍ من الكلمات والحروف، أو تبديل حرفٍ بحرف، حتّى الصاد بالسين إنْ كان ممنوعاً في المحاورة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وغيره</w:t>
      </w:r>
      <w:r>
        <w:rPr>
          <w:rStyle w:val="FootnoteAnchor"/>
          <w:rtl w:val="true"/>
        </w:rPr>
        <w:footnoteReference w:id="430"/>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اسمٌ لمجموع السّورة المعيّنة المنتفية بانتفاء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يجوز الإخلال بحركة بناءٍ أو إعراب أو سكونٍ لازم، سواء أوجب الإخلال تغيّر المعنى أم لم يوجبه، لخروج اللّفظ بفقدان الصورة أيضاً عن كونه قرآناً، إذ لا ريب في أنّه كما تكون للقرآن مادّة مخصوصة، كذلك تكون له صورة خاصّة، فهي أيضاً ممّا له دخلٌ في قوام المسمّى، ولكن على وجهٍ لا ينافيه اختلاف الحركة والسكون الناشئ من الوقف أو الوصل</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0477879_73709187"/>
      <w:bookmarkStart w:id="199" w:name="_Toc75"/>
      <w:bookmarkEnd w:id="198"/>
      <w:r>
        <w:rPr>
          <w:rtl w:val="true"/>
        </w:rPr>
        <w:t>أقسام المَدّ</w:t>
      </w:r>
      <w:bookmarkEnd w:id="199"/>
    </w:p>
    <w:p>
      <w:pPr>
        <w:pStyle w:val="BookText"/>
        <w:rPr/>
      </w:pPr>
      <w:r>
        <w:rPr>
          <w:rFonts w:ascii="Amiri" w:hAnsi="Amiri" w:eastAsia="Amiri" w:cs="Amiri"/>
          <w:color w:val="111111"/>
          <w:sz w:val="28"/>
          <w:sz w:val="28"/>
          <w:szCs w:val="28"/>
          <w:rtl w:val="true"/>
          <w:lang w:bidi="ar-SA"/>
        </w:rPr>
        <w:t>وأمّا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بعد أحد حروف المَدّ، وهي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الواو المضموم ما قبلها، والألف المفتوح ما قبلها، والياء المكسور ما قبلها همزة، وكان في كلمة واحدة، ويسمّى بالمَدّ المتّصل،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وسوء، وجِىء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عدم لزومه، لعدم الشاهد عليه من اللّغة، وعدم التعرّض له في علمي النحو والصرف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للزومه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بمرفوع ابن مسعود،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كان يُقرئ رجلاً فقرأ الرّجل إِنَّمَا اَلصَّدَقاتُ لِلْفُقَراءِ وَ اَلْمَساكِينِ‌ مرسلةً‌،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أقرأنيها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أقرأها يا أبا عبد الرحمن‌؟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أقرأنيها إِنَّمَا اَلصَّدَقاتُ لِلْفُقَراءِ وَ اَلْمَساكِينِ‌ </w:t>
      </w:r>
      <w:r>
        <w:rPr>
          <w:rStyle w:val="FootnoteAnchor"/>
          <w:rtl w:val="true"/>
        </w:rPr>
        <w:footnoteReference w:id="431"/>
      </w:r>
      <w:r>
        <w:rPr>
          <w:rFonts w:ascii="Amiri" w:hAnsi="Amiri" w:eastAsia="Amiri" w:cs="Amiri"/>
          <w:color w:val="111111"/>
          <w:sz w:val="28"/>
          <w:sz w:val="28"/>
          <w:szCs w:val="28"/>
          <w:rtl w:val="true"/>
          <w:lang w:bidi="ar-SA"/>
        </w:rPr>
        <w:t>فمدّها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الثابت عن النبيّ صلى الله عليه و آله بالطرق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المرفوع فعلى فرض صحّة سنده، فهو حكاية فعلٍ مجملٍ لا يمكن استفادة الحكم الكلّي منه، كما إنّ التواتر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 أنّ اللّازم قراءة ما نزل على النبيّ صلى الله عليه و آله، ويحتمل أنْ يكون نزولها مع المدّ، فمقتضى القاعدة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هو قراءة القرآن بمادته وصورته الّتي لها دخلٌ في صدق القرآنيّة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بنحوٍ يصدق عليه القرآن، ولا ريب في أنّ ما لم يدلّ على دخله في المسمّى دليلٌ من القواعد العربيّة والروايات، لا يضرّ الإخلال به، ولا يوجبُ عدم صدق القرآن عليه، وإنْ شئتَ فاختبر ذلك من حال مَنْ قرأ شعر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0" w:name="pg11800_96912"/>
    </w:p>
    <w:p>
      <w:pPr>
        <w:pStyle w:val="BookText"/>
        <w:rPr/>
      </w:pPr>
      <w:bookmarkEnd w:id="200"/>
      <w:r>
        <w:rPr>
          <w:rFonts w:ascii="Amiri" w:hAnsi="Amiri" w:eastAsia="Amiri" w:cs="Amiri"/>
          <w:color w:val="111111"/>
          <w:sz w:val="28"/>
          <w:sz w:val="28"/>
          <w:szCs w:val="28"/>
          <w:rtl w:val="true"/>
          <w:lang w:bidi="ar-SA"/>
        </w:rPr>
        <w:t>إمرئ القيس على وفق ما تقتضيه القواعد العربيّة، ولكنّه لم يقرأه مع جميع المحسّنات التي أنشأ إمرء القيس معها، فإنّه لا ريب في أنّ من سلبه عنه يعدّ كاذباً في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اعتبار بكلّ ما لا يكون دخيلاً فيه بمقتضى القواعد العربيّة، ولم يدلّ دليلٌ على اعتباره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حروف المدّ مع الهمزة في كلمتين، ويسمّى بالمنفصل، فعدم لزومه واضح، بل سُمّي عندهم أيضاً بالجائز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بعد أحد حروف المدّ سكونٌ لازم، ويكون الحرف السّاكن مُدغَماً في حرفٍ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لازماً مشدّداً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هذا المدّ بمقدارٍ يتوقّف أداء الكلمة على وضعها الأولى عليه، وأمّا الزائد عليه فلم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بعد أحد حروف المدّ سكونٌ لازم، وكان السّاكن غير مدغم، كما في فواتح السّور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ظهر ممّا ذكرناه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ممّا ذكرناه، عدم لزوم الإمالة والترقيق ونحوهما ممّا التزم به القُرّاء</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0477881_73709187"/>
      <w:bookmarkStart w:id="202" w:name="_Toc76"/>
      <w:bookmarkEnd w:id="201"/>
      <w:r>
        <w:rPr>
          <w:rtl w:val="true"/>
        </w:rPr>
        <w:t>الإدغام الواجب</w:t>
      </w:r>
      <w:bookmarkEnd w:id="202"/>
    </w:p>
    <w:p>
      <w:pPr>
        <w:pStyle w:val="BookText"/>
        <w:rPr/>
      </w:pPr>
      <w:r>
        <w:rPr>
          <w:rFonts w:ascii="Amiri" w:hAnsi="Amiri" w:eastAsia="Amiri" w:cs="Amiri"/>
          <w:color w:val="111111"/>
          <w:sz w:val="28"/>
          <w:sz w:val="28"/>
          <w:szCs w:val="28"/>
          <w:rtl w:val="true"/>
          <w:lang w:bidi="ar-SA"/>
        </w:rPr>
        <w:t>وأمّا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إدغامٌ واجبٌ‌، وإدغامٌ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وللأوّل موارد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اجتمع مِثْلان ساكنان في كلمة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صَرّح غير واحدٍ</w:t>
      </w:r>
      <w:r>
        <w:rPr>
          <w:rStyle w:val="FootnoteAnchor"/>
          <w:rtl w:val="true"/>
        </w:rPr>
        <w:footnoteReference w:id="433"/>
      </w:r>
      <w:r>
        <w:rPr>
          <w:rFonts w:ascii="IRNazanin" w:hAnsi="IRNazanin" w:eastAsia="IRNazanin"/>
          <w:color w:val="111111"/>
          <w:sz w:val="28"/>
          <w:sz w:val="28"/>
          <w:szCs w:val="28"/>
          <w:rtl w:val="true"/>
          <w:lang w:bidi="fa-IR"/>
        </w:rPr>
        <w:t xml:space="preserve">بوجوبه،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فوائدالشرائع</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فوات الموالاة بفكّه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الأوّل ساكناً، والثاني متحرِّكاً، ولم يكن الأوّل حرف مدٍّ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للرّضي</w:t>
      </w:r>
      <w:r>
        <w:rPr>
          <w:rStyle w:val="FootnoteAnchor"/>
          <w:rtl w:val="true"/>
        </w:rPr>
        <w:footnoteReference w:id="435"/>
      </w:r>
      <w:r>
        <w:rPr>
          <w:rFonts w:ascii="Amiri" w:hAnsi="Amiri" w:eastAsia="Amiri" w:cs="Amiri"/>
          <w:color w:val="111111"/>
          <w:sz w:val="28"/>
          <w:sz w:val="28"/>
          <w:szCs w:val="28"/>
          <w:rtl w:val="true"/>
          <w:lang w:bidi="ar-SA"/>
        </w:rPr>
        <w:t>وجوبه، وادّعى أنّ عليه الإجماع</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الإدغام حينئذٍ من ضروريّات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لام التعريف، واللّام مع الألف في أربعة عشر حرفاً،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والثاء، والدّال والذّال، والرّاء والزّاء، والسّين والشّين، والصّاد والضّاد، والطّاء، والظّاء، واللّام،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غير واحدٍ بوجوبه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إدغام التنوين والنّون السّاكنة إذا وقع بعدهما 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ابن الحاجب والرَّضي</w:t>
      </w:r>
      <w:r>
        <w:rPr>
          <w:rStyle w:val="FootnoteAnchor"/>
          <w:rtl w:val="true"/>
        </w:rPr>
        <w:footnoteReference w:id="440"/>
      </w:r>
      <w:r>
        <w:rPr>
          <w:rFonts w:ascii="Amiri" w:hAnsi="Amiri" w:eastAsia="Amiri" w:cs="Amiri"/>
          <w:color w:val="111111"/>
          <w:sz w:val="28"/>
          <w:sz w:val="28"/>
          <w:szCs w:val="28"/>
          <w:rtl w:val="true"/>
          <w:lang w:bidi="ar-SA"/>
        </w:rPr>
        <w:t>التصريح بوجوبه، بل لا خلاف فيه بين القُرّاء، كما أنّهم أوجبوا إظهارهما إذا وقع بعدهما أحد حروف الحلق، والإخفاء في البواقي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اجتمع متقاربان، وكان كلٌّ منهما ساكناً، أو كان الأوّل كذلك، فإنّه حُكي</w:t>
      </w:r>
      <w:r>
        <w:rPr>
          <w:rStyle w:val="FootnoteAnchor"/>
          <w:rtl w:val="true"/>
        </w:rPr>
        <w:footnoteReference w:id="441"/>
      </w:r>
      <w:r>
        <w:rPr>
          <w:rFonts w:ascii="Amiri" w:hAnsi="Amiri" w:eastAsia="Amiri" w:cs="Amiri"/>
          <w:color w:val="111111"/>
          <w:sz w:val="28"/>
          <w:sz w:val="28"/>
          <w:szCs w:val="28"/>
          <w:rtl w:val="true"/>
          <w:lang w:bidi="ar-SA"/>
        </w:rPr>
        <w:t>الإتّفاق على لزومه،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ظَلَمُوا و قَدْ تَبَيَّنَ ، و قُلْ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المِثْلان متحرِّكين، وكانا في آخر الكلمة، ولم يكن الأوّل منهما مُدغماً فيه، فإنّه لا خلاف ظاهراً في وجوب الإدغام فيه في الفعل أو في الاسم المشابه للفعل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الإدغام غير الواجب بالإتّفاق، وهو ما إذا كان المتماثلان أو المتقاربان متحرّكين، ولم يكونا في آخر الكلمة،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وجوب الإدغام في بعض الموارد المتقدّمة، لا يخلو عن نظر، فالضابط ما ذكرناه في المدّ فراجع</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حال التشديد، وحذف همزة الوصل، وإنْ نصّ على لزوم الثاني أهل العربيّة كابن الحاجب</w:t>
      </w:r>
      <w:r>
        <w:rPr>
          <w:rStyle w:val="FootnoteAnchor"/>
          <w:rtl w:val="true"/>
        </w:rPr>
        <w:footnoteReference w:id="443"/>
      </w:r>
      <w:r>
        <w:rPr>
          <w:rFonts w:ascii="Amiri" w:hAnsi="Amiri" w:eastAsia="Amiri" w:cs="Amiri"/>
          <w:color w:val="111111"/>
          <w:sz w:val="28"/>
          <w:sz w:val="28"/>
          <w:szCs w:val="28"/>
          <w:rtl w:val="true"/>
          <w:lang w:bidi="ar-SA"/>
        </w:rPr>
        <w:t>وغيره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إثبات همزة القطع، فلا إشكال في وجوبه، وإلّا لزم الإخلال بالحرف، وقد عرفت عدم جوازه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3" w:name="pg11800_96915"/>
    </w:p>
    <w:p>
      <w:pPr>
        <w:pStyle w:val="Heading6"/>
        <w:numPr>
          <w:ilvl w:val="5"/>
          <w:numId w:val="1"/>
        </w:numPr>
        <w:rPr/>
      </w:pPr>
      <w:bookmarkStart w:id="204" w:name="__RefHeading___Toc10477883_73709187"/>
      <w:bookmarkStart w:id="205" w:name="_Toc77"/>
      <w:bookmarkEnd w:id="203"/>
      <w:bookmarkEnd w:id="204"/>
      <w:r>
        <w:rPr>
          <w:rtl w:val="true"/>
        </w:rPr>
        <w:t>الوقف بالحركة، والوصل بالسّكون</w:t>
      </w:r>
      <w:bookmarkEnd w:id="20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الوقف بالحركة والوصل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المجلسي رحمه الله</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القُرّاء وأهل العربيّة على عدم جواز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بعضٌ‌</w:t>
      </w:r>
      <w:r>
        <w:rPr>
          <w:rStyle w:val="FootnoteAnchor"/>
          <w:rtl w:val="true"/>
        </w:rPr>
        <w:footnoteReference w:id="446"/>
      </w:r>
      <w:r>
        <w:rPr>
          <w:rFonts w:ascii="Amiri" w:hAnsi="Amiri" w:eastAsia="Amiri" w:cs="Amiri"/>
          <w:color w:val="111111"/>
          <w:sz w:val="28"/>
          <w:sz w:val="28"/>
          <w:szCs w:val="28"/>
          <w:rtl w:val="true"/>
          <w:lang w:bidi="ar-SA"/>
        </w:rPr>
        <w:t>جوازه، لعدم الدليل على البطلان، مع إتيان الكلمة على حسب ما يقتضيه وضعها الأفرادي والتركيبي، واتّفاق القُرّاء لا يفيد، لأنّ مخالفتهم لا توجب الإخلال بالكلام، ولا دليل على وجوب قراءة القُرآن على النهج العربي، فمخالفة أهل العربيّة 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الصورة مقوّمة للقرآن كالمادّة، ويخرج اللّفظ بفقدانها عن كونه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جوازه، لتصريح أهل العربيّة بعدم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والشيخ الأعظم</w:t>
      </w:r>
      <w:r>
        <w:rPr>
          <w:rStyle w:val="FootnoteAnchor"/>
          <w:rtl w:val="true"/>
        </w:rPr>
        <w:footnoteReference w:id="448"/>
      </w:r>
      <w:r>
        <w:rPr>
          <w:rFonts w:ascii="Amiri" w:hAnsi="Amiri" w:eastAsia="Amiri" w:cs="Amiri"/>
          <w:color w:val="111111"/>
          <w:sz w:val="28"/>
          <w:sz w:val="28"/>
          <w:szCs w:val="28"/>
          <w:rtl w:val="true"/>
          <w:lang w:bidi="ar-SA"/>
        </w:rPr>
        <w:t>من جوازه ضعيفٌ‌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الشهيد الثاني</w:t>
      </w:r>
      <w:r>
        <w:rPr>
          <w:rStyle w:val="FootnoteAnchor"/>
          <w:rtl w:val="true"/>
        </w:rPr>
        <w:footnoteReference w:id="449"/>
      </w:r>
      <w:r>
        <w:rPr>
          <w:rFonts w:ascii="Amiri" w:hAnsi="Amiri" w:eastAsia="Amiri" w:cs="Amiri"/>
          <w:color w:val="111111"/>
          <w:sz w:val="28"/>
          <w:sz w:val="28"/>
          <w:szCs w:val="28"/>
          <w:rtl w:val="true"/>
          <w:lang w:bidi="ar-SA"/>
        </w:rPr>
        <w:t>وكاشف الغطاء</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الوصل بالسكون، لأنّه ليس مخالفاً لقانون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مقتضى القواعد العربيّة عدم جوازه، سواءٌ أكانت حركة آخر الكلمة دخيلةً في وضعها، كضمّ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دخول الحركة لمقتضٍ آخر، كحركة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استثنائهم خصوص حال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من الواضع في القسم الثاني، أنّه ألزم الناس أنْ لا يتكلّموا بهذه الألفاظ مجرّدة عن الحركة، إلّافي حال الوقف، بل القدر المسلم إنّه عند وجود الدّاعي إلى إيجاد الكلمة محرّكةً يجب مراعاة الحركة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كلماتهم وجوب التحريك في الوصل، وهذا الإتّفاق كاشفٌ عن أنّ الواضع جعل الرفع للفاعل مثلاً إلّافي حال الوقف، ففي حال الوصل لو قرأ ساكناً لزم الإخلال بالهيئة المقوّمة للقرآن، وهو ممنوعٌ‌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جواز الوقف بالحركة، والوصل بالسّكون</w:t>
      </w:r>
      <w:r>
        <w:rPr>
          <w:rFonts w:eastAsia="Amiri" w:cs="Amiri" w:ascii="Amiri" w:hAnsi="Amiri"/>
          <w:color w:val="111111"/>
          <w:sz w:val="28"/>
          <w:szCs w:val="28"/>
          <w:rtl w:val="true"/>
          <w:lang w:bidi="ar-SA"/>
        </w:rPr>
        <w:t>.</w:t>
      </w:r>
      <w:bookmarkStart w:id="206" w:name="pg11800_96917"/>
    </w:p>
    <w:p>
      <w:pPr>
        <w:pStyle w:val="Heading6"/>
        <w:numPr>
          <w:ilvl w:val="5"/>
          <w:numId w:val="1"/>
        </w:numPr>
        <w:rPr/>
      </w:pPr>
      <w:bookmarkStart w:id="207" w:name="__RefHeading___Toc10477885_73709187"/>
      <w:bookmarkStart w:id="208" w:name="_Toc78"/>
      <w:bookmarkEnd w:id="206"/>
      <w:bookmarkEnd w:id="207"/>
      <w:r>
        <w:rPr>
          <w:rtl w:val="true"/>
        </w:rPr>
        <w:t>القراءات السّبع</w:t>
      </w:r>
      <w:bookmarkEnd w:id="20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جواز القراءة بإحدى القراءات السّبع، والقُرّاء السبعة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وابنُ كثير، وابن عامر، وابو عمرو، وعاصم، وحمزة، والكسائي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 إلى المشهور</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القراءة بأحدها،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باتّفاق المسلمين على جواز القراءة بها، وغيرها مختلفٌ فيه، فمقتضى قاعدة الاحتياط الإتيان بإحداها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وبتواترها عن النبيّ صلى الله عليه و آله، أو تواتر جواز القراءة بها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محمّد بن سليمان، عن بعض أصحابه،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نسمع الآيات من القرآن ليس هي عندنا كما نسمعها، ولا نُحسِن أن نقرأها كما بلغنا عنكم، فهل نأثم‌؟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اقرأوا كما تعلّمتم، فسيجيءُ مَن يعلّمكم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سالم بن أبي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رجلٌ على أبي عبد اللّه عليه السلام وأنا أستمع حروفاً من القرآن ليس على ما يقرأها الناس‌؟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هذه القراءة، إقرأ كما يقرأ الناس حتّى يقوم القائم، فإذا قام القائم قَرأ كتابَ اللّه على حَدّه، وأخرج المصحف الذي كتبه عليّ عليه السلام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سفيان بن السَّمط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تنزيل 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اقرءُوا كما عُلِّمتُمْ‌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مقتضى القاعده كفاية القراءة على النهج العربي، فراجع ما ذكرناه في المَدّ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 الأساطين</w:t>
      </w:r>
      <w:r>
        <w:rPr>
          <w:rStyle w:val="FootnoteAnchor"/>
          <w:rtl w:val="true"/>
        </w:rPr>
        <w:footnoteReference w:id="456"/>
      </w:r>
      <w:r>
        <w:rPr>
          <w:rFonts w:ascii="Amiri" w:hAnsi="Amiri" w:eastAsia="Amiri" w:cs="Amiri"/>
          <w:color w:val="111111"/>
          <w:sz w:val="28"/>
          <w:sz w:val="28"/>
          <w:szCs w:val="28"/>
          <w:rtl w:val="true"/>
          <w:lang w:bidi="ar-SA"/>
        </w:rPr>
        <w:t>إنكار التواتر عن النبيّ صلى الله عليه و آله، وتشهد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 القرآن نزل على سبعة أحرف‌؟</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ولكنّه نزل على حرفٍ واحد من عند الواحد</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حمل ما دلَّ على نزول القرآن على سبعة أحرف، على التقيّة أو غيرها لئلّا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تواتر جواز القراءة بها عنه صلى الله عليه و آله، فيدفعه قراءة المسلمين في أوّل الإسلام، لتأخّر أزمنة القُرّاء السبعة، فلا محالة الناس كانوا يقرأون قبل هؤلاء بغير قراءاتهم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منها المنع من قراءة الزيادات المرويّة عنهم، ولا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تدلّ على ترجيح قراءةٍ على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تدلّ على جواز القراءة بما يُعلم مخالفته للقرآن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جواز القراءة على النهج العربي، وإنْ كانت مخالفةً للقراءات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يَرجع الاختلاف إلى الاختلاف في المؤدّى، فإنّ القاعدة تقتضي عدم جواز قراءة ما خالف القرآن المُنزل كما عرفت، ولكن يخرج عنها بالإجماع على جواز القراءة بما يتداوله القُرّاء، المعتضد بالسيرة القطعيّة في زمانهم على القراءة به، المؤيّد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يظهر أنّ ما ورد في صحيح داود والمُعلّى بن خنيس،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 مسعود لا يقرأ على قراءتنا فهو ضالّ‌</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وأن يُحمل على بعض الوجوه غير المنافية لما سبق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9" w:name="pg11800_96920"/>
    </w:p>
    <w:p>
      <w:pPr>
        <w:pStyle w:val="Heading6"/>
        <w:numPr>
          <w:ilvl w:val="5"/>
          <w:numId w:val="1"/>
        </w:numPr>
        <w:rPr/>
      </w:pPr>
      <w:bookmarkStart w:id="210" w:name="__RefHeading___Toc10477887_73709187"/>
      <w:bookmarkStart w:id="211" w:name="_Toc79"/>
      <w:bookmarkEnd w:id="209"/>
      <w:bookmarkEnd w:id="210"/>
      <w:r>
        <w:rPr>
          <w:rtl w:val="true"/>
        </w:rPr>
        <w:t>جُزئيّة البَسملة من كلّ سورة</w:t>
      </w:r>
      <w:bookmarkEnd w:id="211"/>
    </w:p>
    <w:p>
      <w:pPr>
        <w:pStyle w:val="Heading6"/>
        <w:numPr>
          <w:ilvl w:val="5"/>
          <w:numId w:val="1"/>
        </w:numPr>
        <w:rPr/>
      </w:pPr>
      <w:bookmarkStart w:id="212" w:name="__RefHeading___Toc10477889_73709187"/>
      <w:bookmarkStart w:id="213" w:name="_Toc80"/>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البسمله آيةٌ من الفاتحة وغيرها، تجب قراءتها معها ومع السّورة الّتي بعدها، بناءً على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 علمائنا أجمع، وأكثر أهل العلم،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السَّبع المثاني والقرآن العظيم، هي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أفضلهنّ‌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النصوص تدلّ على جواز تركها، كصحيح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إماماً، فيستفتح بالحمد ولا يقرأ 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يضرّه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لابدَّ وأن يُحمل على التقيّة، لمعارضته مع النصوص المتقدّمة المعتضدة بحكاية الإجماعات القطعيّة على خلافه، ويؤيّده فرض السائل المُصلّي إماماً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الإجماع، كما عن جماعةٍ من الأساطين حكايته</w:t>
      </w:r>
      <w:r>
        <w:rPr>
          <w:rStyle w:val="FootnoteAnchor"/>
          <w:rtl w:val="true"/>
        </w:rPr>
        <w:footnoteReference w:id="463"/>
      </w:r>
      <w:r>
        <w:rPr>
          <w:rFonts w:ascii="Amiri" w:hAnsi="Amiri" w:eastAsia="Amiri" w:cs="Amiri"/>
          <w:color w:val="111111"/>
          <w:sz w:val="28"/>
          <w:sz w:val="28"/>
          <w:szCs w:val="28"/>
          <w:rtl w:val="true"/>
          <w:lang w:bidi="ar-SA"/>
        </w:rPr>
        <w:t>،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إلى الصَّلاة أقرأ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فاتحة الكتاب أقرأ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صفوان،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من السماء كتاباً إلّا وفاتحته بسم اللّه الرحمن الرحيم، وإنّما كان يُعرف انقضاء السّورة بنزول بسم اللّه الرحمن الرحيم ابتداءً للاُخرى‌</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في بعض النصوص من جواز تركها من السّورة، كصحيح الحلبيين،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سألاه عمّن يقرأ بسم اللّه الرحمن الرحيم يريدُ يقرأ فاتحة الكتاب‌؟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شاء سرّاً وإنْ شاء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أفيقرها مع السّورة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ينافي جزئيّتها منها، بل يؤيّد ما اخترناه من عدم وجوب السّورة الكاملة، وجواز التبعيض</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وجه لحمل هذه النصوص على التقيّة، كما ذكره جماعة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14" w:name="pg11800_96922"/>
    </w:p>
    <w:p>
      <w:pPr>
        <w:pStyle w:val="Heading6"/>
        <w:numPr>
          <w:ilvl w:val="5"/>
          <w:numId w:val="1"/>
        </w:numPr>
        <w:rPr/>
      </w:pPr>
      <w:bookmarkStart w:id="215" w:name="__RefHeading___Toc10477891_73709187"/>
      <w:bookmarkStart w:id="216" w:name="_Toc81"/>
      <w:bookmarkEnd w:id="214"/>
      <w:bookmarkEnd w:id="215"/>
      <w:r>
        <w:rPr>
          <w:rtl w:val="true"/>
        </w:rPr>
        <w:t>تعيين البسملة للسُّورة</w:t>
      </w:r>
      <w:bookmarkEnd w:id="216"/>
    </w:p>
    <w:p>
      <w:pPr>
        <w:pStyle w:val="BookText"/>
        <w:rPr/>
      </w:pPr>
      <w:r>
        <w:rPr>
          <w:rFonts w:ascii="Amiri" w:hAnsi="Amiri" w:eastAsia="Amiri" w:cs="Amiri"/>
          <w:color w:val="111111"/>
          <w:sz w:val="28"/>
          <w:sz w:val="28"/>
          <w:szCs w:val="28"/>
          <w:rtl w:val="true"/>
          <w:lang w:bidi="ar-SA"/>
        </w:rPr>
        <w:t>ثمّ إنّه بعدما عرفت جزئيّتها من كلّ سورةٍ‌، فاعلم أنّه يجبُ تعيين السّورة قبل الشروع فيها، ويظهر وجهه بعد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قراءة السّورة كقراءة القصيدة ونحوها، عبارةٌ عن الإتيان بالألفاظ المطابقة لألفاظها، مع اللّحاظ الاستعمالي للمقروء، ومع عدمه لا تصدق القراءة والحكاية،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السّورة أو القصيدة المعدومة، لكون ما أتى به مثلها لا عينها، وهذا بخلاف ما لو أتى بها مع اللّحاظ الاستعمالي، فإنّ اللّحاظ يوجب نحواً من الاتّحاد بينهما، فيصحّ أنْ يُقال قرأتها،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 القرآن حِصصٌ من كُلّي اللّفظ المُنزَلة على النبيّ صلى الله عليه و آله، وكانت مع كلّ واحدةٍ منها حِصّة من كلّي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هاتين المقدّمتين، يظهر لك أنّه لو لم يعيّن السُّورة قبل الشروع فيها، فلا يصدق على البسملة التي أتى بها قراءه بسملةٍ من البسملات التي تكون كلّ واحدةٍ منها جزءٌ من سورة خاصّة، فلو قرأ بعدها سائر آيات التوحيد، لا يصدق أنّه قرأ سورة التوحيد بتمامها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المأمور به إنّما هو الإتيان بسورةٍ على الإطلاق، فاللّازم هو إيجاد ما يصدق عليه ذلك، وحيثُ أنّه لو أتى بالبسملة بقصد سورة لا بعينها، فإنّه وإنْ لم يصدق عليها جزئيّة سورة خاصّة، لكن لا شبهة في صدق قراءة القرآن عليها، ويكون المقروء طبيعة البسملة، الصّادقة على كلٍّ من مصاديقها، فيصحّ أن يجعلها جزءً من أيّ سورةٍ شاء، بانضمام الباقي إليها، لأنّه بعد الإنضمام يصدق أنّه قرأ مجموع هذه الآيات الّتي هي تمام السّورة، أمّا الجزء الأوّل فقد قرأه على سبيل </w:t>
      </w:r>
    </w:p>
    <w:p>
      <w:pPr>
        <w:pStyle w:val="BookText"/>
        <w:rPr/>
      </w:pPr>
      <w:r>
        <w:rPr>
          <w:rFonts w:ascii="Amiri" w:hAnsi="Amiri" w:eastAsia="Amiri" w:cs="Amiri"/>
          <w:color w:val="111111"/>
          <w:sz w:val="28"/>
          <w:sz w:val="28"/>
          <w:szCs w:val="28"/>
          <w:rtl w:val="true"/>
          <w:lang w:bidi="ar-SA"/>
        </w:rPr>
        <w:t>الإجمال، وماعداه تفصيلاً، ولا يكون المأمور به إتيان سورة معيّنة، حتّى يُقال إنّه لم يقع الجزءُ الأوّل على الوجه الذي تعلّق به الطلب، أي بعنوان جزئيّته لهذه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المأمور به وإنْ كان طبيعي السّورة، إلّاأنّه من حيث كونه مرآتاً للمصاديق، وهي السّور المعيّنة المشخّصة في الخارج، فالأمر بالطبيعي أمرٌ بإيجاد سورة معيّنة، ولكن التعيين يكون باختيار المكلّف، كما لو أمر المولى بإكرام أحد الشخصين، فإنّ امتثاله إنّما يكون بإكرام أحدهما المعيّن، فإذا كان المأمور به إتيان سورةٍ معيّنة مشخّصة في الخارج، والمفروض أنّ البسملة المأتيّ بها على سبيل الإجمال والإبهام، لا تكون حكايةً عن البسملة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وانضمام بقيّة السّورة المشخّصة إليها لا يجعلها حكايةً عنها، ولا يصدق أنّه قرأ مجموع الآيات الّتي هي تمام السّورة، فلا تكون السّورة المأتي بها منطبقةً على المأمور بها، لعدم وقوع الجزء الأوّل منها على الوجه الذي تعلّق به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البسملة بقصد سورةٍ لا بعينها، بما أنّها لا تكون خارجةً عن القرآن، فلابدَّ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القول بأنّها جزءُ سورةٍ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القول بكونها جزءً للسورة التي يقرأها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سبيل إلى الأوّل،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خروج المقروء عن القرآن ضعيفة، إذ ما هو جزء كلّ سورةٍ شخصٌ من البسملة، وحكاية الجامع ليس حكايةً لذلك الشخص، فالمقروء هو ما يُماثل القرآن لا أنّه منه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لزوم تعيين السّورة قبل الشروع فيها، وعليه فلو عين البسملة لسورةٍ‌، ثمّ أراد أنْ يقرأ غيرها، وجب عليه إعادة البسملة، لأنّ ما أتى به </w:t>
      </w:r>
    </w:p>
    <w:p>
      <w:pPr>
        <w:pStyle w:val="BookText"/>
        <w:rPr/>
      </w:pPr>
      <w:r>
        <w:rPr>
          <w:rFonts w:ascii="Amiri" w:hAnsi="Amiri" w:eastAsia="Amiri" w:cs="Amiri"/>
          <w:color w:val="111111"/>
          <w:sz w:val="28"/>
          <w:sz w:val="28"/>
          <w:szCs w:val="28"/>
          <w:rtl w:val="true"/>
          <w:lang w:bidi="ar-SA"/>
        </w:rPr>
        <w:t>غير ما يكون جزءً للسورة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إعادتها، واستدلّ له بوجوهٍ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كالنقض بالكتابة، وبأنّه يلزم اعتبار النيّة في الألفاظ المشتركة،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عيّن البسملة لإحدى السورتين من التوحيد والجَحد، ولم يدر أنّها لأيّتهما، لا يجوز قراءة غيرهما، بناءً على عدم جواز العدول عنهما إلى غيرهما، لأنّه بإتيان البسملة يكون قد شرع في إحداهما، فلا يجوز العدول، وحينئذٍ إنْ قلنا بجواز العدول من إحداهما إلى الاُخرى‌، فيكتفي بقراءة إحداهما مع إعادة البسملة لها، فإنْ كانت البسملة المعيّنة الثانية هي التي عيّنها أوّلاً، فلا يضرّ؛ لأنّه كرّر البسملة، وإنْ كانت غيرها، فقد عَدَل من إحداهما إلى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جوازه، أو عدم شموله للقراءة المأتي بها بعنوان القُربة، فيأتي بالسورتين معاً من دون إعادة البسملة، ويقصد بإحداهما الجزئيّة، وبالاُخرى القُربة المطلقة، للعلم بتعيّن قراءة السّورة التي عيّنها، والمردّدة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قرأ البسملة وشكّ في أنّه هل عيّنها لسورةٍ خاصّة أم لا؟</w:t>
      </w:r>
    </w:p>
    <w:p>
      <w:pPr>
        <w:pStyle w:val="BookText"/>
        <w:rPr/>
      </w:pPr>
      <w:r>
        <w:rPr>
          <w:rFonts w:ascii="Amiri" w:hAnsi="Amiri" w:eastAsia="Amiri" w:cs="Amiri"/>
          <w:color w:val="111111"/>
          <w:sz w:val="28"/>
          <w:sz w:val="28"/>
          <w:szCs w:val="28"/>
          <w:rtl w:val="true"/>
          <w:lang w:bidi="ar-SA"/>
        </w:rPr>
        <w:t>فإنْ كان ذلك في أثناء السّورة، بنى على التعيين،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 الإتيان بالباقي، وجب إعادة البسملة لأيّ سورةٍ أراد، للشكّ في الإتيان ببسملتها، فمقتضى قاعدة الاشتغال، والشكّ في المحلّ‌، لزوم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فروعٌ اُخر، ولأجل ظهور حكمها ممّا ذكرناه، أغمضنا عن ذكرها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17" w:name="pg11800_96925"/>
    </w:p>
    <w:p>
      <w:pPr>
        <w:pStyle w:val="Heading6"/>
        <w:numPr>
          <w:ilvl w:val="5"/>
          <w:numId w:val="1"/>
        </w:numPr>
        <w:rPr/>
      </w:pPr>
      <w:bookmarkStart w:id="218" w:name="__RefHeading___Toc10477893_73709187"/>
      <w:bookmarkStart w:id="219" w:name="_Toc82"/>
      <w:bookmarkEnd w:id="217"/>
      <w:bookmarkEnd w:id="218"/>
      <w:r>
        <w:rPr>
          <w:rtl w:val="true"/>
        </w:rPr>
        <w:t>العدول مِنْ سورةٍ إلى اُخرى</w:t>
      </w:r>
      <w:bookmarkEnd w:id="219"/>
    </w:p>
    <w:p>
      <w:pPr>
        <w:pStyle w:val="Heading6"/>
        <w:numPr>
          <w:ilvl w:val="5"/>
          <w:numId w:val="1"/>
        </w:numPr>
        <w:rPr/>
      </w:pPr>
      <w:bookmarkStart w:id="220" w:name="__RefHeading___Toc10477895_73709187"/>
      <w:bookmarkStart w:id="221" w:name="_Toc83"/>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سورة إلى اُخرى اختياراً، ما لم يبلغ النصف، إلّا من سورتين، هما الجحد والتوحيد، فإنّه لا يجوز ذلك إلّافي يوم الجمعة إلى الجمعة والمنافقين</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0477897_73709187"/>
      <w:bookmarkStart w:id="223" w:name="_Toc84"/>
      <w:bookmarkEnd w:id="222"/>
      <w:r>
        <w:rPr>
          <w:rtl w:val="true"/>
        </w:rPr>
        <w:t>فهاهنا فروع</w:t>
      </w:r>
      <w:r>
        <w:rPr>
          <w:rtl w:val="true"/>
        </w:rPr>
        <w:t>:</w:t>
      </w:r>
      <w:bookmarkEnd w:id="223"/>
    </w:p>
    <w:p>
      <w:pPr>
        <w:pStyle w:val="Heading6"/>
        <w:numPr>
          <w:ilvl w:val="5"/>
          <w:numId w:val="1"/>
        </w:numPr>
        <w:rPr/>
      </w:pPr>
      <w:bookmarkStart w:id="224" w:name="__RefHeading___Toc10477899_73709187"/>
      <w:bookmarkStart w:id="225" w:name="_Toc85"/>
      <w:bookmarkEnd w:id="224"/>
      <w:r>
        <w:rPr>
          <w:rtl w:val="true"/>
        </w:rPr>
        <w:t>يجوز العدول من كلّ سورةٍ إلي غيرها في الجملة</w:t>
      </w:r>
      <w:bookmarkEnd w:id="225"/>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كلّ سورةٍ إلي غيرها في الجملة، بلا خلافٍ ظاهر،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يقوم في الصَّلاة يريد أنْ يقرأ سورةً‌، فيقرأ قُل هو اللّه أحد، وقُل يا أيّها الكافرون‌؟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من كلّ سورةٍ إلّامن قُل هو اللّهُ‌أحد، وقُل ياأيّهاالكافرون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في الغداة سورة قُل هو اللّه أحد؟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ومن افتتح سورةً ثمّ بدا له أنْ يرجع في سورةٍ غيرها، فلا بأس إلّامن قُلْ هُوَ اَللّهُ أَحَدٌ ، ولا يرجع منها إلى غيرها، وكذلك قُلْ يا أَيُّهَا اَلْكافِرُونَ‌ </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بعضٍ‌</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من التردّد في الحكم، محتجّاً بأنّ العدول إبطالٌ للعمل، وهو </w:t>
      </w:r>
      <w:bookmarkStart w:id="226" w:name="pg11800_96926"/>
    </w:p>
    <w:p>
      <w:pPr>
        <w:pStyle w:val="BookText"/>
        <w:rPr/>
      </w:pPr>
      <w:bookmarkEnd w:id="226"/>
      <w:r>
        <w:rPr>
          <w:rFonts w:ascii="Amiri" w:hAnsi="Amiri" w:eastAsia="Amiri" w:cs="Amiri"/>
          <w:color w:val="111111"/>
          <w:sz w:val="28"/>
          <w:sz w:val="28"/>
          <w:szCs w:val="28"/>
          <w:rtl w:val="true"/>
          <w:lang w:bidi="ar-SA"/>
        </w:rPr>
        <w:t>حرامٌ‌، وبأنّه يلزم القِران بين السورتين وهو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 اجتهادٌ في مقابل النص، فلا يُعتنى به</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0477901_73709187"/>
      <w:bookmarkStart w:id="228" w:name="_Toc86"/>
      <w:bookmarkEnd w:id="227"/>
      <w:r>
        <w:rPr>
          <w:rtl w:val="true"/>
        </w:rPr>
        <w:t>لا يجوزُ العدول من سورتي الجحد والتوحيد إلى غيرهما</w:t>
      </w:r>
      <w:bookmarkEnd w:id="228"/>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سورتي الجحد والتوحيد إلى غيرهما من السّور، كما هو المشهور، ويشهد له صحيحاً الحلبي والسّكوني المتقدّمان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اَلْقُرْآنِ‌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جواز العدول منهما إلى الجمعة والمنافقين، مع استحباب قرائتهما، بدعوى أنّه لو وجب الإتمام، لما جاز العدول للإتيان بالمستحبّ‌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الآية الشريفة مضافاً إلى أنّه لا إطلاق لها، مخصّصةٌ بالصحيحين المعتضدين بالشهرة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لا ملازمة بين جواز العدول إليهما، وعدم وجوب إتمامها في صورة عدم العدول، ولا يخفى أنّ مقتضى إطلاق نصوص المنع، عدم جواز العدول من إحداهما إلى الاُخرى‌</w:t>
      </w:r>
      <w:r>
        <w:rPr>
          <w:rFonts w:eastAsia="Amiri" w:cs="Amiri" w:ascii="Amiri" w:hAnsi="Amiri"/>
          <w:color w:val="111111"/>
          <w:sz w:val="28"/>
          <w:szCs w:val="28"/>
          <w:rtl w:val="true"/>
          <w:lang w:bidi="ar-SA"/>
        </w:rPr>
        <w:t xml:space="preserve">. </w:t>
      </w:r>
      <w:bookmarkStart w:id="229" w:name="pg11800_96927"/>
    </w:p>
    <w:p>
      <w:pPr>
        <w:pStyle w:val="Heading6"/>
        <w:numPr>
          <w:ilvl w:val="5"/>
          <w:numId w:val="1"/>
        </w:numPr>
        <w:rPr/>
      </w:pPr>
      <w:bookmarkStart w:id="230" w:name="__RefHeading___Toc10477903_73709187"/>
      <w:bookmarkStart w:id="231" w:name="_Toc87"/>
      <w:bookmarkEnd w:id="229"/>
      <w:bookmarkEnd w:id="230"/>
      <w:r>
        <w:rPr>
          <w:rtl w:val="true"/>
        </w:rPr>
        <w:t>العدول من الجَحد والتوحيد إلى الجمعة والمنافقين</w:t>
      </w:r>
      <w:bookmarkEnd w:id="231"/>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الجَحد والتوحيد، إلى الجمعة والمنافقين في يوم الجمعة، كما هو المشهور،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صلاتك بقُل هو اللّه أحد، وأنتَ تُريد أنْ يقرأ غيرها، فامض فيها ولا ترجع، إلّاأنْ يكون يوم الجمعة، فإنّك ترجع إلى الجمعة والمنافقين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يريدُ أنْ يقرأ سورة الجمعة في الجمعة، فيقرأ قل هو اللّه أحد؟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إليسورة الجمعة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القراءة في الجمعة، بما يقرأ؟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الجمعة، وإذا جاءك المنافقون، وإنْ أخذتَ في غيرهما، وإنْ كان قُل هو اللّه أحد فاقطعها من أوّلها، وارجع إليهما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هذه النصوص وإنْ كان سورة التوحيد، إلّاأنّه لعدم القول بالفصل بينها وبين سورة الجحد، يثبت الحكم فيها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أخذتَ في غيرهما وإنْ كان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سورة التوحيد أولى من غيرها بعدم العدول، يدلّ على جواز العدول عنها أيضاً إليهما بالأولويّة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مقتضى إطلاق الفتاوى، عدم اختصاص الحكم بصورة نسيان المكلّف حين الشروع فيهما، ويشهد له إطلاق خبر علي بن جعفر المتقدّم، والصحيحان وإنْ كان موردهما صورة النسيان، ولا يشملان صورة العمد، إلّاأنّهما لا يوجبان تقييد خبر ابن جعفر، فما عن المحقّق والشهيد الثانيين</w:t>
      </w:r>
      <w:r>
        <w:rPr>
          <w:rStyle w:val="FootnoteAnchor"/>
          <w:rtl w:val="true"/>
        </w:rPr>
        <w:footnoteReference w:id="479"/>
      </w:r>
      <w:r>
        <w:rPr>
          <w:rFonts w:ascii="Amiri" w:hAnsi="Amiri" w:eastAsia="Amiri" w:cs="Amiri"/>
          <w:color w:val="111111"/>
          <w:sz w:val="28"/>
          <w:sz w:val="28"/>
          <w:szCs w:val="28"/>
          <w:rtl w:val="true"/>
          <w:lang w:bidi="ar-SA"/>
        </w:rPr>
        <w:t>من اختصاص الحكم بالنّاسي، لإختصاص الصحيحين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بعض المحقّقين رحمهم الله</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شمول الحكم للعامد بأنّ عمومات تحريم العدول قد خُصّصت، وخَرج منها الفرد الخاص من العدول، ولو في حالٍ‌، وبقاء دلالتها في حالٍ آخر يحتاج إلى عموم حالي، وإذ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العام بما أنّه من الأفعال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كلّ فعلٍ صادر في كلّ حالٍ‌، مغايرٌ لما صَدر في حال آخر، فالعدول من السورتين إلى الجمعة والمنافقين في صورة النسيان، فردٌ من العام مغايرٌ للعدول منهما إليهما في صورة العمد، ومقتضى عموم دليل المنع، عدم الجواز في كلّ منهما، لكنّه خرج العدول في حال النسيان، فيبقي العدول في حال العمد تحت العام، وعليه فالعمدة ما ذكرناه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محلّ جواز العدول يختصّ بصلاة الجمعة والظهر، ولا يعمّ العصر، فضلاً عن صلاه الصبح، كما عن الشهيدين</w:t>
      </w:r>
      <w:r>
        <w:rPr>
          <w:rStyle w:val="FootnoteAnchor"/>
          <w:rtl w:val="true"/>
        </w:rPr>
        <w:footnoteReference w:id="481"/>
      </w:r>
      <w:r>
        <w:rPr>
          <w:rFonts w:ascii="Amiri" w:hAnsi="Amiri" w:eastAsia="Amiri" w:cs="Amiri"/>
          <w:color w:val="111111"/>
          <w:sz w:val="28"/>
          <w:sz w:val="28"/>
          <w:szCs w:val="28"/>
          <w:rtl w:val="true"/>
          <w:lang w:bidi="ar-SA"/>
        </w:rPr>
        <w:t>والمحقّق الثاني</w:t>
      </w:r>
      <w:r>
        <w:rPr>
          <w:rStyle w:val="FootnoteAnchor"/>
          <w:rtl w:val="true"/>
        </w:rPr>
        <w:footnoteReference w:id="482"/>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ظهر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الجمعة لا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488"/>
      </w:r>
      <w:r>
        <w:rPr>
          <w:rFonts w:ascii="Amiri" w:hAnsi="Amiri" w:eastAsia="Amiri" w:cs="Amiri"/>
          <w:color w:val="111111"/>
          <w:sz w:val="28"/>
          <w:sz w:val="28"/>
          <w:szCs w:val="28"/>
          <w:rtl w:val="true"/>
          <w:lang w:bidi="ar-SA"/>
        </w:rPr>
        <w:t>وغيرهما</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في الجمعة والظهر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الجُعفي</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في الجمعة والصبح والعشاء ليلتها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ترجع إلّاأنْ يكون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اختصاص الحكم بيوم الجمعة ولا يعمّ العشاء، كما أنّ عدم توظيف الجمعة والمنافقين في الصبح، يوجب انصراف الأدلّة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موجب لتقييد إطلاق صحيح الحلبي الشامل للعصر، إذ خبر ابن جعفر وإنْ اختصّ بصلاة الجمعة، إلّاأنّه لعدم التنافي بينه وبين الصحيح، لا يوجب تقييد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الإطلاق إلى صلاة الجمعة، ممنوعة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ضعف القول الثاني والثالث، وأنّ الأقوى هو الرابع، وهو ثبوت الحكم في الجمعة والظهر والعصر،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2" w:name="pg11800_96930"/>
    </w:p>
    <w:p>
      <w:pPr>
        <w:pStyle w:val="Heading6"/>
        <w:numPr>
          <w:ilvl w:val="5"/>
          <w:numId w:val="1"/>
        </w:numPr>
        <w:rPr/>
      </w:pPr>
      <w:bookmarkStart w:id="233" w:name="__RefHeading___Toc10477905_73709187"/>
      <w:bookmarkStart w:id="234" w:name="_Toc88"/>
      <w:bookmarkEnd w:id="232"/>
      <w:bookmarkEnd w:id="233"/>
      <w:r>
        <w:rPr>
          <w:rtl w:val="true"/>
        </w:rPr>
        <w:t>لا يجوز العدول بعد الثُّلثين</w:t>
      </w:r>
      <w:bookmarkEnd w:id="234"/>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في موارد جوازه إذا بلغ المصلّي في قراءته إلى نصف السورة كما هو المشهور، بل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كاشف الغطاء</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التخيير إلى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بمقطوعة البزنطي، عن أبي العبّاس،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أنْ يقرأ سورةً‌، فيقرأ في اُخرى؟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التي يريد وإنْ بلغ النصف</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الظاهر منه أنّ النصف هو أقصى محلٍّ يجوز فيه العدول من سورةٍ إلى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ذكرتها من قبل أنْ يقرأ نصف سورةٍ‌، فارجع إلى سورة الجمعة، وإنْ لم تذكرها إلّابعدما قرأت نصف سورةٍ‌، فامضِ في صلاتك</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عليهما السلام أنّه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بالقراءة في الصَّلاة بسورةٍ‌، ثمّ رأى أن يتركها ويأخذ في غيرها، فله ذلك ما لم يأخذ في نصف السّورة الآخر</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كما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غيرها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عدم جواز العدول بعد تجاوز النصف، إذ غاية ما 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الوصيلة، كون بعد النصف هو الفرد الخفيّ من موارد جواز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ضعيفُ السّند، بل لم يثبت لنا كون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ذلك إلّابناءً على كون ضبط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نصف السّورة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فإنْ كانت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أجنبيّاً عن المقام، بل مفاده حينئذٍ جواز العدول إذا لم يؤخذ من وسط السّورة التي يعدل إليها، وحيث لم يثبت الأوّل، فلا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تماميّة ما ذُكر سنداً ودلالةً‌، فهو معارض بما دلَّ على الجواز،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إذا أراد سورةً فقرأ غيرها، هل يصلح له أنْ يقرأ نصفها، ثمّ يرجع إلى السّورة التي أراد؟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لم يكن قُلْ هُوَ اَللّهُ أَحَدٌ و قُلْ يا أَيُّهَا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عدم جواز العدول إذا بلغ النصف، فالمرجع حينئذٍ إلى عموم 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خبرٌ يدلّ على عدم جواز العدول بعد الثُّلثين، وهو موثّق عبيد بن زرارة، عن أبي عبد اللّه 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أنْ يقرأ السّورة، فيقرأ 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يرجع ما بينه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أنْ يقرأ ثلثيها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عملهم به يمكن أنْ يكون لاعتقادهم دلالة بعض ما تقدّم، على عدم جواز العدول بعد النصف، وتقديمه على الموثّق، لا للإعراض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ما اختاره كاشف الغطاء رحمه الله من بقاء التخيير إلى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ضعف ما 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498"/>
      </w:r>
      <w:r>
        <w:rPr>
          <w:rFonts w:ascii="IRNazanin" w:hAnsi="IRNazanin" w:eastAsia="IRNazanin"/>
          <w:color w:val="111111"/>
          <w:sz w:val="28"/>
          <w:sz w:val="28"/>
          <w:szCs w:val="28"/>
          <w:rtl w:val="true"/>
          <w:lang w:bidi="fa-IR"/>
        </w:rPr>
        <w:t>من جواز العدول مطلقاً، أخذاً بإطلاق أغلب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تقييد الإطلاق بالموثّق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سقوطه عن الحجيّة بالإعراض، يتمّ 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ما ذكره بعض المحقّقين رحمه الله</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الموثّق مخالفاً للإجماع، فيقيّد الإطلاق بالإجماع، إذ الإجماع على فرض تحقّقه لا حجيّة له، إذ من الممكن أنْيكون مدرك المُجمِعين النصوص المتقدّمة، وعليه فليس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علي عدم جواز العدول بعد الثّلثين أو النصف على الخلاف السابق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يجوز العدول من الجَحد والتوحيد إلى الجمعة والمنافقين مطلقاً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 وغيرها</w:t>
      </w:r>
      <w:r>
        <w:rPr>
          <w:rStyle w:val="FootnoteAnchor"/>
          <w:rtl w:val="true"/>
        </w:rPr>
        <w:footnoteReference w:id="5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يجوز بعد الثلثين أو النصف،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وغيرها</w:t>
      </w:r>
      <w:r>
        <w:rPr>
          <w:rStyle w:val="FootnoteAnchor"/>
          <w:rtl w:val="true"/>
        </w:rPr>
        <w:footnoteReference w:id="51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أقواهما الثاني، إذ نصوص الجواز إنّما تدلّ على دخول سورتي الجَحد والتوحيد في يوم الجمعة في موارد جواز العدول، والنصوص المتضمّنة للحَدّ إنّما تدلّ على محدوديّة جواز العدول في موارده، وعليه فتكون حاكمة على نصوص الجواز، ولا أقلّ من أظهريّتها، فيقدّم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المتضمّنة للحَدّ، تدلّ على عدم جواز العدول من غير سورتي الجَحد والتوحيد إلى الجمعة والمنافقين بعد النصف أو الثّلثين، فيتعدّى إليهما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ما في كلام بعض المحقّقين رحمهم الله</w:t>
      </w:r>
      <w:r>
        <w:rPr>
          <w:rStyle w:val="FootnoteAnchor"/>
          <w:rtl w:val="true"/>
        </w:rPr>
        <w:footnoteReference w:id="512"/>
      </w:r>
      <w:r>
        <w:rPr>
          <w:rFonts w:ascii="Amiri" w:hAnsi="Amiri" w:eastAsia="Amiri" w:cs="Amiri"/>
          <w:color w:val="111111"/>
          <w:sz w:val="28"/>
          <w:sz w:val="28"/>
          <w:szCs w:val="28"/>
          <w:rtl w:val="true"/>
          <w:lang w:bidi="ar-SA"/>
        </w:rPr>
        <w:t>في المقام، من أنّ الدليل المتضمّن للحَدّ خُصّص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العدول من سورتي الجحد والتوحيد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الرجوع إلى سورتي الجمعة والمنافقين مطلقاً،</w:t>
      </w:r>
      <w:r>
        <w:rPr>
          <w:rFonts w:eastAsia="Amiri" w:cs="Amiri" w:ascii="Amiri" w:hAnsi="Amiri"/>
          <w:color w:val="111111"/>
          <w:sz w:val="28"/>
          <w:szCs w:val="28"/>
          <w:rtl w:val="true"/>
          <w:lang w:bidi="ar-SA"/>
        </w:rPr>
        <w:t xml:space="preserve">). </w:t>
      </w:r>
      <w:bookmarkStart w:id="235" w:name="pg11800_96934"/>
    </w:p>
    <w:p>
      <w:pPr>
        <w:pStyle w:val="BookText"/>
        <w:rPr/>
      </w:pPr>
      <w:bookmarkEnd w:id="235"/>
      <w:r>
        <w:rPr>
          <w:rFonts w:ascii="Amiri" w:hAnsi="Amiri" w:eastAsia="Amiri" w:cs="Amiri"/>
          <w:color w:val="111111"/>
          <w:sz w:val="28"/>
          <w:sz w:val="28"/>
          <w:szCs w:val="28"/>
          <w:rtl w:val="true"/>
          <w:lang w:bidi="ar-SA"/>
        </w:rPr>
        <w:t>حتّى لو كان ما بيده هو التوحيد والجحد، فالقراءة يوم الجمعة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الدليل المتضمّن للحَدّ، وما دلَّ على استحباب العدول من أي سورة إلى الجمعة والمنافقين عمومٌ من وجه، ولأجل حكومة الأوّل على الثاني أو أظهريّته يقدّم عليه، فلا وجه لتقييده بالثاني، فتدبّر</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0477907_73709187"/>
      <w:bookmarkStart w:id="237" w:name="_Toc89"/>
      <w:bookmarkEnd w:id="236"/>
      <w:r>
        <w:rPr>
          <w:rtl w:val="true"/>
        </w:rPr>
        <w:t>العدول في مورد الضرورة</w:t>
      </w:r>
      <w:bookmarkEnd w:id="237"/>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مع الضرورة العدول بعد بلوغ النصف أو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تحديد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سورتي الجحد والتوحيد،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513"/>
      </w:r>
      <w:r>
        <w:rPr>
          <w:rFonts w:ascii="Amiri" w:hAnsi="Amiri" w:eastAsia="Amiri" w:cs="Amiri"/>
          <w:color w:val="111111"/>
          <w:sz w:val="28"/>
          <w:sz w:val="28"/>
          <w:szCs w:val="28"/>
          <w:rtl w:val="true"/>
          <w:lang w:bidi="ar-SA"/>
        </w:rPr>
        <w:t>وغيره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بانسباق غير ذلك من نصوص المنع، فيرجع إلى الأصل، وهو يقتضى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القول في المقام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تحريم العدول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من باب الإرشاد إلى المضيّ‌، فيكون المضيّ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العدول إلى سورةٍ اُخرى من الموانع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تكون السّورة التي بيده جزءً معيّناً</w:t>
      </w:r>
      <w:r>
        <w:rPr>
          <w:rFonts w:eastAsia="Amiri" w:cs="Amiri" w:ascii="Amiri" w:hAnsi="Amiri"/>
          <w:color w:val="111111"/>
          <w:sz w:val="28"/>
          <w:szCs w:val="28"/>
          <w:rtl w:val="true"/>
          <w:lang w:bidi="ar-SA"/>
        </w:rPr>
        <w:t xml:space="preserve">. </w:t>
      </w:r>
      <w:bookmarkStart w:id="238" w:name="pg11800_96935"/>
    </w:p>
    <w:p>
      <w:pPr>
        <w:pStyle w:val="BookText"/>
        <w:rPr/>
      </w:pPr>
      <w:bookmarkEnd w:id="238"/>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المورد من موارد دوران الأمر بين المحذورين، إذ العدول حرام، وإتيان سورةٍ كاملة واجبٌ‌، والحكم فيها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انسباق غير ذلك من نصوص المنع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كما تُبيح ترك السّورة، كذلك تُبيح الاقتصار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يمكن أن تبيح العدول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العدول لعدم المزاحم، إذ المُضيّ لعدم إمكانه لا يكون واجباً، فلا مزاحم لوجوب الإتيان بسورة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المورد من موارد التنافي بين الأوامر والنواهي الضمنيّة، التي عرفت غير مرّة أنّها من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دليل وجوب السّورة، يعارض إطلاق دليل المنع عن العدول، فيتساقطان والمرجع هو الأصل، وهو يقتضي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الاقتصار، لأنّ السّورة التي تكون جزءً للصَّلاة منحصرة فيما شَرع فيه، وغيرها ليس جزءً‌، فلا وجه للعدول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الأقوال الاُخر، فلاحظ</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0477909_73709187"/>
      <w:bookmarkStart w:id="240" w:name="_Toc90"/>
      <w:bookmarkEnd w:id="239"/>
      <w:r>
        <w:rPr>
          <w:rtl w:val="true"/>
        </w:rPr>
        <w:t>نذر قراءة سورة معيّنة</w:t>
      </w:r>
      <w:bookmarkEnd w:id="240"/>
    </w:p>
    <w:p>
      <w:pPr>
        <w:pStyle w:val="BookText"/>
        <w:rPr/>
      </w:pPr>
      <w:r>
        <w:rPr>
          <w:rFonts w:ascii="Amiri" w:hAnsi="Amiri" w:eastAsia="Amiri" w:cs="Amiri"/>
          <w:color w:val="111111"/>
          <w:sz w:val="28"/>
          <w:sz w:val="28"/>
          <w:szCs w:val="28"/>
          <w:rtl w:val="true"/>
          <w:lang w:bidi="ar-SA"/>
        </w:rPr>
        <w:t>إذا نذرَ المكلّف أن يقرأ سورة خاصّة في صلاته، فنسي وقرأ غيرها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له العدول لو التفت في الأثناء، وكان ما شرع فيه سورتي الجحد والتوحيد، أو كان غيرهما، وكان بعد بلوغ الثّلثين أم لا؟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النذر لا يوجب انحصار السّورة الّتي تعدّ جزءً من الصَّلاة في السّورة المنذورة، فما شرع فيه نسياناً يكون جزءً للصَّلاة ومأموراً به بناءً على صحّة الترتّب، وعليه فموضوع حرمة العدول متحقّق، وحيثُ أنّ المعتبر في انعقاد النذر رجحان متعلّقه في ظرفه، وهو مفقودٌ في الفرض لحرمة العدول، فيكون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أنّه كما يعتبر في صحّة النذر رجحان المنذور في وقته، كذلك يعتبر في حرمة العدول مشروعيّة السّورة التي شرع فيها، وعليه فلابدّ إمّا من البناء على بطلان النذر، أو البناء على عدم حرمة العدول، بدعوى إنّ صحّة النذر توجبُ رفع مشروعيّة الإتمام وإمكانه، فيجوز لذلك العدول، ولا ريب في أنّ الثاني أرجح، لتقدّم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 آنفاً من أنّ النذر لا يوجب عدم مشروعيّة غير السّورة المنذورة، فعلى فرض صحّة النذر، لا يكون إتمام السّورة التي شَرَع فيها غَيرُ مشروعٍ‌، كي لا يكون العدول حراماً لذلك، فهو لا يكون رافعاً لإمكان العدول، ولكن إذا كان العدول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لإطلاق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قراءة السّورة المنذورة في الفرض مرجوحة، وإذا كانت قراءتهامرجوحة يصبح النذر باطلاً،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جواز العدول في الفرض</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41" w:name="pg11800_96937"/>
    </w:p>
    <w:p>
      <w:pPr>
        <w:pStyle w:val="Heading6"/>
        <w:numPr>
          <w:ilvl w:val="5"/>
          <w:numId w:val="1"/>
        </w:numPr>
        <w:rPr/>
      </w:pPr>
      <w:bookmarkStart w:id="242" w:name="__RefHeading___Toc10477911_73709187"/>
      <w:bookmarkStart w:id="243" w:name="_Toc91"/>
      <w:bookmarkEnd w:id="241"/>
      <w:bookmarkEnd w:id="242"/>
      <w:r>
        <w:rPr>
          <w:rtl w:val="true"/>
        </w:rPr>
        <w:t>القراءة من المصحف</w:t>
      </w:r>
      <w:bookmarkEnd w:id="24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القراءة من المصحف للقادر الحافظ وغيره،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الشهيدين</w:t>
      </w:r>
      <w:r>
        <w:rPr>
          <w:rStyle w:val="FootnoteAnchor"/>
          <w:rtl w:val="true"/>
        </w:rPr>
        <w:footnoteReference w:id="519"/>
      </w:r>
      <w:r>
        <w:rPr>
          <w:rFonts w:ascii="Amiri" w:hAnsi="Amiri" w:eastAsia="Amiri" w:cs="Amiri"/>
          <w:color w:val="111111"/>
          <w:sz w:val="28"/>
          <w:sz w:val="28"/>
          <w:szCs w:val="28"/>
          <w:rtl w:val="true"/>
          <w:lang w:bidi="ar-SA"/>
        </w:rPr>
        <w:t>، والمحقّق الثاني</w:t>
      </w:r>
      <w:r>
        <w:rPr>
          <w:rStyle w:val="FootnoteAnchor"/>
          <w:rtl w:val="true"/>
        </w:rPr>
        <w:footnoteReference w:id="520"/>
      </w:r>
      <w:r>
        <w:rPr>
          <w:rFonts w:ascii="Amiri" w:hAnsi="Amiri" w:eastAsia="Amiri" w:cs="Amiri"/>
          <w:color w:val="111111"/>
          <w:sz w:val="28"/>
          <w:sz w:val="28"/>
          <w:szCs w:val="28"/>
          <w:rtl w:val="true"/>
          <w:lang w:bidi="ar-SA"/>
        </w:rPr>
        <w:t>، وغيرهم</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المعهود من فعل النبيّ صلى الله عليه و آله فيجبُ التأسّي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وبالانصراف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من قرأ من المصحف، تكون صلاته في معرض البطلان بذهاب المصحف من يده أو عروض ما يمنعه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القراءة من المصحف مكروهة، فلا يمكن اتّصافها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عبد اللّه بن أوفى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سأل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أحفظ شيئاً من القرآن، فماذا أصنع‌؟</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اللّه والحَمدُ للّه</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عدم جواز القراءة منه، إذ لوجاز القراءة من المصحف لأمره صلى الله عليه و آله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علي بن جعفر، عن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يضع المصحف أمامه ينظر فيه، يقرأ ويُصلّي‌؟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بتلك الصَّلاة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فعله صلى الله عليه و آله لا يدلّ على اللّزوم، ودليل وجوب التأسّي قد عرفت أنّه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ومعرضيّة الصَّلاة للبطلان في صورة القراءة من المصحف أيضاً ممنوعة، وعلى فرضها لا توجب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وكراهة القراءة من المصحف، لا تنافي الوجوب، لكونها كراهة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خبر أوفى العامّي المحض، وإلّا لوجب قراءته من المصحف، لتقدّمها على التسبيح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ظاهراً في المنع، إلّاأنّه لابدَّ من رفع اليد عنه، وحمله على الكراهة، للجمع بينه وبين المصحّح الذي رواه أبان، عن الحسن بن زياد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يُصلّي وهو ينظرُ في المصحف، يقرأ فيه، يضع السّراج قريباً منه‌؟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4" w:name="pg11800_96939"/>
    </w:p>
    <w:p>
      <w:pPr>
        <w:pStyle w:val="Heading6"/>
        <w:numPr>
          <w:ilvl w:val="5"/>
          <w:numId w:val="1"/>
        </w:numPr>
        <w:rPr/>
      </w:pPr>
      <w:bookmarkStart w:id="245" w:name="__RefHeading___Toc10477913_73709187"/>
      <w:bookmarkStart w:id="246" w:name="_Toc92"/>
      <w:bookmarkEnd w:id="244"/>
      <w:bookmarkEnd w:id="245"/>
      <w:r>
        <w:rPr>
          <w:rtl w:val="true"/>
        </w:rPr>
        <w:t>اتّحاد الفيل ولإيلاف</w:t>
      </w:r>
      <w:bookmarkEnd w:id="24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اتّحاد سورتي الفيل ولإيلاف قريش، وكذا سورتي والضُّحى وألم نَشرح، فلا تُجزى في الصَّلاة إحداها، بناءً على وجوب سورة كاملة كما هو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وغيرها</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المرسل الذي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 الضُّحى وألم نَشرح سورة واحدة، وكذا الفيل ولإيلاف</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أصحابنا أنّ الضُّحى وألم نشرح سورة واحدة، لتعلّق إحداهما بالاُخرى‌، ولم يفصّلوا بينهما ببسم اللّه الرحمن الرحيم، وجمعوا بينهما في الركعة الواحدة في الفريضة، وكذلك القول في أَ لَمْ تَرَ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لِإِيلافِ‌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وموسّعٌ عليك أيّ سورة في فرائضك إلّاأربع،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والضُّحى و أَ لَمْ نَشْرَحْ‌ في ركعة لأنّهما جميعاً سورة واحدة، ولإيلاف و أَ لَمْ تَرَ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ركعة لأنّهما جميعاً سورة واحدة، ولا ينفرد بواحدة من هذه الأربع سور في ركعة</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كتاب القراءة لأحمد بن محمّد بن سيّار، عن البرقي، عن القاسم بن عروة، عن أبي العبّاس،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 وألم نشرح سورةٌ واحدة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المسند عن شجرة أخي بشر النبال</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 هذه النصوص منجبرٌ بعمل الأصحاب، ويؤيّده صحيح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أبو عبد اللّه عليه السلام الفجر، فقرأ الضُّحى وألم نشرح في ركعة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السّورة على كلّ واحدةٍ منها في خبر المفضّل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سورتين في ركعة واحدة، إلّاالضُّحى وألم نشرح، وألم تر كيف ولإيلاف</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فإنّما يكون باعتبار تعدّدها صورة لا حقيقة، لأنّه الذي يقتضيه الجمع بينه وبين النصوص المتقدّمة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الشّحام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أبو عبد اللّه عليه السلام فقرأ في الأُولى الضُّحى، وفي الثانية ألم نشرح</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وخبر داود الرِّقي،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طلع الفجر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وأقام وأقامني عن يمينه وقرأ في أوّل ركعة بالحمد والضُّحى، وفي الثانية بالحمد وقُل هو اللّه أحد ثمّ قَنَت</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ضعف سند الثاني، هما لا ينافيان ما تقدّم، بل يؤيّدان ما اخترناه من جواز التبعيض، وعدم وجوب السّورة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ظهر ضعف 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وجماعة ممّن تأخّر عنه</w:t>
      </w:r>
      <w:r>
        <w:rPr>
          <w:rStyle w:val="FootnoteAnchor"/>
          <w:rtl w:val="true"/>
        </w:rPr>
        <w:footnoteReference w:id="540"/>
      </w:r>
      <w:r>
        <w:rPr>
          <w:rFonts w:ascii="Amiri" w:hAnsi="Amiri" w:eastAsia="Amiri" w:cs="Amiri"/>
          <w:color w:val="111111"/>
          <w:sz w:val="28"/>
          <w:sz w:val="28"/>
          <w:szCs w:val="28"/>
          <w:rtl w:val="true"/>
          <w:lang w:bidi="ar-SA"/>
        </w:rPr>
        <w:t>من إنّه لقائلٍ أن يقول لا نُسلّم إنّهما سورة واحدة، وإنْ لزم قراءتهما في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الفصل بينهما بالبسمله، كما هو المنسوب</w:t>
      </w:r>
      <w:r>
        <w:rPr>
          <w:rStyle w:val="FootnoteAnchor"/>
          <w:rtl w:val="true"/>
        </w:rPr>
        <w:footnoteReference w:id="541"/>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لا يفصّل بينهما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إذ بعد ثبوت كونهما سورة واحدة، الشكّ في وجوب البسملة بينهما موردٌ لجريان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جماعةٍ‌</w:t>
      </w:r>
      <w:r>
        <w:rPr>
          <w:rStyle w:val="FootnoteAnchor"/>
          <w:rtl w:val="true"/>
        </w:rPr>
        <w:footnoteReference w:id="544"/>
      </w:r>
      <w:r>
        <w:rPr>
          <w:rFonts w:ascii="Amiri" w:hAnsi="Amiri" w:eastAsia="Amiri" w:cs="Amiri"/>
          <w:color w:val="111111"/>
          <w:sz w:val="28"/>
          <w:sz w:val="28"/>
          <w:szCs w:val="28"/>
          <w:rtl w:val="true"/>
          <w:lang w:bidi="ar-SA"/>
        </w:rPr>
        <w:t>من لزوم قراءتها بينهما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والاستدلال له بأصالة الاحتياط، للشكّ في قراءة السّورة بتركها، وبثبوتها في المصاحف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أصالة الاحتياط، فقد عرفت أنّ المورد موردٌ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ثبوتها في المصاحف، فهو أعمّ من الجزئيّة، إذ إثباتها فيها لعلّه يكون ناشئاً عن اعتقاد أنّ كلّ واحدة منها سورة مستقلّة، مع أنّ المحكيّ‌</w:t>
      </w:r>
      <w:r>
        <w:rPr>
          <w:rStyle w:val="FootnoteAnchor"/>
          <w:rtl w:val="true"/>
        </w:rPr>
        <w:footnoteReference w:id="545"/>
      </w:r>
      <w:r>
        <w:rPr>
          <w:rFonts w:ascii="Amiri" w:hAnsi="Amiri" w:eastAsia="Amiri" w:cs="Amiri"/>
          <w:color w:val="111111"/>
          <w:sz w:val="28"/>
          <w:sz w:val="28"/>
          <w:szCs w:val="28"/>
          <w:rtl w:val="true"/>
          <w:lang w:bidi="ar-SA"/>
        </w:rPr>
        <w:t>عن مصحف أُبيّ سقوطها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7" w:name="pg11800_96943"/>
    </w:p>
    <w:p>
      <w:pPr>
        <w:pStyle w:val="BookText"/>
        <w:rPr/>
      </w:pPr>
      <w:bookmarkEnd w:id="247"/>
      <w:r>
        <w:rPr>
          <w:rFonts w:ascii="Amiri" w:hAnsi="Amiri" w:eastAsia="Amiri" w:cs="Amiri"/>
          <w:color w:val="111111"/>
          <w:sz w:val="28"/>
          <w:sz w:val="28"/>
          <w:szCs w:val="28"/>
          <w:rtl w:val="true"/>
          <w:lang w:bidi="ar-SA"/>
        </w:rPr>
        <w:t>ويجبُ الجَهر في الصّبح، وأولتي المغرب، وأولتي العشاء، والإخفات في البواقي</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10477915_73709187"/>
      <w:bookmarkStart w:id="249" w:name="_Toc93"/>
      <w:bookmarkEnd w:id="248"/>
      <w:r>
        <w:rPr>
          <w:rtl w:val="true"/>
        </w:rPr>
        <w:t>الجَهرُ بالقراءة على الرِّجال</w:t>
      </w:r>
      <w:bookmarkEnd w:id="249"/>
    </w:p>
    <w:p>
      <w:pPr>
        <w:pStyle w:val="Heading6"/>
        <w:numPr>
          <w:ilvl w:val="5"/>
          <w:numId w:val="1"/>
        </w:numPr>
        <w:rPr/>
      </w:pPr>
      <w:bookmarkStart w:id="250" w:name="__RefHeading___Toc10477917_73709187"/>
      <w:bookmarkStart w:id="251" w:name="_Toc94"/>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في الصّبح وأولتي المغرب، وأولتي العشاء، والإخفات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إلّاظهر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فروع</w:t>
      </w:r>
      <w:r>
        <w:rPr>
          <w:rFonts w:eastAsia="IRNazanin" w:cs="IRNazanin"/>
          <w:color w:val="111111"/>
          <w:sz w:val="28"/>
          <w:szCs w:val="28"/>
          <w:rtl w:val="true"/>
          <w:lang w:bidi="fa-IR"/>
        </w:rPr>
        <w:t>:</w:t>
      </w:r>
    </w:p>
    <w:p>
      <w:pPr>
        <w:pStyle w:val="Heading6"/>
        <w:numPr>
          <w:ilvl w:val="5"/>
          <w:numId w:val="1"/>
        </w:numPr>
        <w:rPr/>
      </w:pPr>
      <w:bookmarkStart w:id="252" w:name="__RefHeading___Toc10477919_73709187"/>
      <w:bookmarkStart w:id="253" w:name="_Toc95"/>
      <w:bookmarkEnd w:id="252"/>
      <w:r>
        <w:rPr>
          <w:rtl w:val="true"/>
        </w:rPr>
        <w:t>يجبُ الجهر على الرِّجال في الصبح والمغرب والعشاء</w:t>
      </w:r>
      <w:bookmarkEnd w:id="253"/>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الجهر على الرِّجال في الصبح والمغرب والعشاء، والإخفات في الظهرين في غير الجمعة،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المرتضى رحمه الله</w:t>
      </w:r>
      <w:r>
        <w:rPr>
          <w:rStyle w:val="FootnoteAnchor"/>
          <w:rtl w:val="true"/>
        </w:rPr>
        <w:footnoteReference w:id="547"/>
      </w:r>
      <w:r>
        <w:rPr>
          <w:rFonts w:ascii="Amiri" w:hAnsi="Amiri" w:eastAsia="Amiri" w:cs="Amiri"/>
          <w:color w:val="111111"/>
          <w:sz w:val="28"/>
          <w:sz w:val="28"/>
          <w:szCs w:val="28"/>
          <w:rtl w:val="true"/>
          <w:lang w:bidi="ar-SA"/>
        </w:rPr>
        <w:t>وابن الجُنيد</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لوجوب الجهر والإخفات في مورديهما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جَهر فيما لا ينبغي الإجهار فيه، وأخفى فيما لا ينبغي الإخفاء فيه‌؟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نقض صلاته وعليه الإعادة، فإنْ فعل ذلك ناسياً أو ساهياً أو لا يدري، فلا شيء عليه، وقد تمّت صلاته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النقص بالضادّ المعجّمة في البطلان، وكذلك الأمر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النقص بالمهملة لا يضرّ، إذ مقتضى النقص حقيقةً بطلان الصَّلاة، لا سيّما مع تعقيبه بالأمر بالإعادة، مع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الموجود في كتب الفروع والاُصول بالمعجمة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الاخر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جَهر بالقراءة فيما لا ينبغي الجهر فيه، أو أخفى فيما لا ينبغي الإخفاء فيه، وترك القراءة فيما ينبغي القراءة فيه، أو قرأ فيما لا ينبغي القراءة فيه‌؟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ناسياً أو ساهياً فلا شيء عليه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بالمفهوم يدلّ على عدم جواز ذلك في صورة العمد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لعدم 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من الفريضة ما يجهر فيه بالقراءة، هل عليه أنْ لا يجهر؟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وإنْ شاء لم يفعل</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ولأجله يُحمل ما ظاهره الوجوب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لإعراض الأصحاب عنه لا يُعتمد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الأوّل لا يصحّ حمله على الاستحباب، لما فيه من التأكيد، لاسيما بملاحظة أنّ السؤال إنّما يكون عن الوجوب بعد فرض الرجحان</w:t>
      </w:r>
      <w:r>
        <w:rPr>
          <w:rFonts w:eastAsia="Amiri" w:cs="Amiri" w:ascii="Amiri" w:hAnsi="Amiri"/>
          <w:color w:val="111111"/>
          <w:sz w:val="28"/>
          <w:szCs w:val="28"/>
          <w:rtl w:val="true"/>
          <w:lang w:bidi="ar-SA"/>
        </w:rPr>
        <w:t xml:space="preserve">.). </w:t>
      </w:r>
      <w:bookmarkStart w:id="254" w:name="pg11800_96945"/>
    </w:p>
    <w:p>
      <w:pPr>
        <w:pStyle w:val="BookText"/>
        <w:rPr/>
      </w:pPr>
      <w:bookmarkEnd w:id="2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وَ اِبْتَغِ بَيْنَ ذلِكَ سَبِيلاً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فُسِّرت بتفاسير، منها أنّ المراد من الجهر المنهيّ عنه، الجهر العالي الزائد عن المتعارف، ومن الإخفات أنْ لا يُسمع نفسه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لكون مورد الجهر والإخفات اللّازمين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المتعارف من أوّل مشروعيّة الصَّلاة إلى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بن أكثم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الحسن عليه السلام عن صلاة الفجر، لِمَ يُجهَر فيها بالقراءة، وهي صلاة النهار، وإنّما يُجهر في صلاة اللّيل‌؟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آله كان يَغلس بها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 بن شاذان،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العلّة التي من أجلها جُعل الجهر في بعض الصلوات دون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الصلوات التي يُجهر فيها إنّما هي في أوقات مُظلمة، فوجب أن يُجهر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واللّتان لا يُجهر فيهما إنّما هما بالنهار في أوقات مضيئة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 w:name="__RefHeading___Toc10477921_73709187"/>
      <w:bookmarkStart w:id="256" w:name="_Toc96"/>
      <w:bookmarkEnd w:id="255"/>
      <w:r>
        <w:rPr>
          <w:rtl w:val="true"/>
        </w:rPr>
        <w:t>لا يجبُ الجَهر والإخفات في غير القراءة في الرّكعتين الأولتين</w:t>
      </w:r>
      <w:bookmarkEnd w:id="256"/>
    </w:p>
    <w:p>
      <w:pPr>
        <w:pStyle w:val="Heading6"/>
        <w:numPr>
          <w:ilvl w:val="5"/>
          <w:numId w:val="1"/>
        </w:numPr>
        <w:rPr/>
      </w:pPr>
      <w:bookmarkStart w:id="257" w:name="__RefHeading___Toc10477923_73709187"/>
      <w:bookmarkStart w:id="258" w:name="_Toc97"/>
      <w:bookmarkEnd w:id="257"/>
      <w:r>
        <w:rPr>
          <w:rtl w:val="true"/>
        </w:rPr>
        <w:t>اشارة</w:t>
      </w:r>
      <w:bookmarkEnd w:id="25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الجَهر والإخفات في غير القراءة في الرّكعتين الأولتين، أمّا فيما عدا ما هو وظيفة الأخيرتين من القراءة أو التسبيح، فالظاهر أنّه ممّا لا خلاف فيه، وعليه الإجماع وسيرة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يجهر بالتشهّد، والقول في الركوع والسّجود والقنوت‌؟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وإنْ شاء لم يجهر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علي بن يقطين، عن أبي الحسن موسى عليه السلام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كما فهمه الأصحاب أنّ ذكر هذه الأشياء في الصحيحين، إنّما هو من باب التمثيل، فيكون الحكم شاملاً لما يماثلها كالتكبير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بينهما وبين ما دلَّ على أنّ صلاة اللّيل جهريّة، وصلاة النهار إخفاتيّة، يقتضى حملهما على غير القراءة، واختصاصه بها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9" w:name="pg11800_96947"/>
    </w:p>
    <w:p>
      <w:pPr>
        <w:pStyle w:val="Heading6"/>
        <w:numPr>
          <w:ilvl w:val="5"/>
          <w:numId w:val="1"/>
        </w:numPr>
        <w:rPr/>
      </w:pPr>
      <w:bookmarkStart w:id="260" w:name="__RefHeading___Toc10477925_73709187"/>
      <w:bookmarkStart w:id="261" w:name="_Toc98"/>
      <w:bookmarkEnd w:id="259"/>
      <w:bookmarkEnd w:id="260"/>
      <w:r>
        <w:rPr>
          <w:rtl w:val="true"/>
        </w:rPr>
        <w:t>الإخفات في الرّكعتين الأخيرتين</w:t>
      </w:r>
      <w:bookmarkEnd w:id="261"/>
    </w:p>
    <w:p>
      <w:pPr>
        <w:pStyle w:val="BookText"/>
        <w:rPr/>
      </w:pPr>
      <w:r>
        <w:rPr>
          <w:rFonts w:ascii="Amiri" w:hAnsi="Amiri" w:eastAsia="Amiri" w:cs="Amiri"/>
          <w:color w:val="111111"/>
          <w:sz w:val="28"/>
          <w:sz w:val="28"/>
          <w:szCs w:val="28"/>
          <w:rtl w:val="true"/>
          <w:lang w:bidi="ar-SA"/>
        </w:rPr>
        <w:t>وأمّا فيما هو وظيفة الأخيرتين، فالمشهور بين الأصحاب شهرة عظيمة وجوب الإخفات فيه، وعن غير واحدٍ</w:t>
      </w:r>
      <w:r>
        <w:rPr>
          <w:rStyle w:val="FootnoteAnchor"/>
          <w:rtl w:val="true"/>
        </w:rPr>
        <w:footnoteReference w:id="55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وغيرها</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في التسبيحات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للوجوب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مواظبة النبيّ صلى الله عليه و آله والأئمّة عليهم السلام والمسلمين عليه، الكاشفة عن كونها من ما ينبغي الإخفات فيه، فيشملها صحيحاً زرارة، الدالّان على لزوم الإخفات فيما ينبغي الإخفات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في التسبيحات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خبر ابن حنظلة، الدالّ على التسوية بينها وبين القراءة، ثبوت وجوب الإخفات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وباستمرار سيرة النبيّ صلى الله عليه و آله والأئمّة عليهم السلام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الرّكعتين اللّتين يصمت فيهما الإمام، أيقرأ فيهما بالحمد وهو إمامٌ يُقتَدى به‌؟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 فلا بأس، وإنْ صمت فلا بأس</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إرادة الإخفات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المراد من الرّكعتين، الأخيرتان، فيستفاد منه أنّ الإخفات فيهما كان متعارفاً بين المسلمين ومفروغاً عنه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صلاة النهار 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إطلاقه وجوب الإخفات في تسبيحها، فيلحق به تسبيح غيرها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دخوله في التسوية الدالّ عليها خبر ابن حنظلة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واستمرار سيرة النبيّ صلى الله عليه و آله لا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التأسّي قد عرفت أنّه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الرّكعتين في الصحيح الأولتان، بقرينة تخيير المأموم بين القراءة وتركها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صلاة النهار إخفاتيّة، قد عرفت أنّه محمولٌ على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 له بما سَبق في القراءة، من التمسّك بصيح زرارة، الدالّ على لزوم الإخفات في كلّ موردٍ ينبغي الإخفات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بالقراءة، لما في صحيحه الآخر من التخصيص بها، ولأنّه مقتضى الجمع بينه وبين صحيح ابن يقطين المتقدّم، المشتمل على استثناء التشهّد وذكر الركوع والسّجود والقنوت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بما في صحيحه الآخر إنّما يكون في كلام السائل، فلا يوجب تقييد كلام الإمام عليه السلام، ولا تنافي بينه وبين صحيح ابن يقطين كي يُجمع بماذكر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لزوم الإخفات فيما هو وظيفة الأخيرتين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2" w:name="pg11800_96949"/>
    </w:p>
    <w:p>
      <w:pPr>
        <w:pStyle w:val="Heading6"/>
        <w:numPr>
          <w:ilvl w:val="5"/>
          <w:numId w:val="1"/>
        </w:numPr>
        <w:rPr/>
      </w:pPr>
      <w:bookmarkStart w:id="263" w:name="__RefHeading___Toc10477927_73709187"/>
      <w:bookmarkStart w:id="264" w:name="_Toc99"/>
      <w:bookmarkEnd w:id="262"/>
      <w:bookmarkEnd w:id="263"/>
      <w:r>
        <w:rPr>
          <w:rtl w:val="true"/>
        </w:rPr>
        <w:t>الجَهرُ في ظهر يوم الجمعة</w:t>
      </w:r>
      <w:bookmarkEnd w:id="264"/>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في صلاة الجمعة، وظهر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 الأكابر</w:t>
      </w:r>
      <w:r>
        <w:rPr>
          <w:rStyle w:val="FootnoteAnchor"/>
          <w:rtl w:val="true"/>
        </w:rPr>
        <w:footnoteReference w:id="568"/>
      </w:r>
      <w:r>
        <w:rPr>
          <w:rFonts w:ascii="Amiri" w:hAnsi="Amiri" w:eastAsia="Amiri" w:cs="Amiri"/>
          <w:color w:val="111111"/>
          <w:sz w:val="28"/>
          <w:sz w:val="28"/>
          <w:szCs w:val="28"/>
          <w:rtl w:val="true"/>
          <w:lang w:bidi="ar-SA"/>
        </w:rPr>
        <w:t>حكاية الإجماع عليه،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والقراءة فيها بالجهر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العزرمي،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يوم الجمعة وقد سَبَقك بركعةٍ فأضف إليها ركعة اُخرى وأجهر فيها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المحمولة على الاستحباب، بقرينة الإجماع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به فيها لوروده مورد توهّم الحظر، لا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عمران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يُصلّي الجمعة أربع ركعات، أيجهر فيها بالقراءة‌؟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ونحوه مصحّح الحلبي</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الإمام الصادق عليه السلام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السفر صلاة الجمعة جماعةً بغير خطبة، واجهروا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يُنكر علينا الجهر بها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اجهروا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صلاة ظهر يوم الجمعة، كيف نُصلّيها في السفر؟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تُصلّيها في السفر ركعتين، والقراءة فيهما جهر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محمولة على الاستحباب، بقرينة جملةٍ من النصوص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الجماعة يوم الجمعة في السفر؟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تصنعون كما تصنعون في الظهر، ولا يجهر الإمام فيها بالقراءة، إنّما يجهر إذا كانت خطبة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ابن مسلم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دعوى عدم ظهور النصوص في الوجوب في أنفسها غير بعيدة، لأنّ الأمر به فيها لوروده مورد توهّم المنع، كما يشير إليه صحيح محمّد بن مسلم، الظاهر في أنّ الجهر كان أمراً منكراً لدى المسلمين، لا يكون ظاهراً في الوجوب، فيحمل النهي في الخبرين على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المزبور ليس جمعاً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رعاية القرائن الداخليّة في مقام الجمع، يظهر كونه عرفيّاً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عن ذلك فيتعيّن الأخذ بالنصوص الأول، لعمل الأصحاب بها،</w:t>
      </w:r>
      <w:r>
        <w:rPr>
          <w:rFonts w:eastAsia="Amiri" w:cs="Amiri" w:ascii="Amiri" w:hAnsi="Amiri"/>
          <w:color w:val="111111"/>
          <w:sz w:val="28"/>
          <w:szCs w:val="28"/>
          <w:rtl w:val="true"/>
          <w:lang w:bidi="ar-SA"/>
        </w:rPr>
        <w:t xml:space="preserve">). </w:t>
      </w:r>
      <w:bookmarkStart w:id="265" w:name="pg11800_96951"/>
    </w:p>
    <w:p>
      <w:pPr>
        <w:pStyle w:val="BookText"/>
        <w:rPr/>
      </w:pPr>
      <w:bookmarkEnd w:id="265"/>
      <w:r>
        <w:rPr>
          <w:rFonts w:ascii="Amiri" w:hAnsi="Amiri" w:eastAsia="Amiri" w:cs="Amiri"/>
          <w:color w:val="111111"/>
          <w:sz w:val="28"/>
          <w:sz w:val="28"/>
          <w:szCs w:val="28"/>
          <w:rtl w:val="true"/>
          <w:lang w:bidi="ar-SA"/>
        </w:rPr>
        <w:t>ومخالفتها للعامّة، فيُحمل الخبران على التقيّة، كما عن الشيخ رحمه الله</w:t>
      </w:r>
      <w:r>
        <w:rPr>
          <w:rStyle w:val="FootnoteAnchor"/>
          <w:rtl w:val="true"/>
        </w:rPr>
        <w:footnoteReference w:id="577"/>
      </w:r>
      <w:r>
        <w:rPr>
          <w:rFonts w:ascii="Amiri" w:hAnsi="Amiri" w:eastAsia="Amiri" w:cs="Amiri"/>
          <w:color w:val="111111"/>
          <w:sz w:val="28"/>
          <w:sz w:val="28"/>
          <w:szCs w:val="28"/>
          <w:rtl w:val="true"/>
          <w:lang w:bidi="ar-SA"/>
        </w:rPr>
        <w:t>، ولكن ذلك لايستلزم القول بالوجوب لما عرفت من عدم ظهور النصوص فيه، فالقول بالوجوب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إدريس</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 لنصوصه، لاعتضادها بإطلاقات الإخفات، ضعيفٌ لما عرفت من أنّ الترجيح لنصوص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رحمه الله</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الإمام فيجهر، وغيره فلا، واستدلّ له بخبر علي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يُصلّي العيدين وحده والجمعة، هل يُجهر فيهما؟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يجهر إلّا الإمام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في نفسه، وعدم عمل الأصحاب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بمصحّح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القراءة في الجمعة إذا صلّيت وحدي أربعاً، أجهر بالقراءة‌؟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ويتعيّن الأخذ به لوجوهٍ لا تخفى‌</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0477929_73709187"/>
      <w:bookmarkStart w:id="267" w:name="_Toc100"/>
      <w:bookmarkEnd w:id="266"/>
      <w:r>
        <w:rPr>
          <w:rtl w:val="true"/>
        </w:rPr>
        <w:t>لا جَهر على النِّساء في الصّلوات الجَهريّة</w:t>
      </w:r>
      <w:bookmarkEnd w:id="267"/>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الجهر على النساء في الصلوات الجهريّة إجماعاً، حكاه جماعة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الأصل، إذ ما دلَّ على لزوم الجهر مختصٌّ بالرِّجال، ولا يشمل النساء، وليس المورد من موارد التمسّك بقاعدة الاشتراك، لأنّ في المرأة خصوصيّة مقتضية لعدم مطلوبيّة الجهر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النساء هل عليهن الجهر بالقراءة في الفريضة‌؟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تكون امرأة تؤمّ النساء، فتجهر بقدر ما تسمع قراءتها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المنجبر ضعف سنده بعمل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 له أيضاً بأنّ صوتها عورة يحرم إسماعه للأجنبي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لازم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الجهر لا عدم وجوبه، ما تقدّم في مبحث الأذان والإقامة من منع ذلك، فراجع</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فرض تماميّة هذا الوجه، الأظهر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جَهرَتْ وسَمعها الأجنبي فالأقربُ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النهي عن الإسماع، نهيٌ عن الجهر بالقراءة، لكونه مصداقاً له، وحيث أنّ الجهر والإخفات يعدّان من الأعراض الانتزاعيّة الّتي لا وجود لها سوى وجود معروضاتها، فالنهي عن الإجهاربالقراءة، نهيٌ عن الحصّة الخاصّة من القراءة فتبطل، إذ النهي عن العبادة يوجبُ الفساد، وفساد القراءة يوجبُ فساد الصَّلاة المشتملة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قصد بها الجزئيّة، فلصدق الزيادة عليها، وأمّا إنْ لم يقصد بها الجزئيّة، فلما دلَّ على مبطليّة الكلام العمدي الخارج عنه الذكر والدّعاء والقرآن غير المحرّمة</w:t>
      </w:r>
      <w:r>
        <w:rPr>
          <w:rFonts w:eastAsia="Amiri" w:cs="Amiri" w:ascii="Amiri" w:hAnsi="Amiri"/>
          <w:color w:val="111111"/>
          <w:sz w:val="28"/>
          <w:szCs w:val="28"/>
          <w:rtl w:val="true"/>
          <w:lang w:bidi="ar-SA"/>
        </w:rPr>
        <w:t xml:space="preserve">.). </w:t>
      </w:r>
      <w:bookmarkStart w:id="268" w:name="pg11800_96953"/>
    </w:p>
    <w:p>
      <w:pPr>
        <w:pStyle w:val="BookText"/>
        <w:rPr/>
      </w:pPr>
      <w:bookmarkEnd w:id="268"/>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من الإشكال عليه بأنّه لا وجه للفساد، لكون النهي عن أمرٍ خارج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الإخفاتيّة، فالظاهر وجوب الإخفات عليهن، لقاعدة الاشتراك</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0477931_73709187"/>
      <w:bookmarkStart w:id="270" w:name="_Toc101"/>
      <w:bookmarkEnd w:id="269"/>
      <w:r>
        <w:rPr>
          <w:rtl w:val="true"/>
        </w:rPr>
        <w:t>حكم الجهر في موضع الإخفات</w:t>
      </w:r>
      <w:bookmarkEnd w:id="270"/>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جَهَر المُصلّي في موضع الإخفات، أو أخفتَ في موضع الجهر ناسياً أو جاهلاً ولو بالحكم، صحّت صلاته،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المتقدّم في أوّل المسألة، ومقتضى إطلاقه عدم الفرق فيه بين الجاهل بوجوبهما أو الجاهل بمحلّهما، كمَن تخيّل أنّ الصبح إخفاتيّة والظهر جهريّة،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وإنْ كان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من إنّ شمول الدليل للثاني محلّ نظر أو منعٍ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إطلاق النصّ‌، عدم الفرق بين الجاهل المتنبّه للسؤال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 الصحيح إلى الثاني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تذكّر الناسي أو الجاهل قبل الركوع، لا يجب عليه إعادة القراءة، لإطلاق الصحيح، وعموم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بناءً على ما هو الحقّ من عمومه لصورة الجهل، وكذا لو تذكّر في الأثناء، لإطلاق النص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بالتذكّر بعد الفراغ من الصَّلاة،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إرادة المقدار الواقع منها، ولا سيّما بملاحظة مقابلته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يُشكل في تعقّل هذا الحكم في الجاهل المقصّر، من جهة أنّ اعتبار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منوطاً بالعلم أو لا يكون‌؟</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لاستحقاق العقوبة على المخالفة، لعدم كونها مخالفة للواقع، مع أنّ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يقبل الشارع الصَّلاة الفاقدة لأحدهما بعد وجودها بدلاً عن الواجد ممّا يوجب سقوط الواجب، فلا وجه أيضاً لاستحقاق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يقبلها، فيلزم بطلان الصَّلاة الفاقدة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استحقاق العقوبة، المتوقّف على مخالفة الواقع، مع الصحّة المتوقّفة على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اُجيب عن هذا الإشكال بوجوهٍ‌، أحسنها منع استحقاق العقاب، والالتزام بأنّه في حال الجهل يكون الحكم الواقعي هو التخيير بين الجهر والإخفات، فيُجزى الإتيان بكلّ منهما، فلا موجب للعقاب عند الإتيان بأحدهما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مندفعة بعدم التعرّض له في كلمات جماعة من الأصحاب، مع أنّ المسألة عقليّة لا يكون الإجماع فيها حجّة، مضافاً إلى معلوميّة مدرك المجمعين</w:t>
      </w:r>
      <w:r>
        <w:rPr>
          <w:rFonts w:eastAsia="Amiri" w:cs="Amiri" w:ascii="Amiri" w:hAnsi="Amiri"/>
          <w:color w:val="111111"/>
          <w:sz w:val="28"/>
          <w:szCs w:val="28"/>
          <w:rtl w:val="true"/>
          <w:lang w:bidi="ar-SA"/>
        </w:rPr>
        <w:t>.</w:t>
      </w:r>
      <w:bookmarkStart w:id="271" w:name="pg11800_96955"/>
    </w:p>
    <w:p>
      <w:pPr>
        <w:pStyle w:val="Heading6"/>
        <w:numPr>
          <w:ilvl w:val="5"/>
          <w:numId w:val="1"/>
        </w:numPr>
        <w:rPr/>
      </w:pPr>
      <w:bookmarkStart w:id="272" w:name="__RefHeading___Toc10477933_73709187"/>
      <w:bookmarkStart w:id="273" w:name="_Toc102"/>
      <w:bookmarkEnd w:id="271"/>
      <w:bookmarkEnd w:id="272"/>
      <w:r>
        <w:rPr>
          <w:rtl w:val="true"/>
        </w:rPr>
        <w:t>التمييز بين الجهر والإخفات</w:t>
      </w:r>
      <w:bookmarkEnd w:id="273"/>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عبارات القوم في التمييز بين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فالمصرّح به في كلمات جماعةٍ منهم</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الجهر أن يُسمِع غيره القريب منه، والإخفات أنْ يكون بحيث يَسمع نفسه لو كان سَميعاً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90"/>
      </w:r>
      <w:r>
        <w:rPr>
          <w:rFonts w:ascii="Amiri" w:hAnsi="Amiri" w:eastAsia="Amiri" w:cs="Amiri"/>
          <w:color w:val="111111"/>
          <w:sz w:val="28"/>
          <w:sz w:val="28"/>
          <w:szCs w:val="28"/>
          <w:rtl w:val="true"/>
          <w:lang w:bidi="ar-SA"/>
        </w:rPr>
        <w:t>إنّه 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إنّه إجماع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إدريس الحلّي</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الإخفات أعلاه أن تَسمع اُذناك القراءة، وليس له حَدٌّ أدنى‌، وإنْ لم تسمع اُذناه القراءة، فلا صلاة له، وإنْ سمعه مَنْ عن يمينه أو يساره صار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الراوندي</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الجهر أنْ يَسمع من يليك، وأكثر الإخفات أن تسمع نفسك، وعلى هذا فلا يتصادقان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آخرين</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أعلى الإخفات أدنى الجهر، ولازمه التصادق بينهما مورداً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 ذلك مخالفٌ للعرف واللّغة، بل الإخفات بحيثُ لا يسمع الغير </w:t>
      </w:r>
    </w:p>
    <w:p>
      <w:pPr>
        <w:pStyle w:val="BookText"/>
        <w:rPr/>
      </w:pPr>
      <w:r>
        <w:rPr>
          <w:rFonts w:ascii="Amiri" w:hAnsi="Amiri" w:eastAsia="Amiri" w:cs="Amiri"/>
          <w:color w:val="111111"/>
          <w:sz w:val="28"/>
          <w:sz w:val="28"/>
          <w:szCs w:val="28"/>
          <w:rtl w:val="true"/>
          <w:lang w:bidi="ar-SA"/>
        </w:rPr>
        <w:t>عَسرٌ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لا يكون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ذكره المحقّق رحمه الله</w:t>
      </w:r>
      <w:r>
        <w:rPr>
          <w:rStyle w:val="FootnoteAnchor"/>
          <w:rtl w:val="true"/>
        </w:rPr>
        <w:footnoteReference w:id="597"/>
      </w:r>
      <w:r>
        <w:rPr>
          <w:rFonts w:ascii="Amiri" w:hAnsi="Amiri" w:eastAsia="Amiri" w:cs="Amiri"/>
          <w:color w:val="111111"/>
          <w:sz w:val="28"/>
          <w:sz w:val="28"/>
          <w:szCs w:val="28"/>
          <w:rtl w:val="true"/>
          <w:lang w:bidi="ar-SA"/>
        </w:rPr>
        <w:t>وجماعة من المتأخّرين عنه</w:t>
      </w:r>
      <w:r>
        <w:rPr>
          <w:rStyle w:val="FootnoteAnchor"/>
          <w:rtl w:val="true"/>
        </w:rPr>
        <w:footnoteReference w:id="598"/>
      </w:r>
      <w:r>
        <w:rPr>
          <w:rFonts w:ascii="Amiri" w:hAnsi="Amiri" w:eastAsia="Amiri" w:cs="Amiri"/>
          <w:color w:val="111111"/>
          <w:sz w:val="28"/>
          <w:sz w:val="28"/>
          <w:szCs w:val="28"/>
          <w:rtl w:val="true"/>
          <w:lang w:bidi="ar-SA"/>
        </w:rPr>
        <w:t xml:space="preserve">،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 الجهر ظهور جوهر الصوت ويلزمه سماع الغير، ومناط الإخفات عدم ظهوره مقيّداً بعدم سماع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لم يرد عن الشارع تحديدٌ لهما، فمقتضى القاعدة الرجوع فيهما إلى العرف، ومع ذلك الأحوط مراعاة أدنى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له الاكتفاء بمثل الهمهمة، إذ يعتبر في صدق القراءة أنْ يكون بحيث يسمعه نفسه إنْ كان سميعاً 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من القراءة والدّعاء إلّاما سمع نفسه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ويقتضيه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تُخافِتْ بِها </w:t>
      </w:r>
      <w:r>
        <w:rPr>
          <w:rStyle w:val="FootnoteAnchor"/>
          <w:rtl w:val="true"/>
        </w:rPr>
        <w:footnoteReference w:id="602"/>
      </w:r>
      <w:r>
        <w:rPr>
          <w:rFonts w:ascii="Amiri" w:hAnsi="Amiri" w:eastAsia="Amiri" w:cs="Amiri"/>
          <w:color w:val="111111"/>
          <w:sz w:val="28"/>
          <w:sz w:val="28"/>
          <w:szCs w:val="28"/>
          <w:rtl w:val="true"/>
          <w:lang w:bidi="ar-SA"/>
        </w:rPr>
        <w:t>المفسّر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دون السمع</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خبر إسحاق بن عمّار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يقرأ الرّجل وثوبه على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إذا سمع اُذنيه الهمهمة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يصلح أنْ يقرأ في صلاته، ويُحرّك لسانه بالقراءة في لهواته، من غير أن يسمع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من حمل الثاني منهما على ما إذا كان مصلّياً خلف المخالف، للأدلّة الدالّة على أنّه يُجزى من القراءة خلفه مثل 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فهو لا ينافي ما تقدّم، إذ الهمهمة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وبقرينة النصوص المتقدّمة، يُحمل الصحيح على خصوص الكلام الخفي الذي يسمعه نفسه وغيره إذا كان قريباً،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يعتبر في الجهر أنْ لا يخرج عن المعتاد بأن يصبح صياحاً وصراخاً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وتشهد له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w:t>
      </w:r>
      <w:r>
        <w:rPr>
          <w:rStyle w:val="FootnoteAnchor"/>
          <w:rtl w:val="true"/>
        </w:rPr>
        <w:footnoteReference w:id="609"/>
      </w:r>
      <w:r>
        <w:rPr>
          <w:rFonts w:ascii="Amiri" w:hAnsi="Amiri" w:eastAsia="Amiri" w:cs="Amiri"/>
          <w:color w:val="111111"/>
          <w:sz w:val="28"/>
          <w:sz w:val="28"/>
          <w:szCs w:val="28"/>
          <w:rtl w:val="true"/>
          <w:lang w:bidi="ar-SA"/>
        </w:rPr>
        <w:t>بضميمة موثّق سماعة</w:t>
      </w:r>
      <w:r>
        <w:rPr>
          <w:rStyle w:val="FootnoteAnchor"/>
          <w:rtl w:val="true"/>
        </w:rPr>
        <w:footnoteReference w:id="610"/>
      </w:r>
      <w:r>
        <w:rPr>
          <w:rFonts w:ascii="Amiri" w:hAnsi="Amiri" w:eastAsia="Amiri" w:cs="Amiri"/>
          <w:color w:val="111111"/>
          <w:sz w:val="28"/>
          <w:sz w:val="28"/>
          <w:szCs w:val="28"/>
          <w:rtl w:val="true"/>
          <w:lang w:bidi="ar-SA"/>
        </w:rPr>
        <w:t>، المتضمّن لتفسير الجهر المنهيّ عنه برفع الصوت شديداً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274" w:name="pg11800_96958"/>
    </w:p>
    <w:p>
      <w:pPr>
        <w:pStyle w:val="BookText"/>
        <w:rPr/>
      </w:pPr>
      <w:bookmarkEnd w:id="274"/>
      <w:r>
        <w:rPr>
          <w:rFonts w:ascii="Amiri" w:hAnsi="Amiri" w:eastAsia="Amiri" w:cs="Amiri"/>
          <w:color w:val="111111"/>
          <w:sz w:val="28"/>
          <w:sz w:val="28"/>
          <w:szCs w:val="28"/>
          <w:rtl w:val="true"/>
          <w:lang w:bidi="ar-SA"/>
        </w:rPr>
        <w:t>ولا يجوزُ قراءة العَزائم في الفرائض</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0477935_73709187"/>
      <w:bookmarkStart w:id="276" w:name="_Toc103"/>
      <w:bookmarkEnd w:id="275"/>
      <w:r>
        <w:rPr>
          <w:rtl w:val="true"/>
        </w:rPr>
        <w:t>قراءة العزيمة في الفريضة</w:t>
      </w:r>
      <w:bookmarkEnd w:id="276"/>
    </w:p>
    <w:p>
      <w:pPr>
        <w:pStyle w:val="Heading6"/>
        <w:numPr>
          <w:ilvl w:val="5"/>
          <w:numId w:val="1"/>
        </w:numPr>
        <w:rPr/>
      </w:pPr>
      <w:bookmarkStart w:id="277" w:name="__RefHeading___Toc10477937_73709187"/>
      <w:bookmarkStart w:id="278" w:name="_Toc104"/>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وغيرها</w:t>
      </w:r>
      <w:r>
        <w:rPr>
          <w:rStyle w:val="FootnoteAnchor"/>
          <w:rtl w:val="true"/>
        </w:rPr>
        <w:footnoteReference w:id="61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زرارة، 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الطريق القاسم بن عروة، وهو مجهول، وعبد اللّه بن بُكير وهو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بُكير موثّق، ومن أصحاب الإجماع، وأمّا القاسم فهو وإنْ اختلفت كلمات الأصحاب فيه، إلّاأنّ الأظهر كونه حسناً، لكونه إماميّاً مدحه جماعة، هذا مضافاً إلى أنّ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بالشهرة العظيمة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اِقْرَأْ بِاسْمِ رَبِّكَ‌ </w:t>
      </w:r>
      <w:r>
        <w:rPr>
          <w:rStyle w:val="FootnoteAnchor"/>
          <w:rtl w:val="true"/>
        </w:rPr>
        <w:footnoteReference w:id="617"/>
      </w:r>
      <w:r>
        <w:rPr>
          <w:rFonts w:ascii="Amiri" w:hAnsi="Amiri" w:eastAsia="Amiri" w:cs="Amiri"/>
          <w:color w:val="111111"/>
          <w:sz w:val="28"/>
          <w:sz w:val="28"/>
          <w:szCs w:val="28"/>
          <w:rtl w:val="true"/>
          <w:lang w:bidi="ar-SA"/>
        </w:rPr>
        <w:t>فإذا خَتَمها فليسجد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تقرأ في الفريضة، اقرأ في التطوّع</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بينهما وبين حسن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يقرأ السّجدة في آخر السّورة‌؟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ثمّ يقوم فيقرأ فاتحة الكتاب، ثمّ يركع ويسجد</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ونحوه غيره حملهما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أخصّ من هذه النصوص، لاختصاصهما بالفريضة، فتقيّد بهما نصوص الجواز، فتختصّ بالنافلة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في الفريضة سورة النجم، أيركع بها أو يسجد، ثمّ يقوم فيقرأ بغيرها؟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ثمّ يقوم فيقرأ بفاتحة الكتاب ويركع، وذلك زيادة في الفريضة، ولا يعود يقرأ في الفريضة بسجدة</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فدلالته على الجواز وإنْ كانت لا تُنكر، لظهور السؤال في المفروغيّة عن الجواز،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الحرمة، كي يكون رادعاً عمّا اعتقده السائل، لأنّ الظاهر منه كون النهي عن العود من جهة الزيادة، وحيثُ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قادحيّتها، فلابدّ من حمل النهي على الكراهة، وحمله على صورة السهو أو غيره منافٍ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الجمع بينه وبين نصوص المنع، حملها على الكراهة، لا أنّه لإعراض الأصحاب عنه لا يعتمد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ما في خبره الآخر، عن أخيه عليه السلام، قال</w:t>
      </w:r>
      <w:r>
        <w:rPr>
          <w:rFonts w:eastAsia="Amiri" w:cs="Amiri" w:ascii="Amiri" w:hAnsi="Amiri"/>
          <w:color w:val="111111"/>
          <w:sz w:val="28"/>
          <w:szCs w:val="28"/>
          <w:rtl w:val="true"/>
          <w:lang w:bidi="ar-SA"/>
        </w:rPr>
        <w:t xml:space="preserve">:). </w:t>
      </w:r>
      <w:bookmarkStart w:id="279" w:name="pg11800_96960"/>
    </w:p>
    <w:p>
      <w:pPr>
        <w:pStyle w:val="BookText"/>
        <w:rPr/>
      </w:pPr>
      <w:bookmarkEnd w:id="2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إمامٍ يقرأ السّجدة، فأحدث قبل أن يسجد،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غيره فيسجد ويسجدون، وينصرف هو، وقد تمّت صلاتهم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فالمعتمد نصوص المنع، وعليه فالنهي المذكور مع قطع النظر عن التعليل بأنّ السّجود زيادة في المكتوبة، يكون ظاهراً في الإرشاد إلى المانعيّة، وأمّا بالنظر إليه فالظاهر منه الإرشاد إلى حُكم العقل بحرمة التسبيب إلى مزاحمة الواجبين المضيّقين، الموجبة لسقوط أحدهما،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إتمام الصَّلاة والمضيّ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السّجود للعزيمة فوراً، لأنّه بمنزلة ترك الساقط اختياراً، فتكون قراءتها حراماً، فلو أتى بها تبطل الصَّلاة ولو لم يسجد، أمّا إذا قصد بها الجزئيّة فلصدق الزيادة، وأمّا إنْ لم يقصد بها الجزئيّة، فلأنّ الكلام المحرّم وإنْ كان معدوداً من الأذكار في حدّ نفسه ومن أجزاء الصَّلاة، لكنّه يوجب بطلان الصَّلاة، كما حُقّق في محلّه</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0477939_73709187"/>
      <w:bookmarkStart w:id="281" w:name="_Toc105"/>
      <w:bookmarkEnd w:id="280"/>
      <w:r>
        <w:rPr>
          <w:rtl w:val="true"/>
        </w:rPr>
        <w:t>استماع آية السَّجدة في الصَّلاة</w:t>
      </w:r>
      <w:bookmarkEnd w:id="28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وتتفرّع على ذلك اُمور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يوجب وجوب السّجود ويكون اختياريّاً، كالاستماع والسماع الاختياري، يكون حراماً، لكونه موجباً لسقوط أحد الواجبين، وقد عرفت أنّه بمنزلة ترك الساقط، ولكن شيئاً منه غير القراءة بنفسه لا يوجب بطلان الصَّلاة، بل يكون حاله حال النظر إلى الأجنبيّة</w:t>
      </w:r>
      <w:r>
        <w:rPr>
          <w:rFonts w:eastAsia="Amiri" w:cs="Amiri" w:ascii="Amiri" w:hAnsi="Amiri"/>
          <w:color w:val="111111"/>
          <w:sz w:val="28"/>
          <w:szCs w:val="28"/>
          <w:rtl w:val="true"/>
          <w:lang w:bidi="ar-SA"/>
        </w:rPr>
        <w:t xml:space="preserve">. </w:t>
      </w:r>
      <w:bookmarkStart w:id="282" w:name="pg11800_96961"/>
    </w:p>
    <w:p>
      <w:pPr>
        <w:pStyle w:val="BookText"/>
        <w:rPr/>
      </w:pPr>
      <w:bookmarkEnd w:id="282"/>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بالسجود بعد الاستماع، يوجب فساد الصَّلاة، لكونه أمراً بالإبطال، ولا يعقل معه بقاء الأمر بالمُضيّ في صلاته الّذي هو لازم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يظهر من النصوص، كون السّجود أهمّ من المُضيّ في الصلاة، ليكون هو المأمور به، دونه فيكون الإبطال مأموراً به؛ لما عرفت من أنّ التعليل إنّما يدلّ على أنّ حرمة القراءة إنّما تكون لأجل كونها سبباً لمزاحمة الواجبين المضيّقين، ولا يدلّ على تقديم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النصوص الآمرة بالإيماء في الصَّلاة في الفروع الآتية، أهميّة الصَّلاة، فلا أمر بالسجدة بعد الاستماع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الوجه في فتوى جماعةٍ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الثاني</w:t>
      </w:r>
      <w:r>
        <w:rPr>
          <w:rStyle w:val="FootnoteAnchor"/>
          <w:rtl w:val="true"/>
        </w:rPr>
        <w:footnoteReference w:id="622"/>
      </w:r>
      <w:r>
        <w:rPr>
          <w:rFonts w:ascii="Amiri" w:hAnsi="Amiri" w:eastAsia="Amiri" w:cs="Amiri"/>
          <w:color w:val="111111"/>
          <w:sz w:val="28"/>
          <w:sz w:val="28"/>
          <w:szCs w:val="28"/>
          <w:rtl w:val="true"/>
          <w:lang w:bidi="ar-SA"/>
        </w:rPr>
        <w:t>وغيره</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الاستماع لآية السّجدة، وعدم وجوب السّجدة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أهميّة فوريّة السّجدة، والأمر بها، لكنّها لا توجب عدم الأمر بالمُضيّ في الصَّلاة ولو على سبيل الترتّب، فلو لم يسجد ومضى في صلاته، صَحّت صلاته، فتدبّر</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10477941_73709187"/>
      <w:bookmarkStart w:id="284" w:name="_Toc106"/>
      <w:bookmarkEnd w:id="283"/>
      <w:r>
        <w:rPr>
          <w:rtl w:val="true"/>
        </w:rPr>
        <w:t>قراءة العزيمة سهواً</w:t>
      </w:r>
      <w:bookmarkEnd w:id="28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المُصلّي إحدى سور العزائم ساهياً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يتذكّر بعد الدخول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يتذكّر بعد قراءة آية السّجدة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يتذكّر قبل قراءتها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تذكّر بعد الدخول في الركوع، فلا شبهة في صحّة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تذكّر قبل تلاوة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جواز التبعيض، له الاكتفاء بما قرأ، وتصحّ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عدمه، فعلى القول بعدم كون الإتيان ببعض السّورة بقصد الجزئيّة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نصوص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تبطل صلاته، ولكن لابدَّ له من الرجوع إلى سورةٍ اُخرى‌، ويتمّ صلاته، ويشير إليه موثّق عمّار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تذكّر بعد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ترتّب محذورٌ آخر على قراءة سورة اُخرى‌، صحّت صلاته بلا إشكال،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ففي وجوب سورةٍ اُخرى وجهان، أقواهما العدم، لما عرفت من إنّ سورة العزيمة من حيثُ هي لا توجب البطلان، بل البطلان إنّما يكون من جهة كونها حراماً، المختصّة حرمتها بغير حال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العدول،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26"/>
      </w:r>
      <w:r>
        <w:rPr>
          <w:rFonts w:ascii="Amiri" w:hAnsi="Amiri" w:eastAsia="Amiri" w:cs="Amiri"/>
          <w:color w:val="111111"/>
          <w:sz w:val="28"/>
          <w:sz w:val="28"/>
          <w:szCs w:val="28"/>
          <w:rtl w:val="true"/>
          <w:lang w:bidi="ar-SA"/>
        </w:rPr>
        <w:t>، واستدلّ له بإطلاق ما دلَّ على النهي عن العزيمة، الموجب لتقييد وجوب السّورة بغيرها من السور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النهي عنها لأجل تعليله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إرشاداً إلى عدم الجزئيّة، بل يعدّ إرشاداً إلى حكم العقل بالحرمة، المختصّة بغير حال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المنسوب إلى غير واحدٍ من الأصحاب</w:t>
      </w:r>
      <w:r>
        <w:rPr>
          <w:rStyle w:val="FootnoteAnchor"/>
          <w:rtl w:val="true"/>
        </w:rPr>
        <w:footnoteReference w:id="627"/>
      </w:r>
      <w:r>
        <w:rPr>
          <w:rFonts w:ascii="Amiri" w:hAnsi="Amiri" w:eastAsia="Amiri" w:cs="Amiri"/>
          <w:color w:val="111111"/>
          <w:sz w:val="28"/>
          <w:sz w:val="28"/>
          <w:szCs w:val="28"/>
          <w:rtl w:val="true"/>
          <w:lang w:bidi="ar-SA"/>
        </w:rPr>
        <w:t>أنّه يؤمى بدل السّجود عند قراءة آية السّجدة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يسجد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المحقّقين</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يؤخّر السّجود إلى ما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الإيماء في الأثناء، والسّجود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الأوّل لخبر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صلّيت مع قومٍ فقرأ الإمام اِقْرَأْ بِاسْمِ رَبِّكَ‌ </w:t>
      </w:r>
      <w:r>
        <w:rPr>
          <w:rStyle w:val="FootnoteAnchor"/>
          <w:rtl w:val="true"/>
        </w:rPr>
        <w:footnoteReference w:id="631"/>
      </w:r>
      <w:r>
        <w:rPr>
          <w:rFonts w:ascii="Amiri" w:hAnsi="Amiri" w:eastAsia="Amiri" w:cs="Amiri"/>
          <w:color w:val="111111"/>
          <w:sz w:val="28"/>
          <w:sz w:val="28"/>
          <w:szCs w:val="28"/>
          <w:rtl w:val="true"/>
          <w:lang w:bidi="ar-SA"/>
        </w:rPr>
        <w:t>أو شيئاً من العزائم، وفرغ من قرائته، ولم يسجد فأومِ إيماءً‌</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مضمر سماعة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صلاةٍ في جماعة، فيقرأ إنسان السّجدة،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يؤمى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في صلاةٍ فيقرأ آخر السّجدة‌؟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سمع شيئاً من العزائم الأربع، ثمّ يقوم فيتمّ صلاته، إلّاأنْ يكون في فريضةٍ فيؤمئ برأسه إيماءً‌</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اختصّت بالسمع، إلّاأنّه يتعدّى إلى غيره ما عدا</w:t>
      </w:r>
      <w:r>
        <w:rPr>
          <w:rFonts w:eastAsia="Amiri" w:cs="Amiri" w:ascii="Amiri" w:hAnsi="Amiri"/>
          <w:color w:val="111111"/>
          <w:sz w:val="28"/>
          <w:szCs w:val="28"/>
          <w:rtl w:val="true"/>
          <w:lang w:bidi="ar-SA"/>
        </w:rPr>
        <w:t xml:space="preserve">). </w:t>
      </w:r>
      <w:bookmarkStart w:id="285" w:name="pg11800_96964"/>
    </w:p>
    <w:p>
      <w:pPr>
        <w:pStyle w:val="BookText"/>
        <w:rPr/>
      </w:pPr>
      <w:bookmarkEnd w:id="285"/>
      <w:r>
        <w:rPr>
          <w:rFonts w:ascii="Amiri" w:hAnsi="Amiri" w:eastAsia="Amiri" w:cs="Amiri"/>
          <w:color w:val="111111"/>
          <w:sz w:val="28"/>
          <w:sz w:val="28"/>
          <w:szCs w:val="28"/>
          <w:rtl w:val="true"/>
          <w:lang w:bidi="ar-SA"/>
        </w:rPr>
        <w:t>القراءة العمديّة الّتي عرفت حكمها، إذ يستفاد من هذه الأخبار أنّ من جملة موارد الاضطرار التي يجب فيها الإيماء بدلاً عن السّجود، مورد السماع، لأجل أنّ وجوب السّجود فوري، وإتمام الصَّلاة أهمّ‌، فيتعدّى عنه إلى ما يماثله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الطباطبائي</w:t>
      </w:r>
      <w:r>
        <w:rPr>
          <w:rStyle w:val="FootnoteAnchor"/>
          <w:rtl w:val="true"/>
        </w:rPr>
        <w:footnoteReference w:id="635"/>
      </w:r>
      <w:r>
        <w:rPr>
          <w:rFonts w:ascii="Amiri" w:hAnsi="Amiri" w:eastAsia="Amiri" w:cs="Amiri"/>
          <w:color w:val="111111"/>
          <w:sz w:val="28"/>
          <w:sz w:val="28"/>
          <w:szCs w:val="28"/>
          <w:rtl w:val="true"/>
          <w:lang w:bidi="ar-SA"/>
        </w:rPr>
        <w:t>الإشكال فيه، بأنّ مقتضى بدليّة الإيماء للسجود، كونه بحكمه في إبطال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في مبدله نقول بالإبطال، لأجل النصّ تعبّداً، وحيثُ أنّه مختصٌّ به فلا يتعدّى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دلالة النصوص على جوازه وعدم إبطاله، لايُعتنى بمثل هذه الوجوه، مع أنّ احتمال كون الحكمة في تشريعه هو الفرار عن محذور زيادة السّجدة قوي، فكيف يوجب الوقوع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ضعف الأقوال الاُخر</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10477943_73709187"/>
      <w:bookmarkStart w:id="287" w:name="_Toc107"/>
      <w:bookmarkEnd w:id="286"/>
      <w:r>
        <w:rPr>
          <w:rtl w:val="true"/>
        </w:rPr>
        <w:t>المُحرّم قراءة آية السَّجدة</w:t>
      </w:r>
      <w:bookmarkEnd w:id="28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إنّما هو قراءة آية السّجدة، لأنّها الموجبة لمزاحمة الواجبين، وحينئذٍ لو قرأ ما عداها من آيات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جواز التبعيض، له الاكتفاء بما قرأ ويتمّ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عدمه فيتعيّن عليه العدول إلى سورةٍ اُخرى‌، والإتيان ببعض السّورة بقصد الجزئيّة، ولا يكون مبطلاً كما هو الظاهر من نصوص العدول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يقرأ في المكتوبة سورة فيها سجدة من العزائم‌؟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موضع السّجدة فلا يقرأها، فإنْ أحبّ أن يرجع فيقرأ سورة غيرها ويدع التي فيها السّجدة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عليه السّجدة لمرضٍ أو تقيّة ونحوها، فالظاهر جواز قراءتها اختياراً، ويجتزى بها عن السّورة الواجبة، إذ النهي بما أنّه عُلّل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بما إذا كانت القراءة موجبة للسجدة، ومع عدم النهي لا مانع من الاجتزاء بها،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تعذّر السّجود يجبُ الإيماء بدلاً عنه، فهو بحكم مبدله، 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وجوب قراءة سورة كاملة، قد تخصّص بالأخبار الناهية عن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 لأنّ القراءة في الفرض غير داخلة في المُخصّص، بل هي داخلة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المحقّقين</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كونها محرّمة أو غير محرّمة من أحوال الفرد المخرَج، ولا يتعدّد به أفراد العام، فلا يبقى للأدلّة الدالّة على قراءة سورة كاملة بعد ورود التخصيص عليها بالأخبار الناهية عن قراءة العزيمة، دلالةٌ على إرادتها من تلك الأدلّة في غير حال حرمتها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العام بما أنّه من الأفعال لا من الجواهر، ومن المعلوم أنّ كلّ فعلٍ صادر في كلّ حال، مغايرٌ لما صدر في حال آخر، فالعزيمة المحرّمة فردٌ من العام مغاير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للعزيمة غير المحرّمة، ومقتضى العموم إجزاء كلّ منهما، لكنّه خرجت العزيمة المحرّمة بخصوصها، فتبقى غير المحرّمة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المعروف بين الأصحاب اختصاص المنع بالفريضة، فيجوز قراءتها في النافلة،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اختصاص أدلّته بها، وبعض نصوص الجواز المحمول على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المتقدّم،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اِقْرَأْ بِاسْمِ رَبِّكَ‌ فإذا ختمها فليسجد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تقرأ في فريضةٍ‌، اقرأ في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فيسجد بعد قراءتها وهو في الصَّلاة، ثمّ يتمّها بلا خلاف، ولا يلزم زيادة في الصَّلاة، لأنّ النص المانع عن السّجدة، الدالّ على أنّها زيادة، مختصّ بالفريضة، مضافاً إلى دلالة الموثّق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السّجدة في آخر السّورة، جاز له الركوع، وتأخير السّجدة، لخبر وهب بن وهب، عن أبي عبد اللّه،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آخر السّورة السّجدة أجزأك أن تركع بها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سجد ثمّ قام للركوع، يستحبّ أنْ يقرأ الفاتحة، ليركع عن قراءة، لحسن الحلبي المتقدّم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8" w:name="pg11800_96967"/>
    </w:p>
    <w:p>
      <w:pPr>
        <w:pStyle w:val="BookText"/>
        <w:rPr/>
      </w:pPr>
      <w:bookmarkEnd w:id="288"/>
      <w:r>
        <w:rPr>
          <w:rFonts w:ascii="Amiri" w:hAnsi="Amiri" w:eastAsia="Amiri" w:cs="Amiri"/>
          <w:color w:val="111111"/>
          <w:sz w:val="28"/>
          <w:sz w:val="28"/>
          <w:szCs w:val="28"/>
          <w:rtl w:val="true"/>
          <w:lang w:bidi="ar-SA"/>
        </w:rPr>
        <w:t>ولا ما يفوتُ الوقت بقراءته</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0477945_73709187"/>
      <w:bookmarkStart w:id="290" w:name="_Toc108"/>
      <w:bookmarkEnd w:id="289"/>
      <w:r>
        <w:rPr>
          <w:rtl w:val="true"/>
        </w:rPr>
        <w:t>لا يجوزُ قراءة ما يفوت الوقت بقراءته</w:t>
      </w:r>
      <w:bookmarkEnd w:id="290"/>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يفوتُ الوقت بقراءته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 الطوال، بلا خلافٍ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نسبته إلى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إلّاعن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يلزم من قراءته فوت الصَّلاة، وتركها عمداً، وهو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سيف بن عميرة، عن أبي بكر الحضرمي،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الفجر شيئاً من ال حم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الظاهر كون النهي لفوت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وبخبره الآخر، عن عامر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شيئاً من ال حم في صلاة الفجر فاته الوقت</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يتوقّف على اقتضاء الأمر بالشيء النهي عن ضدّه، وهو خلاف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إفضاء متعلّق النهي إلى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التحريم المقدّمي العرضي، فلا يكون تحريماً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بطلان</w:t>
      </w:r>
      <w:r>
        <w:rPr>
          <w:rStyle w:val="FootnoteAnchor"/>
          <w:rtl w:val="true"/>
        </w:rPr>
        <w:footnoteReference w:id="644"/>
      </w:r>
      <w:r>
        <w:rPr>
          <w:rFonts w:ascii="Amiri" w:hAnsi="Amiri" w:eastAsia="Amiri" w:cs="Amiri"/>
          <w:color w:val="111111"/>
          <w:sz w:val="28"/>
          <w:sz w:val="28"/>
          <w:szCs w:val="28"/>
          <w:rtl w:val="true"/>
          <w:lang w:bidi="ar-SA"/>
        </w:rPr>
        <w:t>الصَّلاة بقراءته،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بالخبرين المتقدّمين، بدعوى أنّ ظاهرهما إمّا الإرشاد إلى المانعيّة أو الحرمة، وعلى كلا الفرضين يستفاد البطلان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المحرّم، ولو كان ذاتاً من أجزاء الصَّلاة،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ممنوعان لما تقدّم من ظهورهما في التحريم المقدّمي، وبأنّه مكلّفٌ بالسورة القصيرة، فلو أتى بها أيضاً، لزم القِران المُبطل، وإلّا لزم نقص الجزء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الفعلي وإنْ اختصّ بالقصيرة، ولكن حيث أنّ الطويلة يكون فيها الملاك، فلو أتى بها بداعي الملاك، واقتصر عليها، لم تلزم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السّورة الطويلة ليست جزءً‌، لعدم إمكان التكليف بفعلٍ لا يسعه الوقت، فالإتيان بها زيادة عمديّة توجب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كونها جزء للمأمور به، لا يوجب صدق الزيادة المبطلة عليها، بعد فرض ثبوت الملاك فيها، وأتى بها لا بداعي الأمر، بل بداعي الملاك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يفصّل بين ما لو كانت السّورة الطويلة موجبة لفوات الوقت، قبل إدراك ركعة من الصَّلاة أو بعده، فتبطل في الأوّل، لأنّها لا تقع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إدراك ركعة منها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قضاءً لعدم الأمر بالقضاء حين الشروع فيها، وهذا بخلاف ما لو أدرك ركعةً منها، فإنّها تقع أداءً‌، كما عرفت في مبحث المواقيت</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في غير محلّه، لما عرفت في ذلك المبحث من أنّ شمول قاعدة من أدرك مشروطٌ بأنْ يكون عدم إدراك تمام الصَّلاة في الوقت بغير الاختيار، فلا تشمل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للحكم بعدم الصحّة في كلا الموردين، لو أتى بالصَّلاة معها بقصد المحبوبيّة والملاك، لا بدّاعى الأمر، إذ المستفاد من أدلّة القضاء والأداء وحدة ملاكهما، غاية الأمر إيقاع الصَّلاة في الوقت ذو ملاكٍ آخر، فلو أتى بها بداعي الملاك صحّت، بل تصحّ لو نَوى الجامع بين الأمر الأدائي والأمر القضائي،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قرأها ساهياً أو زاعماً سعة الوقت، أو غافلاً عن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تذكّر بعد الفراغ من السّورة، أتمّ صلاته، وإنْ لم يكن قد أدرك ركعة من الوقت، ولكن لا يقصد الأمر الأدائي فيما إذا لم يُدرك ركعةً من الوقت لعدمه، بل يأتي بها بقصد الملاك، أو الجامع بين الأمرين الأدائي والقضائي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أدرك ركعةً في الوقت، عليه أنْ يتمّ صلاته بقصد الأمر الأدائي لقاعدة من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تذكّر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سعة الوقت، جاز له الإقتصار على ما قرأ، بناءً على جواز التبعيض، ووجب العدول إلى سورة اُخرى بناءً على عدمه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ذلك في سعة الوقت، وجب عليه الاقتصار على ما قرأ، بناءً على جواز التبعيض، وتخيّر بين الإقتصار عليه، والعدول إلى سورة اُخرى‌، بناءً على عدمه، لما تقدّم من التخيير بين الإتيان بالسورة وعدمه في ضيق الوقت، فراجع</w:t>
      </w:r>
      <w:r>
        <w:rPr>
          <w:rFonts w:eastAsia="Amiri" w:cs="Amiri" w:ascii="Amiri" w:hAnsi="Amiri"/>
          <w:color w:val="111111"/>
          <w:sz w:val="28"/>
          <w:szCs w:val="28"/>
          <w:rtl w:val="true"/>
          <w:lang w:bidi="ar-SA"/>
        </w:rPr>
        <w:t>.</w:t>
      </w:r>
      <w:bookmarkStart w:id="291" w:name="pg11800_96970"/>
    </w:p>
    <w:p>
      <w:pPr>
        <w:pStyle w:val="BookText"/>
        <w:rPr/>
      </w:pPr>
      <w:bookmarkEnd w:id="291"/>
      <w:r>
        <w:rPr>
          <w:rFonts w:ascii="Amiri" w:hAnsi="Amiri" w:eastAsia="Amiri" w:cs="Amiri"/>
          <w:color w:val="111111"/>
          <w:sz w:val="28"/>
          <w:sz w:val="28"/>
          <w:szCs w:val="28"/>
          <w:rtl w:val="true"/>
          <w:lang w:bidi="ar-SA"/>
        </w:rPr>
        <w:t>ولا قراءة سورتين بعد الحَمد</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0477947_73709187"/>
      <w:bookmarkStart w:id="293" w:name="_Toc109"/>
      <w:bookmarkEnd w:id="292"/>
      <w:r>
        <w:rPr>
          <w:rtl w:val="true"/>
        </w:rPr>
        <w:t>في القِران بين سورتين أو أزيد</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بين القدماء</w:t>
      </w:r>
      <w:r>
        <w:rPr>
          <w:rStyle w:val="FootnoteAnchor"/>
          <w:rtl w:val="true"/>
        </w:rPr>
        <w:footnoteReference w:id="64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المكتوبة بأقلّ من سورةٍ ولا بأكثر</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السورتين في الركعة‌؟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لكلّسورةٍركعة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يقرن بين السّورتين في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سورة حقّاً فاعطها حقّها من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صرفها عن ظاهرها، وحملها على الكراهة، جمعاً بينها وبين ما دلَّ على الجواز، كصحيح علي بن يقطين،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القِران بين السورتين في النافلة والمكتوبة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لهذا الجمع ما رواه ابن إدريس، عن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تقرن بين السّورتين في الفريضة، فإنّ ذلك أفضل</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فالأقوى هو الجواز مع الكراهة، كما عن جماعةٍ كثيرة</w:t>
      </w:r>
      <w:r>
        <w:rPr>
          <w:rStyle w:val="FootnoteAnchor"/>
          <w:rtl w:val="true"/>
        </w:rPr>
        <w:footnoteReference w:id="653"/>
      </w:r>
      <w:r>
        <w:rPr>
          <w:rFonts w:ascii="Amiri" w:hAnsi="Amiri" w:eastAsia="Amiri" w:cs="Amiri"/>
          <w:color w:val="111111"/>
          <w:sz w:val="28"/>
          <w:sz w:val="28"/>
          <w:szCs w:val="28"/>
          <w:rtl w:val="true"/>
          <w:lang w:bidi="ar-SA"/>
        </w:rPr>
        <w:t>، بل نُسب إلى جمهور المتأخّرين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على القول بالكراهة بعدم معقوليّته، إذ القائل بالكراهة يلتزم بوقوع الثانية عبادة، والمفروض أنّ تركها أرجح، إذ لا معنى لكراهتها فى المقام، حيث لا بدل لها إلّاذلك، فكيف يجتمع هذا المعنى مع العباديّة المتوقّفة على الرجحان‌؟</w:t>
      </w:r>
    </w:p>
    <w:p>
      <w:pPr>
        <w:pStyle w:val="BookText"/>
        <w:rPr/>
      </w:pPr>
      <w:r>
        <w:rPr>
          <w:rFonts w:ascii="Amiri" w:hAnsi="Amiri" w:eastAsia="Amiri" w:cs="Amiri"/>
          <w:color w:val="111111"/>
          <w:sz w:val="28"/>
          <w:sz w:val="28"/>
          <w:szCs w:val="28"/>
          <w:rtl w:val="true"/>
          <w:lang w:bidi="ar-SA"/>
        </w:rPr>
        <w:t>والحقّ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الأنصاري رحمه الله</w:t>
      </w:r>
      <w:r>
        <w:rPr>
          <w:rStyle w:val="FootnoteAnchor"/>
          <w:rtl w:val="true"/>
        </w:rPr>
        <w:footnoteReference w:id="655"/>
      </w:r>
      <w:r>
        <w:rPr>
          <w:rFonts w:ascii="Amiri" w:hAnsi="Amiri" w:eastAsia="Amiri" w:cs="Amiri"/>
          <w:color w:val="111111"/>
          <w:sz w:val="28"/>
          <w:sz w:val="28"/>
          <w:szCs w:val="28"/>
          <w:rtl w:val="true"/>
          <w:lang w:bidi="ar-SA"/>
        </w:rPr>
        <w:t>من أنّ النهي التنزيهي في أمثال المقام، من العبادات الّتي لا بدل لها، إرشادٌ إلى وجود مصلحةٍ في الترك أرجح من مصلحة موجودة في الفعل، لأجل كون الترك سبباً لعنوانٍ راجح في نفسه، فكلٍّ من الفعل والترك مستحبٌّ في نفسه، لكن مصلحة الترك أرجح، فليس النهي لأجل كون الفعل مرجوحاً لمفسدةٍ فيه لينافي مع عباديّته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العلّامة النائيني رحمه الله</w:t>
      </w:r>
      <w:r>
        <w:rPr>
          <w:rStyle w:val="FootnoteAnchor"/>
          <w:rtl w:val="true"/>
        </w:rPr>
        <w:footnoteReference w:id="656"/>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كلٍّ من الفعل والترك مشتملاً على المصلحة، فلا يعقل تعلّق الأمر بكليهما، لأنّه من طلب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النقيضين، ولا بأحدهما على سبيل التخيير، لأنّه طلب الحاصل، بل يكون من باب تزاحم الملاكين، فإنْ كان أحدهما أقوى يكون الحكم الفعلي على طبقه، وإلّا فلا يؤثّر شيء منهما في 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يتمّ فيما إذا كانت المصلحة مترتّبة على مطلق وجود الفعل، وأمّا إذا كانت مترتّبة على حِصّة خاصّة منه، كما في موارد العبادات المكروهة، إذ المصلحة مترتّبة على الفعل العبادي، فلا محالة يكون من باب تزاحم المستحبّين، لأنّ المكلّف قادرٌ على تركهما والإتيان بالفعل بلا قصد القُربة، وعلى هذا لو كان في الترك مصلحة أهمّ من ما يكون في الفعل، فإنّ للمولى أنْ ينهى عن الفعل إرشاداً إلى ما في الترك من مصلحة أهمّ‌، وحيث إنّ هذا النهي لم ينشأ عن المنقصة والحزازة في الفعل، فلا ينافي مع كون الفعل عباديّاً، وتمام الكلام موكولٌ إلى محلّه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كون النهي عن القِران إلزاميّاً، يتعيّن القول بالبطلان؛ لأنّ ظاهره إمّا أنْ يكون مانعيّة القِران، أو اشتراط الاتّحاد، أو الحرمة النفسيّة، وعلى جميع التقادير يدلّ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الأولين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الأخير، فلما حقّقناه في محلّه</w:t>
      </w:r>
      <w:r>
        <w:rPr>
          <w:rStyle w:val="FootnoteAnchor"/>
          <w:rtl w:val="true"/>
        </w:rPr>
        <w:footnoteReference w:id="658"/>
      </w:r>
      <w:r>
        <w:rPr>
          <w:rFonts w:ascii="Amiri" w:hAnsi="Amiri" w:eastAsia="Amiri" w:cs="Amiri"/>
          <w:color w:val="111111"/>
          <w:sz w:val="28"/>
          <w:sz w:val="28"/>
          <w:szCs w:val="28"/>
          <w:rtl w:val="true"/>
          <w:lang w:bidi="ar-SA"/>
        </w:rPr>
        <w:t>من أنّ الكلام المحرّم موجبٌ لبطلان الصَّلاة، ولو كان ذاتاً من أجزائها، والظاهر تحقّق القران بقراءة أكثر من سورة واحدة ولو بمقدار آية، ولا يتوقّف على قراءة سورتين كاملتين لصحيح منصور المتقدّم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موضوع القِران هل هو قراءة السّورة الثانية بقصد الجزئيّة، أم يكون أعمّ من ذلك‌؟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قراءة السّورة الثانية تتصوّر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يقرأ بقصد الجزئيّة، بزعم تحقّق الامتثال بالمجموع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يقرأ الزائد بقصد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يقرأ لأجل احتمال فساد ما قرأه، ويكون قراءة الزائد لأجل إحراز الصحّة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يقرأ أوّلاً بعض السّورة، ثمّ يبدو له أن يرجع إلى سورةٍ اُخرى لتكون هي الجزء، ويرفع اليد عمّا 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القدر المتيقّن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عدم شمول الأخبار له، كما لا يخفى على من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خروجه عن الأخبار، تدلّ على جوازه روايات كثيرة، 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أيضاً عدم شمول الأخبار له، إذ مَنْ يقرأ سورة اُخرى احتياطاً لا يقصد ان يكونا معاً جزءً للصَّلاة، بل يقصد أنّه إنْ لم يقع الأُولى جزء فلتكن الثانية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خلاف في اختصاص الحكم منعاً أو كراهة بالفريضة، ويشهد له موثّق زرارة، قال أبوجعفر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أن يجمع بين السورتين في الفريضة، فأمّا النافلة فلا بأس</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ويؤيّده تشريعه في نوافل مخصوصة، راجع كتب العبادات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4" w:name="pg11800_96974"/>
    </w:p>
    <w:p>
      <w:pPr>
        <w:pStyle w:val="BookText"/>
        <w:rPr/>
      </w:pPr>
      <w:bookmarkEnd w:id="294"/>
      <w:r>
        <w:rPr>
          <w:rFonts w:ascii="Amiri" w:hAnsi="Amiri" w:eastAsia="Amiri" w:cs="Amiri"/>
          <w:color w:val="111111"/>
          <w:sz w:val="28"/>
          <w:sz w:val="28"/>
          <w:szCs w:val="28"/>
          <w:rtl w:val="true"/>
          <w:lang w:bidi="ar-SA"/>
        </w:rPr>
        <w:t>ويستحبُّ الجَهر بالبسملة في الإخفات</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0477949_73709187"/>
      <w:bookmarkStart w:id="296" w:name="_Toc110"/>
      <w:bookmarkEnd w:id="295"/>
      <w:r>
        <w:rPr>
          <w:rtl w:val="true"/>
        </w:rPr>
        <w:t>يستحبُّ الجهر بالبسملة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661"/>
      </w:r>
      <w:r>
        <w:rPr>
          <w:rFonts w:ascii="IRNazanin" w:hAnsi="IRNazanin" w:eastAsia="IRNazanin"/>
          <w:color w:val="111111"/>
          <w:sz w:val="28"/>
          <w:sz w:val="28"/>
          <w:szCs w:val="28"/>
          <w:rtl w:val="true"/>
          <w:lang w:bidi="fa-IR"/>
        </w:rPr>
        <w:t>والصدوق</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الحكم بالأولتين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الحكم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الحكم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أبي عبد اللّه عليه السلام فكان إذا كانت صلاة لايجهر فيها، جَهر ببسم اللّه الرحمن الرحيم، وكان يجهر في السورتين جميعاً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الحسن كالصحيح إلى الفضل بن شاذان،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كتب إلى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والإجهار ببسم اللّه الرحمن الرحيم في جميع الصلوات سُنّة</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جملةٍ من النصوص، من عَدّه من علامات المؤمن</w:t>
      </w:r>
      <w:r>
        <w:rPr>
          <w:rStyle w:val="FootnoteAnchor"/>
          <w:rtl w:val="true"/>
        </w:rPr>
        <w:footnoteReference w:id="667"/>
      </w:r>
      <w:r>
        <w:rPr>
          <w:rFonts w:ascii="Amiri" w:hAnsi="Amiri" w:eastAsia="Amiri" w:cs="Amiri"/>
          <w:color w:val="111111"/>
          <w:sz w:val="28"/>
          <w:sz w:val="28"/>
          <w:szCs w:val="28"/>
          <w:rtl w:val="true"/>
          <w:lang w:bidi="ar-SA"/>
        </w:rPr>
        <w:t>، ونحوهاغيرها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 النصوص استحبابه مطلقاً للإمام وغيره، واختصاص بعضها بالإمام لا يوجبُ تقييد المطلق منها، كما أنّ مقتضى إطلاق مثل خبر الفضل عموم الحكم للأوليين والأخيرتين، إذا اختار فيما الحمد، واختصاص بعض النصوص بالإخفاتيّة التي تتعيّن فيها القراءة، لو كان لا يوجبُ تقييد إطلاق النصوص الخالية عن القيد، وبه يرفع اليد عن قاعدة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بوجوبه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بخبرالأعمش،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 جهار ببسم اللّه الرحمن الرحيم واجب</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سُليم، عن عليّ عليه السلام في خطبةٍ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وألزمتَ النّاس 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بأنّهم عليهم السلام كانوا يداومون عليه، فلوكان مستحبّاً لأخلّوابه فى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مطلق الثبوت، ولا ظهور له في الوجوب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إنّما ينتزع من الأمر بشيء وعدم الترخيص في تركه، وحيثُ أنّ دلالة الخبر على الأمر به لا تُنكر، فلابدّ من حمله على الوجوب، ما لم يثبت جواز تركه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تعرّضه للصَّلاة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مختصّاً بها، فلا أقلّ من كونها القدر المتيقّن من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ضعيفان سنداً، مضافاً إلى إعراض الأصحاب عنهما، مع أنّ صحيح الحلبيين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أنّهماسألاه عمّن يقرأبسم اللّه الرحمن الرحيم حين يُريد أنْ يقرأ فاتحة الكتاب‌؟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سرّاً وإنْ شاء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أفيقرأها مع السّورة الاُخرى‌؟ فقال عليه السلام لا</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الجواز، فيجمع بينه وبينهما بحملهما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ذيل الصحيح من الترخيص في ترك البسملة في السّورة، لا يوجب حمل صدره أيضاً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الجهر بالبسملة في مواضع يتعيّن فيها الإخفات مطلقاً، نعم لا يستحبّ بل لا يجوز الجهر بها للمأموم الواجب عليه الإخفات بالقراءة، لإنصراف النصوص عنه، فيرجع إلى ما دلَّ على لزوم أن يخفت بالقراءة خلف الإمام، ويؤيّده سقوط الجهر في موارد وجوب القراءة،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قبل الشروع في القراءة في الركعة الأُولى‌،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 بعد ذكر دعاء التوجه بعد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تعوّذ باللّه من الشيطان الرجيم، ثمّ اقرأ فاتحة الكتاب</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هذه النصوص يُحمل على الاستحباب، بقرينة الإجماع عليه على ما حكاه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أتمّ النّاس صلاةً وأوجزهم، كان إذا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بسم اللّه الرحمن الرحيم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فرات،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بسم اللّه الرحمن الرحمن الرحيم، فلا تبالي أنْ لا تستعيذ</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نُسب إلى الأكثر</w:t>
      </w:r>
      <w:r>
        <w:rPr>
          <w:rStyle w:val="FootnoteAnchor"/>
          <w:rtl w:val="true"/>
        </w:rPr>
        <w:footnoteReference w:id="677"/>
      </w:r>
      <w:r>
        <w:rPr>
          <w:rFonts w:ascii="Amiri" w:hAnsi="Amiri" w:eastAsia="Amiri" w:cs="Amiri"/>
          <w:color w:val="111111"/>
          <w:sz w:val="28"/>
          <w:sz w:val="28"/>
          <w:szCs w:val="28"/>
          <w:rtl w:val="true"/>
          <w:lang w:bidi="ar-SA"/>
        </w:rPr>
        <w:t>أنّه ينبغي الإخفات بالاستعاذة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الجعفريّة</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عمل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فيُحمل خبر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أبي عبد اللّه عليه السلام المغرب فتعوّذ بإجهار أعوذ باللّه من الشيطان الرجيم، وأعوذ باللّه أن يحضرون</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على الجواز</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صيغتها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الصيغة موضع وفاق، وتضمّنها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الاستفادة في النصوص بكيفيّات مختلفة، والجمع بينها يقتضى الحكم بحصول الامتثال بجميعها، بل وبغيرها ممّا تتحقّق به الاستعاذة باللّه من الشيطان الرجيم، وإنْ كان الأحوط اختيار إحدى تلك الصيغ</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97" w:name="pg11800_96979"/>
    </w:p>
    <w:p>
      <w:pPr>
        <w:pStyle w:val="BookText"/>
        <w:rPr/>
      </w:pPr>
      <w:bookmarkEnd w:id="297"/>
      <w:r>
        <w:rPr>
          <w:rFonts w:ascii="Amiri" w:hAnsi="Amiri" w:eastAsia="Amiri" w:cs="Amiri"/>
          <w:color w:val="111111"/>
          <w:sz w:val="28"/>
          <w:sz w:val="28"/>
          <w:szCs w:val="28"/>
          <w:rtl w:val="true"/>
          <w:lang w:bidi="ar-SA"/>
        </w:rPr>
        <w:t>وقراءة الجمعة والمنافقين في الجمعة وظهريها</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0477951_73709187"/>
      <w:bookmarkStart w:id="299" w:name="_Toc111"/>
      <w:bookmarkEnd w:id="298"/>
      <w:r>
        <w:rPr>
          <w:rtl w:val="true"/>
        </w:rPr>
        <w:t>يستحبُّ قراءة بعض السّور في بعض الصلوات</w:t>
      </w:r>
      <w:bookmarkEnd w:id="29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استحباب قراءة بعض السّور الخاصّة، في بعض الصَّلوات، ولكن اختلفوا في تعيين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أي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في الظهرين والمغرب بالسّور القصار كالقدر والجَحْد، وفي العشاء بالأعلى والطارق وما شاكلهما، وفي الصبح بالمزمّل والمدثّر وما ماثلهما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المنسوب إلى المشهور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المتعيّن العمل بما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الصَّلاة شيءٌ موقّت‌؟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إلّاالجمعة، تقرأ بالجمعة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السّور نقرأ في الصَّلاة‌؟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الظهر والعشاء الآخرة تقرأ فيهما سواء، والعصر والمغرب سواء، وأمّا الغداة فأطول، فأمّا الظهر والعشاء الآخرة ف‍ سَبِّحِ اِسْمَ رَبِّكَ اَلْأَعْلَى و وَ اَلشَّمْسِ وَ ضُحاها ونحوهما، وأمّا العصر والمغرب ف‍ إِذا جاءَ نَصْرُ اَللّهِ و أَلْهاكُمُ اَلتَّكاثُرُ ونحوهما، وأمّا الغداة ف‍ عَمَّ يَتَساءَلُونَ‌ و هَلْ أَتاكَ حَدِيثُ اَلْغاشِيَةِ‌ و لا أُقْسِمُ بِيَوْمِ اَلْقِيامَةِ‌ و هَلْ أَتى عَلَى اَلْإِنْسانِ حِينٌ مِنَ اَلدَّهْرِ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صحيح عيسى القمّي، أو حسنه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تضمّناه هو المحكيّ عن جماعةٍ من الأساطين كالمحقّق</w:t>
      </w:r>
      <w:r>
        <w:rPr>
          <w:rStyle w:val="FootnoteAnchor"/>
          <w:rtl w:val="true"/>
        </w:rPr>
        <w:footnoteReference w:id="687"/>
      </w:r>
      <w:r>
        <w:rPr>
          <w:rFonts w:ascii="Amiri" w:hAnsi="Amiri" w:eastAsia="Amiri" w:cs="Amiri"/>
          <w:color w:val="111111"/>
          <w:sz w:val="28"/>
          <w:sz w:val="28"/>
          <w:szCs w:val="28"/>
          <w:rtl w:val="true"/>
          <w:lang w:bidi="ar-SA"/>
        </w:rPr>
        <w:t>، والشهيد</w:t>
      </w:r>
      <w:r>
        <w:rPr>
          <w:rStyle w:val="FootnoteAnchor"/>
          <w:rtl w:val="true"/>
        </w:rPr>
        <w:footnoteReference w:id="688"/>
      </w:r>
      <w:r>
        <w:rPr>
          <w:rFonts w:ascii="Amiri" w:hAnsi="Amiri" w:eastAsia="Amiri" w:cs="Amiri"/>
          <w:color w:val="111111"/>
          <w:sz w:val="28"/>
          <w:sz w:val="28"/>
          <w:szCs w:val="28"/>
          <w:rtl w:val="true"/>
          <w:lang w:bidi="ar-SA"/>
        </w:rPr>
        <w:t>، وغيرهما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غير الجمعة وليلتها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فيهما، فيستحبُّ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الجمعة والمنافقين في الجمعة وظهريها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الجمعة والظهر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Style w:val="FootnoteAnchor"/>
          <w:rtl w:val="true"/>
        </w:rPr>
        <w:footnoteReference w:id="690"/>
      </w:r>
      <w:r>
        <w:rPr>
          <w:rFonts w:ascii="Amiri" w:hAnsi="Amiri" w:eastAsia="Amiri" w:cs="Amiri"/>
          <w:color w:val="111111"/>
          <w:sz w:val="28"/>
          <w:sz w:val="28"/>
          <w:szCs w:val="28"/>
          <w:rtl w:val="true"/>
          <w:lang w:bidi="ar-SA"/>
        </w:rPr>
        <w:t>بوجوب السورتين فيهما،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بمصحّح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القراءة في الجمعة إذا صلّيت وحدي أربعاً، أجهر بالقراءة‌؟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بسورة الجمعة والمنافقين يوم الجمعة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مسلم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منصور،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القراءة شيءٌ موقّت إلّا الجمعة يقرة بالجمعة والمنافقين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وصحيح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الجمعة بغير الجمعة والمنافقين أعاد الصَّلاة في سفرٍ أو حضر</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أنّه لا مجال لإنكار ظهور هذه النصوص في الوجوب، إلّاأنّه لابدَّ من صرفهاعن ظاهرها، وحملهاعلى الاستحباب، بقرينة ماهو صريح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يقرأ في صلاة الجمعة بغير سورة الجمعة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الجمعة في السّفر، ما أقرأ فيهما؟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 بقل هو اللّه أحد</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جمعٌ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حَريز وربعي،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يستحبّ أنْ يقرأ في العُتمَة سورة الجمعة و إِذا جاءَكَ اَلْمُنافِقُونَ‌ </w:t>
      </w:r>
      <w:r>
        <w:rPr>
          <w:rStyle w:val="FootnoteAnchor"/>
          <w:rtl w:val="true"/>
        </w:rPr>
        <w:footnoteReference w:id="696"/>
      </w:r>
      <w:r>
        <w:rPr>
          <w:rFonts w:ascii="Amiri" w:hAnsi="Amiri" w:eastAsia="Amiri" w:cs="Amiri"/>
          <w:color w:val="111111"/>
          <w:sz w:val="28"/>
          <w:sz w:val="28"/>
          <w:szCs w:val="28"/>
          <w:rtl w:val="true"/>
          <w:lang w:bidi="ar-SA"/>
        </w:rPr>
        <w:t>، وفي صلاة الصبح مثل ذلك، وفي صلاة الجمعة مثل ذلك، وفي صلاة العصر مثل ذلك</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نصوص المقام صحيح عبد 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تقرأ فيهما بغير الجمعة والمنافقين، إذا كنت مستعجلاً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وهو أخصّ من كلتا الطائفتين، وبمنطوقه يقيّد ما دلَّ على الوجوب بغير صورة الاستعجال، وبمفهومه يقيّد ما دلَّ على عدم الوجوب بصورة الاستعجال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ابن يقطين يأبى عن هذا الحمل، لأنّ السؤال فيه إنّما يكون عن ترك الجمعة متعمّداً، أي من غير عُذر، فلايصحّ حمل الجواب على‌غير هذاالمورد، 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لعدم القائل بهذا التفصيل لايُعتمد عليه، مع اختصاصه بصلاة الجمعة،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عصر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لاستحبابها فيها مرفوع حَريز المتقدّم، وصحيح زراة،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بسورة الجمعة والمنافقين، فإنْ قراءتهما سُنّة يوم الجمعة في الغداة والعصر</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صبيحة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قراءة الجمعة والتوحيد، وتدلّ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حسين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أقرأ في صلاة الفجر يوم الجمعة‌؟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الأولى بسورة الجمعة، وفي الثانية ب‍ قُلْ هُوَ اَللّهُ أَحَدٌ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جملةٍ من الأخبار كمرفوعة حريز المتقدّمة، استحباب المنافقين في الثانية، ويظهر من خبر علي بن جعفر، عن أخيه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أبي يُصلّي ليلة الجمعة بسورة الجمعة والمنافقين، وفي الفجر بسورة الجمعة و سَبِّحِ اِسْمَ رَبِّكَ اَلْأَعْلَى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قراءة سَبِّحِ اِسْمَ رَبِّكَ‌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حَسنٌ لعدم المنافاة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المغرب والعشاء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فيهما الجمعة والأعلى‌، وتشهد له روايات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بن حازم،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كلّ مؤمنٍ إذا كان لنا شيعة، أنْ يقرأ ليلة الجمعة بالجمعة و سَبِّحِ اِسْمَ رَبِّكَ اَلْأَعْلَى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صلاة الظهر بالجمعة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أبي بصير</w:t>
      </w:r>
      <w:r>
        <w:rPr>
          <w:rStyle w:val="FootnoteAnchor"/>
          <w:rtl w:val="true"/>
        </w:rPr>
        <w:footnoteReference w:id="705"/>
      </w:r>
      <w:r>
        <w:rPr>
          <w:rFonts w:ascii="Amiri" w:hAnsi="Amiri" w:eastAsia="Amiri" w:cs="Amiri"/>
          <w:color w:val="111111"/>
          <w:sz w:val="28"/>
          <w:sz w:val="28"/>
          <w:szCs w:val="28"/>
          <w:rtl w:val="true"/>
          <w:lang w:bidi="ar-SA"/>
        </w:rPr>
        <w:t>، وخبر البزنطي</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الروايات يدلّ على استحباب المنافقين في ثانية العشاء، كمرفوعة حَريز المتقدّمة، كما أنّ بعض الأخبار يدلّ على استحباب التوحيد في ثانية المغرب، كخبر الكناني،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فاقرأ في المغرب سورة الجمعة و قُلْ هُوَ اَللّهُ أَحَدٌ الحديث</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حَسنٌ كما تقدّم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0" w:name="pg11800_96984"/>
    </w:p>
    <w:p>
      <w:pPr>
        <w:pStyle w:val="BookText"/>
        <w:rPr/>
      </w:pPr>
      <w:bookmarkEnd w:id="300"/>
      <w:r>
        <w:rPr>
          <w:rFonts w:ascii="Amiri" w:hAnsi="Amiri" w:eastAsia="Amiri" w:cs="Amiri"/>
          <w:color w:val="111111"/>
          <w:sz w:val="28"/>
          <w:sz w:val="28"/>
          <w:szCs w:val="28"/>
          <w:rtl w:val="true"/>
          <w:lang w:bidi="ar-SA"/>
        </w:rPr>
        <w:t xml:space="preserve">ويُحرَم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الحمد وتبطل الصلاة</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0477953_73709187"/>
      <w:bookmarkStart w:id="302" w:name="_Toc112"/>
      <w:bookmarkEnd w:id="301"/>
      <w:r>
        <w:rPr>
          <w:rtl w:val="true"/>
        </w:rPr>
        <w:t>تنبيهان حول القراءة</w:t>
      </w:r>
      <w:bookmarkEnd w:id="30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قول آمين آخر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جماعةٍ من الأساطين</w:t>
      </w:r>
      <w:r>
        <w:rPr>
          <w:rStyle w:val="FootnoteAnchor"/>
          <w:rtl w:val="true"/>
        </w:rPr>
        <w:footnoteReference w:id="708"/>
      </w:r>
      <w:r>
        <w:rPr>
          <w:rFonts w:ascii="Amiri" w:hAnsi="Amiri" w:eastAsia="Amiri" w:cs="Amiri"/>
          <w:color w:val="111111"/>
          <w:sz w:val="28"/>
          <w:sz w:val="28"/>
          <w:szCs w:val="28"/>
          <w:rtl w:val="true"/>
          <w:lang w:bidi="ar-SA"/>
        </w:rPr>
        <w:t xml:space="preserve">دعوى الإجماع عليه،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فقرأ الحمد وفرغ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ولا تقل آمين</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آمين إذا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والنصارى</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مسكان، عن محمّد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إذا فرغتُ من فاتحة الكتاب آمين‌؟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النهي في أمثال المقام، وإنْ كان هو المانعيّة أو القاطعيّة لا الحرمة النفسيّة، إلّاأنّه يكفي للحكم بمبطليّتها حرمتها النفسيّة أيضاً، بناءً على ما هو الحقّ من أنّ الكلام المحرّم مبطلٌ للصَّلاة مطلقاً، فلا ينبغي الإشكال في كونها مبطلة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الناس في الصَّلاة جماعةً حين تقرأ فاتحة الكتاب آمين‌؟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وأخفِض الصوت بها</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فمضافاً إلى أنّه يحتمل أنْ يكون بصيغة المتكلّم،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أخفض الصوت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من كلام السائل، فلا ينافي النصوص المتقدّمة إنّه لإعراض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مبطليّتها للصَّلاة، وأمّا حرمتها فتتوقّف على حرمة ما يقطع به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النصوص وكثيرٍ من الفتاوى، إنّما هو بعد الفاتحة، كما هو المتعارف عند العامّة، ففي غير ذلك لا دليل على حرمتها ومبطليّتها، ومقتضى القاعدة العدم، لأنّها دعاءٌ عامٌ في طلب استجابة جميع ما يدّعى 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وليست اسماً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جماعةٍ من الأكابر</w:t>
      </w:r>
      <w:r>
        <w:rPr>
          <w:rStyle w:val="FootnoteAnchor"/>
          <w:rtl w:val="true"/>
        </w:rPr>
        <w:footnoteReference w:id="713"/>
      </w:r>
      <w:r>
        <w:rPr>
          <w:rFonts w:ascii="Amiri" w:hAnsi="Amiri" w:eastAsia="Amiri" w:cs="Amiri"/>
          <w:color w:val="111111"/>
          <w:sz w:val="28"/>
          <w:sz w:val="28"/>
          <w:szCs w:val="28"/>
          <w:rtl w:val="true"/>
          <w:lang w:bidi="ar-SA"/>
        </w:rPr>
        <w:t>من أنّها مبطلة مطلقاً، لكونها من كلام الآدميّين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المعوّذتان من القرآن يجوز قراءتهما في الصَّلاة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خبر صفوان</w:t>
      </w:r>
      <w:r>
        <w:rPr>
          <w:rStyle w:val="FootnoteAnchor"/>
          <w:rtl w:val="true"/>
        </w:rPr>
        <w:footnoteReference w:id="714"/>
      </w:r>
      <w:r>
        <w:rPr>
          <w:rFonts w:ascii="IRNazanin" w:hAnsi="IRNazanin" w:eastAsia="IRNazanin"/>
          <w:color w:val="111111"/>
          <w:sz w:val="28"/>
          <w:sz w:val="28"/>
          <w:szCs w:val="28"/>
          <w:rtl w:val="true"/>
          <w:lang w:bidi="fa-IR"/>
        </w:rPr>
        <w:t>، وخبر صابر</w:t>
      </w:r>
      <w:r>
        <w:rPr>
          <w:rStyle w:val="FootnoteAnchor"/>
          <w:rtl w:val="true"/>
        </w:rPr>
        <w:footnoteReference w:id="715"/>
      </w:r>
      <w:r>
        <w:rPr>
          <w:rFonts w:ascii="Amiri" w:hAnsi="Amiri" w:eastAsia="Amiri" w:cs="Amiri"/>
          <w:color w:val="111111"/>
          <w:sz w:val="28"/>
          <w:sz w:val="28"/>
          <w:szCs w:val="28"/>
          <w:rtl w:val="true"/>
          <w:lang w:bidi="ar-SA"/>
        </w:rPr>
        <w:t>الدالّان على أنّ أبا عبد اللّه عليه السلام قرأهما في صلاته، وخبر منصور بن حازم،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أبو عبد اللّه عليه السلام أن أقرأ المعوّذتين في المكتوبة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من التصريح بما ذهب إليه ابن مسعود، من عدم كونهما من القرآن، وعدم جواز قراءتهما في الفرائض، لا يُلتفت إليه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03" w:name="pg11800_96987"/>
    </w:p>
    <w:p>
      <w:pPr>
        <w:pStyle w:val="Heading5"/>
        <w:numPr>
          <w:ilvl w:val="4"/>
          <w:numId w:val="1"/>
        </w:numPr>
        <w:rPr/>
      </w:pPr>
      <w:bookmarkStart w:id="304" w:name="__RefHeading___Toc10477955_73709187"/>
      <w:bookmarkStart w:id="305" w:name="_Toc113"/>
      <w:bookmarkEnd w:id="303"/>
      <w:bookmarkEnd w:id="304"/>
      <w:r>
        <w:rPr>
          <w:rtl w:val="true"/>
        </w:rPr>
        <w:t>الخامس</w:t>
      </w:r>
      <w:r>
        <w:rPr>
          <w:rtl w:val="true"/>
        </w:rPr>
        <w:t xml:space="preserve">: </w:t>
      </w:r>
      <w:r>
        <w:rPr>
          <w:rtl w:val="true"/>
        </w:rPr>
        <w:t>الرّكوع</w:t>
      </w:r>
      <w:bookmarkEnd w:id="305"/>
    </w:p>
    <w:p>
      <w:pPr>
        <w:pStyle w:val="Heading6"/>
        <w:numPr>
          <w:ilvl w:val="5"/>
          <w:numId w:val="1"/>
        </w:numPr>
        <w:rPr/>
      </w:pPr>
      <w:bookmarkStart w:id="306" w:name="__RefHeading___Toc10477957_73709187"/>
      <w:bookmarkStart w:id="307" w:name="_Toc114"/>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كلّ ركعةٍ مرّة، إلّافي الكسُوفِ والآيات، وهو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مقوّمها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الكسوف والآيات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في كلّ ركعةٍ منها خمس ركوعات، على ما سيأتي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تبطل بالإخلال به عمداً وسهواً، للإجماع</w:t>
      </w:r>
      <w:r>
        <w:rPr>
          <w:rStyle w:val="FootnoteAnchor"/>
          <w:rtl w:val="true"/>
        </w:rPr>
        <w:footnoteReference w:id="718"/>
      </w:r>
      <w:r>
        <w:rPr>
          <w:rFonts w:ascii="Amiri" w:hAnsi="Amiri" w:eastAsia="Amiri" w:cs="Amiri"/>
          <w:color w:val="111111"/>
          <w:sz w:val="28"/>
          <w:sz w:val="28"/>
          <w:szCs w:val="28"/>
          <w:rtl w:val="true"/>
          <w:lang w:bidi="ar-SA"/>
        </w:rPr>
        <w:t>والروايات، بل تبطل بزيادته عمداً وسهواً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فلأدلّة بطلان الصَّلاة بالزيادة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سهواً فللإجماع</w:t>
      </w:r>
      <w:r>
        <w:rPr>
          <w:rStyle w:val="FootnoteAnchor"/>
          <w:rtl w:val="true"/>
        </w:rPr>
        <w:footnoteReference w:id="719"/>
      </w:r>
      <w:r>
        <w:rPr>
          <w:rFonts w:ascii="Amiri" w:hAnsi="Amiri" w:eastAsia="Amiri" w:cs="Amiri"/>
          <w:color w:val="111111"/>
          <w:sz w:val="28"/>
          <w:sz w:val="28"/>
          <w:szCs w:val="28"/>
          <w:rtl w:val="true"/>
          <w:lang w:bidi="ar-SA"/>
        </w:rPr>
        <w:t xml:space="preserve">، ولحديث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ذلك يأتي في محلّه إنْ شاء اللّه تعالى‌</w:t>
      </w:r>
      <w:r>
        <w:rPr>
          <w:rFonts w:eastAsia="Amiri" w:cs="Amiri" w:ascii="Amiri" w:hAnsi="Amiri"/>
          <w:color w:val="111111"/>
          <w:sz w:val="28"/>
          <w:szCs w:val="28"/>
          <w:rtl w:val="true"/>
          <w:lang w:bidi="ar-SA"/>
        </w:rPr>
        <w:t xml:space="preserve">. </w:t>
      </w:r>
      <w:bookmarkStart w:id="308" w:name="pg11800_96988"/>
    </w:p>
    <w:p>
      <w:pPr>
        <w:pStyle w:val="BookText"/>
        <w:rPr/>
      </w:pPr>
      <w:bookmarkEnd w:id="308"/>
      <w:r>
        <w:rPr>
          <w:rFonts w:ascii="Amiri" w:hAnsi="Amiri" w:eastAsia="Amiri" w:cs="Amiri"/>
          <w:color w:val="111111"/>
          <w:sz w:val="28"/>
          <w:sz w:val="28"/>
          <w:szCs w:val="28"/>
          <w:rtl w:val="true"/>
          <w:lang w:bidi="ar-SA"/>
        </w:rPr>
        <w:t>ويجبُ أن يَنحني بقدر أن يصل كفّاه إلى رُكبتيه</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0477959_73709187"/>
      <w:bookmarkStart w:id="310" w:name="_Toc115"/>
      <w:bookmarkEnd w:id="309"/>
      <w:r>
        <w:rPr>
          <w:rtl w:val="true"/>
        </w:rPr>
        <w:t>واجبات الركوع</w:t>
      </w:r>
      <w:bookmarkEnd w:id="310"/>
    </w:p>
    <w:p>
      <w:pPr>
        <w:pStyle w:val="Heading6"/>
        <w:numPr>
          <w:ilvl w:val="5"/>
          <w:numId w:val="1"/>
        </w:numPr>
        <w:rPr/>
      </w:pPr>
      <w:bookmarkStart w:id="311" w:name="__RefHeading___Toc10477961_73709187"/>
      <w:bookmarkStart w:id="312" w:name="_Toc116"/>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اُمور</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0477963_73709187"/>
      <w:bookmarkStart w:id="314" w:name="_Toc117"/>
      <w:bookmarkEnd w:id="313"/>
      <w:r>
        <w:rPr>
          <w:rtl w:val="true"/>
        </w:rPr>
        <w:t>أنْ ينحني بقدر أن يصل كَفّاه إلى رُكبتيه</w:t>
      </w:r>
      <w:bookmarkEnd w:id="314"/>
    </w:p>
    <w:p>
      <w:pPr>
        <w:pStyle w:val="Heading6"/>
        <w:numPr>
          <w:ilvl w:val="5"/>
          <w:numId w:val="1"/>
        </w:numPr>
        <w:rPr/>
      </w:pPr>
      <w:bookmarkStart w:id="315" w:name="__RefHeading___Toc10477965_73709187"/>
      <w:bookmarkStart w:id="316" w:name="_Toc118"/>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ينحني بقدر أن يصل كَفّاه إلى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الإنحناء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فيه، لأنّه عبارة عن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w:t>
      </w:r>
      <w:r>
        <w:rPr>
          <w:rStyle w:val="FootnoteAnchor"/>
          <w:rtl w:val="true"/>
        </w:rPr>
        <w:footnoteReference w:id="720"/>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حمّاد، المتضمّن لفعل إمامنا الصادق عليه السلام، تعليماً لحمّاد،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رَكَع ومَلأ كفّيه مِنْ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رواه الجمهور، عن أنس،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ركعتَ فضع كفّيكَ على رُكبتيك</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تمكِّن راحتيك من ركبتيك الحديث</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في صحيحه الآخر عنه عليه السلام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حمل هذه النصوص على الاستحباب، بقرينة قول الإمام الباقر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بأطراف أصابعك عين الرّكبة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وصلتَ أطراف أصابعك في ركوعك إلى رُكبتيك أجزأك ذلك، وأحبّ إليَّ أن تُمكِّن كفّيك من رُكبتيك، فتجعل أصابعك في عين الرّكبة وتفرج بينهما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صحيح</w:t>
      </w:r>
      <w:r>
        <w:rPr>
          <w:rStyle w:val="FootnoteAnchor"/>
          <w:rtl w:val="true"/>
        </w:rPr>
        <w:footnoteReference w:id="727"/>
      </w:r>
      <w:r>
        <w:rPr>
          <w:rFonts w:ascii="Amiri" w:hAnsi="Amiri" w:eastAsia="Amiri" w:cs="Amiri"/>
          <w:color w:val="111111"/>
          <w:sz w:val="28"/>
          <w:sz w:val="28"/>
          <w:szCs w:val="28"/>
          <w:rtl w:val="true"/>
          <w:lang w:bidi="ar-SA"/>
        </w:rPr>
        <w:t xml:space="preserve">معاوية بن عمّار، ومحمّد بن مسلم، والحلبي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 فإنّها صريحة في الاكتفاء بأن ينحني بقدر أن يصل أطراف الأصابع التي منها الوسطى إلى الرّكبة، والظاهر من أطراف الأصابع فيها العموم المجموعي لا الأفرادي، كي يعتبر وصول أطراف جميع الأصابع حتّى الإبهام والخنصر اليها، فيكفي وصول الواحد، ولو كان هو الوسطى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الأطراف التي تلي الكفّ‌، فوصول مجموعها إلى الرّكبة يستلزم وصول الرّاحة إليها، فلا تنافي بين الطائفتين، خلاف الظاهر منها،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هذه النصوص بإيرادات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مخالفة لفتوى الأصحاب، فلإعراض الأصحاب عنها لا يُعتمد عليها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لم يتّفقوا في حَدّ الإنحناء على شيءٍ واحد، بل جملةٌ من الأساطين 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وغيرهما ذهبوا إلى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كفاية وصول اليد وأطراف الأصابع إليها، واختار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وغيره كفاية وصول الكفّ إليها، فالإعراض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يحتمل أنْ يكون المراد منها إنّ وصول أطراف الأصابع إليها يُجزي عن وضع اليدين على الرّكبتين، فهي أجنبيّة عن تحديد مقدار الإنحناء، فلا تصلح لصرف ظهور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إجزاء وصول أطراف الأصابع اليها في الخروج عن عُهدة التكليف بالركوع، لا عن التكليف بوضع اليدين حاله، فتكون ظاهرة في تحديد مقدار الإنحناء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معارضة بموثّق عمّار، عن أبي عبد اللّه عليه السلام في ناسي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ذَكره وقد أهوى الى الرّكوع، قبل أنْ يضع يديه على الرّكبتين، فليرجع قائماً، وليقنت ثمّ يركع، وإنْ وضع يده على الرّكبتين فليمضِ في صلاته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منه أنّه يرجع ما لم يركع، وإنْ ركع فلا يرجع، فيدلّ على عدم تحقّق الرّكوع ما لم ينحن بمقدارٍ يبلغ يداه إلى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اليدين غير وضع الرّاحتين، ودعوى إرادة وضعهما على النحو المتعارف المعهود في صلاة الذي لا ينفكّ غالباً عن بلوغ الراحتين ممنوعة، إذ الغلبة والتعارف لا توجبان انصراف المطلق إلى الغالب والمتعارف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مقام العمل بهذه النصوص، وحمل الطائفة الاُولى على الاستحباب، ويؤيّده ما ادّعي من الإجماع</w:t>
      </w:r>
      <w:r>
        <w:rPr>
          <w:rStyle w:val="FootnoteAnchor"/>
          <w:rtl w:val="true"/>
        </w:rPr>
        <w:footnoteReference w:id="735"/>
      </w:r>
      <w:r>
        <w:rPr>
          <w:rFonts w:ascii="Amiri" w:hAnsi="Amiri" w:eastAsia="Amiri" w:cs="Amiri"/>
          <w:color w:val="111111"/>
          <w:sz w:val="28"/>
          <w:sz w:val="28"/>
          <w:szCs w:val="28"/>
          <w:rtl w:val="true"/>
          <w:lang w:bidi="ar-SA"/>
        </w:rPr>
        <w:t>على عدم اعتبار الوضع الفعلي، مع أنّ‌</w:t>
      </w:r>
      <w:r>
        <w:rPr>
          <w:rFonts w:eastAsia="Amiri" w:cs="Amiri" w:ascii="Amiri" w:hAnsi="Amiri"/>
          <w:color w:val="111111"/>
          <w:sz w:val="28"/>
          <w:szCs w:val="28"/>
          <w:rtl w:val="true"/>
          <w:lang w:bidi="ar-SA"/>
        </w:rPr>
        <w:t xml:space="preserve">). </w:t>
      </w:r>
      <w:bookmarkStart w:id="317" w:name="pg11800_96991"/>
    </w:p>
    <w:p>
      <w:pPr>
        <w:pStyle w:val="BookText"/>
        <w:rPr/>
      </w:pPr>
      <w:bookmarkEnd w:id="317"/>
      <w:r>
        <w:rPr>
          <w:rFonts w:ascii="IRNazanin" w:hAnsi="IRNazanin" w:eastAsia="IRNazanin"/>
          <w:color w:val="111111"/>
          <w:sz w:val="28"/>
          <w:sz w:val="28"/>
          <w:szCs w:val="28"/>
          <w:rtl w:val="true"/>
          <w:lang w:bidi="fa-IR"/>
        </w:rPr>
        <w:t>الظاهر منها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قاعدة المشاركة، عدم الفرق بين الرِّجال والنساء في حَدّ الإنحناء، إلّاالأظهر تبعاً لجملةٍ من الأساطين، من عدم اعتبار الحَدّ المزبور في ركوعهن، 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رَكعتْ وَضَعتْ يديها فوق ركبتيها على فخذيها لئلّا تُطأطأ كثيراً فترفع عجيزتها</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الظاهر بقرينة التعليل في أنّه يكفي لركوع المرأة، وصول يديها إلى فوق ركبتيها، فلا يعتنى إلى ما قيل من إنّه لا منافاة بين استحباب وضع اليدين فوق الرّكبتين، وكون انحنائها مساوياً لإنحناء الرَّجل</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0477967_73709187"/>
      <w:bookmarkStart w:id="319" w:name="_Toc119"/>
      <w:bookmarkEnd w:id="318"/>
      <w:r>
        <w:rPr>
          <w:rtl w:val="true"/>
        </w:rPr>
        <w:t>فروع</w:t>
      </w:r>
      <w:r>
        <w:rPr>
          <w:rtl w:val="true"/>
        </w:rPr>
        <w:t>:</w:t>
      </w:r>
      <w:bookmarkEnd w:id="319"/>
    </w:p>
    <w:p>
      <w:pPr>
        <w:pStyle w:val="Heading6"/>
        <w:numPr>
          <w:ilvl w:val="5"/>
          <w:numId w:val="1"/>
        </w:numPr>
        <w:rPr/>
      </w:pPr>
      <w:bookmarkStart w:id="320" w:name="__RefHeading___Toc10477969_73709187"/>
      <w:bookmarkStart w:id="321" w:name="_Toc120"/>
      <w:bookmarkEnd w:id="320"/>
      <w:r>
        <w:rPr>
          <w:rtl w:val="true"/>
        </w:rPr>
        <w:t>غير مستوي الخلقة يرجعُ إلى المستوي</w:t>
      </w:r>
      <w:bookmarkEnd w:id="32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مستوي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كقصير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المستوي كما هو المشهور</w:t>
      </w:r>
      <w:r>
        <w:rPr>
          <w:rStyle w:val="FootnoteAnchor"/>
          <w:rtl w:val="true"/>
        </w:rPr>
        <w:footnoteReference w:id="737"/>
      </w:r>
      <w:r>
        <w:rPr>
          <w:rFonts w:ascii="Amiri" w:hAnsi="Amiri" w:eastAsia="Amiri" w:cs="Amiri"/>
          <w:color w:val="111111"/>
          <w:sz w:val="28"/>
          <w:sz w:val="28"/>
          <w:szCs w:val="28"/>
          <w:rtl w:val="true"/>
          <w:lang w:bidi="ar-SA"/>
        </w:rPr>
        <w:t>، لأنّ الظاهر من النصوص أنّ بلوغ اليدين لوحظ طريقاً إلى الحَدّ الخاص من الإنحناء، وحيثُ إنّها لم يقدر النصوص بالأقلّ أو الأكثر أو المتوسّط، فينزّل على الفرد المتعارف، وهو مستوي الخِلقة على ما هو الشأن في جميع التحديدات الشرعيّة، كما في تحديد الوجه في باب الوضوء ونظائره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الأردبيلي رحمه الله</w:t>
      </w:r>
      <w:r>
        <w:rPr>
          <w:rStyle w:val="FootnoteAnchor"/>
          <w:rtl w:val="true"/>
        </w:rPr>
        <w:footnoteReference w:id="738"/>
      </w:r>
      <w:r>
        <w:rPr>
          <w:rFonts w:ascii="Amiri" w:hAnsi="Amiri" w:eastAsia="Amiri" w:cs="Amiri"/>
          <w:color w:val="111111"/>
          <w:sz w:val="28"/>
          <w:sz w:val="28"/>
          <w:szCs w:val="28"/>
          <w:rtl w:val="true"/>
          <w:lang w:bidi="ar-SA"/>
        </w:rPr>
        <w:t>من أنّه لا يبعد القول بالإنحناء حتّى يصل اليدين إلى الرّكبتين مطلقاً، لظاهر الخبر، مع عدم المنافي، وعدم التعذّر، ضعيفٌ‌</w:t>
      </w:r>
      <w:r>
        <w:rPr>
          <w:rFonts w:eastAsia="Amiri" w:cs="Amiri" w:ascii="Amiri" w:hAnsi="Amiri"/>
          <w:color w:val="111111"/>
          <w:sz w:val="28"/>
          <w:szCs w:val="28"/>
          <w:rtl w:val="true"/>
          <w:lang w:bidi="ar-SA"/>
        </w:rPr>
        <w:t xml:space="preserve">. </w:t>
      </w:r>
      <w:bookmarkStart w:id="322" w:name="pg11800_96992"/>
    </w:p>
    <w:p>
      <w:pPr>
        <w:pStyle w:val="BookText"/>
        <w:rPr/>
      </w:pPr>
      <w:bookmarkEnd w:id="322"/>
      <w:r>
        <w:rPr>
          <w:rFonts w:ascii="Amiri" w:hAnsi="Amiri" w:eastAsia="Amiri" w:cs="Amiri"/>
          <w:color w:val="111111"/>
          <w:sz w:val="28"/>
          <w:sz w:val="28"/>
          <w:szCs w:val="28"/>
          <w:rtl w:val="true"/>
          <w:lang w:bidi="ar-SA"/>
        </w:rPr>
        <w:t>ولو عَجَز أتى بالممكن، وإلّا أومأ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بما أنّ المستوي أيضاً متفاوت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يكون لكلٍّ حكمُ نفسه بالنسبة إلى يديه وركبتيه،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أنّه يرجع إلى الأكثر إنحناءً أو الأقلّ أو المتوسّط؟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الأخير، إذ ظاهر نصوص التحديد، أنّ الحَدّ هو مرتبة خاصّة من الإنحناء للجميع، وحيثُ لم يقيّد بالأقلّ أو الأكثر فتُحمل على إرادة المتوسّط، لأنّه المنصرف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الأقوال الاُخر</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0477971_73709187"/>
      <w:bookmarkStart w:id="324" w:name="_Toc121"/>
      <w:bookmarkEnd w:id="323"/>
      <w:r>
        <w:rPr>
          <w:rtl w:val="true"/>
        </w:rPr>
        <w:t>ولو عَجَز من الإنحناء أتى بالممكن</w:t>
      </w:r>
      <w:bookmarkEnd w:id="324"/>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الإنحناء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الإنحناء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740"/>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بالممكن وإلّا أومأ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علمائنا كافّة، واستدلّ له بالإجماع وبقاعدة الميسور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المنقول منه، لا سيّما في مثل هذه المسألة المعلوم مدرك المجمعين،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 هذا الكتاب غير مرّة من أنّ النصوص التي استدلّ بها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عدم سقوط الميسور من الأجزاء بالمعسور منها، وعلى هذا فالمتعيّن العمل بما دلّ على بدليّة الإيماء عن الرّكوع عند عدم القدرة على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تمكّن منه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يتعيّن عليه الإتيان به جالساً كما اختاره بعض‌؟</w:t>
      </w:r>
    </w:p>
    <w:p>
      <w:pPr>
        <w:pStyle w:val="BookText"/>
        <w:rPr/>
      </w:pPr>
      <w:r>
        <w:rPr>
          <w:rFonts w:ascii="Amiri" w:hAnsi="Amiri" w:eastAsia="Amiri" w:cs="Amiri"/>
          <w:color w:val="111111"/>
          <w:sz w:val="28"/>
          <w:sz w:val="28"/>
          <w:szCs w:val="28"/>
          <w:rtl w:val="true"/>
          <w:lang w:bidi="ar-SA"/>
        </w:rPr>
        <w:t>أوالإيماءقائماً، كمانُسب إلى المشهور</w:t>
      </w:r>
      <w:r>
        <w:rPr>
          <w:rStyle w:val="FootnoteAnchor"/>
          <w:rtl w:val="true"/>
        </w:rPr>
        <w:footnoteReference w:id="742"/>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دعوى الإجماع عليه‌؟</w:t>
      </w:r>
    </w:p>
    <w:p>
      <w:pPr>
        <w:pStyle w:val="BookText"/>
        <w:rPr/>
      </w:pPr>
      <w:r>
        <w:rPr>
          <w:rFonts w:ascii="Amiri" w:hAnsi="Amiri" w:eastAsia="Amiri" w:cs="Amiri"/>
          <w:color w:val="111111"/>
          <w:sz w:val="28"/>
          <w:sz w:val="28"/>
          <w:szCs w:val="28"/>
          <w:rtl w:val="true"/>
          <w:lang w:bidi="ar-SA"/>
        </w:rPr>
        <w:t>أو يتخيّر بينهما؟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معه أقرب إلى التامّة من الصَّلاة مع الإيماء، وبأنّه لقدرته على الرّكوع جالساً غير مشمولٍ لما دلّ على بدليّة الإيماء عن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برجحان القيام الركني على الرّكوع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التخيير بينهما، لما تقدّم منّا مراراً من أنّ مورد التنافي بين الأوامر الضمنيّة، إنّما يكون من موارد التعارض لا التزاحم، ومقتضى القاعدة</w:t>
      </w:r>
      <w:r>
        <w:rPr>
          <w:rStyle w:val="FootnoteAnchor"/>
          <w:rtl w:val="true"/>
        </w:rPr>
        <w:footnoteReference w:id="744"/>
      </w:r>
      <w:r>
        <w:rPr>
          <w:rFonts w:ascii="Amiri" w:hAnsi="Amiri" w:eastAsia="Amiri" w:cs="Amiri"/>
          <w:color w:val="111111"/>
          <w:sz w:val="28"/>
          <w:sz w:val="28"/>
          <w:szCs w:val="28"/>
          <w:rtl w:val="true"/>
          <w:lang w:bidi="ar-SA"/>
        </w:rPr>
        <w:t>فيه سقوط إطلاق دليل كلٍّ منهما، لو كان كما في المقام، ففي المقام إطلاق دليل</w:t>
      </w:r>
      <w:r>
        <w:rPr>
          <w:rFonts w:eastAsia="Amiri" w:cs="Amiri" w:ascii="Amiri" w:hAnsi="Amiri"/>
          <w:color w:val="111111"/>
          <w:sz w:val="28"/>
          <w:szCs w:val="28"/>
          <w:rtl w:val="true"/>
          <w:lang w:bidi="ar-SA"/>
        </w:rPr>
        <w:t xml:space="preserve">). </w:t>
      </w:r>
      <w:bookmarkStart w:id="325" w:name="pg11800_96994"/>
    </w:p>
    <w:p>
      <w:pPr>
        <w:pStyle w:val="BookText"/>
        <w:rPr/>
      </w:pPr>
      <w:bookmarkEnd w:id="325"/>
      <w:r>
        <w:rPr>
          <w:rFonts w:ascii="Amiri" w:hAnsi="Amiri" w:eastAsia="Amiri" w:cs="Amiri"/>
          <w:color w:val="111111"/>
          <w:sz w:val="28"/>
          <w:sz w:val="28"/>
          <w:szCs w:val="28"/>
          <w:rtl w:val="true"/>
          <w:lang w:bidi="ar-SA"/>
        </w:rPr>
        <w:t>وجوب الرّكوع، يعارض إطلاق دليل القيام الركني، فيتساقطان والمرجع أصالة البراءة عن تعيّن كلّ منهما على ما عرفت، فيحكم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القولين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ذكرناه ظهر أنّه لو عجز عن الإنحناء أصلاً، أومأ وهو قائمٌ‌، تمكّن من الرّكوع جالساً أم لم يتمكّن، غاية الأمر في صورة التمكّن منه يتخيّر بينه وبين الرّكوع جالساً</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0477973_73709187"/>
      <w:bookmarkStart w:id="327" w:name="_Toc122"/>
      <w:bookmarkEnd w:id="326"/>
      <w:r>
        <w:rPr>
          <w:rtl w:val="true"/>
        </w:rPr>
        <w:t>ركوع الجالس</w:t>
      </w:r>
      <w:bookmarkEnd w:id="32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في كيفيّة ركوع الجالس وجهان،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74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ينحني بحيث يصير بالنسبة إلى القاعد المُنتَصب كالراكع بالنسبة الى القائم المنتَصب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ينحني بحيث يكون نسبة ركوعه إلى سجوده، كنسبة ركوع القائم إلى سجوده، باعتبار أكمل أفراد الرّكوع وأدناه، فإنّ أكمل أفراد ركوع القائم انحناؤه إلى أن يستوي ظهره، مع مدِّ عنقه بحيث تحاذي جبهته موضع سجوده، وأدناه انحنائه إلى أن تصل كفّاه إلى رُكبتيه، فيحاذي وجهه ما قدّام ركبتيه من الأرض، ولا يبلغ محاذاة موضع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رُوعيت هذه النسبة في حال </w:t>
      </w:r>
    </w:p>
    <w:p>
      <w:pPr>
        <w:pStyle w:val="BookText"/>
        <w:rPr/>
      </w:pPr>
      <w:r>
        <w:rPr>
          <w:rFonts w:ascii="Amiri" w:hAnsi="Amiri" w:eastAsia="Amiri" w:cs="Amiri"/>
          <w:color w:val="111111"/>
          <w:sz w:val="28"/>
          <w:sz w:val="28"/>
          <w:szCs w:val="28"/>
          <w:rtl w:val="true"/>
          <w:lang w:bidi="ar-SA"/>
        </w:rPr>
        <w:t>الجلوس، كان أكمل أفراد ركوع القاعد أن ينحني بحيث تحاذي جبهته مسجده، وأدناه محاذاة وجهه ما قدّام ركبتيه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غير واحد من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والوجهان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الإناطة إلى العُرف، لأنّه لم يقدّر لركوع الجالس قدراً معيّناً ولا هيئة عرفيّة ينصرف إليها الذّهن عند إطلاق الأمر به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أنّ للرّكوع قائماً حَدّاً شرعيّاً تعبّديّاً، وليس هو بلوغ الكفّين أو أصابع الرّكبتين من حيث هو، بل من حيث تحقّق مرتبة خاصّة من الإنحناء به، فهي الحَدّ الشرعي للرّكوع، يكون المنساق إلى الذهن من إطلاق الأمر به جالساً، اعتبار المرتبة الخاصّة من الإنحناء المعتبرة في ركوعه القائم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للإحالة إلى العُرف، بل يعتبر أن ينحني ظهره حال الجلوس بمقدار ما كان ينحني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هو التحديد بالوجه الثاني، وإنْ كان الظاهر رجوع الأوّل إليه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الشهيدين</w:t>
      </w:r>
      <w:r>
        <w:rPr>
          <w:rStyle w:val="FootnoteAnchor"/>
          <w:rtl w:val="true"/>
        </w:rPr>
        <w:footnoteReference w:id="749"/>
      </w:r>
      <w:r>
        <w:rPr>
          <w:rFonts w:ascii="Amiri" w:hAnsi="Amiri" w:eastAsia="Amiri" w:cs="Amiri"/>
          <w:color w:val="111111"/>
          <w:sz w:val="28"/>
          <w:sz w:val="28"/>
          <w:szCs w:val="28"/>
          <w:rtl w:val="true"/>
          <w:lang w:bidi="ar-SA"/>
        </w:rPr>
        <w:t>والمحقّق الثاني</w:t>
      </w:r>
      <w:r>
        <w:rPr>
          <w:rStyle w:val="FootnoteAnchor"/>
          <w:rtl w:val="true"/>
        </w:rPr>
        <w:footnoteReference w:id="750"/>
      </w:r>
      <w:r>
        <w:rPr>
          <w:rFonts w:ascii="Amiri" w:hAnsi="Amiri" w:eastAsia="Amiri" w:cs="Amiri"/>
          <w:color w:val="111111"/>
          <w:sz w:val="28"/>
          <w:sz w:val="28"/>
          <w:szCs w:val="28"/>
          <w:rtl w:val="true"/>
          <w:lang w:bidi="ar-SA"/>
        </w:rPr>
        <w:t>لزوم رفع الفخذين، واستدلّ 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كان واجباً عليه ذلك حال القيام، حيثُ لا دليل على اختصاصه به، فالأصل بقاؤه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وبلزوم تحقّق المشابهة المزبورة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كما ترى‌، إذ وجوبه في القيام ليس إلّامن جهة تحقّق الهيئة الخاصّة به وعدمه بدونه، وحيث أنّها تتحقّق في حال الجلوس ولو لم يرفع الفخذين، فلا وجه لاعتباره</w:t>
      </w:r>
      <w:r>
        <w:rPr>
          <w:rFonts w:eastAsia="Amiri" w:cs="Amiri" w:ascii="Amiri" w:hAnsi="Amiri"/>
          <w:color w:val="111111"/>
          <w:sz w:val="28"/>
          <w:szCs w:val="28"/>
          <w:rtl w:val="true"/>
          <w:lang w:bidi="ar-SA"/>
        </w:rPr>
        <w:t>.</w:t>
      </w:r>
      <w:bookmarkStart w:id="328" w:name="pg11800_96997"/>
    </w:p>
    <w:p>
      <w:pPr>
        <w:pStyle w:val="BookText"/>
        <w:rPr/>
      </w:pPr>
      <w:bookmarkEnd w:id="328"/>
      <w:r>
        <w:rPr>
          <w:rFonts w:ascii="Amiri" w:hAnsi="Amiri" w:eastAsia="Amiri" w:cs="Amiri"/>
          <w:color w:val="111111"/>
          <w:sz w:val="28"/>
          <w:sz w:val="28"/>
          <w:szCs w:val="28"/>
          <w:rtl w:val="true"/>
          <w:lang w:bidi="ar-SA"/>
        </w:rPr>
        <w:t>وأن يطمئنّ بقدر التسبيح</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0477975_73709187"/>
      <w:bookmarkStart w:id="330" w:name="_Toc123"/>
      <w:bookmarkEnd w:id="329"/>
      <w:r>
        <w:rPr>
          <w:rtl w:val="true"/>
        </w:rPr>
        <w:t>اعتبار الطمأنينة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واجبات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يطمئنّ بقدر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53"/>
      </w:r>
      <w:r>
        <w:rPr>
          <w:rFonts w:ascii="Amiri" w:hAnsi="Amiri" w:eastAsia="Amiri" w:cs="Amiri"/>
          <w:color w:val="111111"/>
          <w:sz w:val="28"/>
          <w:sz w:val="28"/>
          <w:szCs w:val="28"/>
          <w:rtl w:val="true"/>
          <w:lang w:bidi="ar-SA"/>
        </w:rPr>
        <w:t>وغيرها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بكر بن محمّد الأزدي،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ركع فليتمكّن</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اركع حتّى تطمئن راكعاً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 الله عليه و آله جالسٌ في المسجد، إذ دخل رجلٌ فقام يُصلّي فلم يتمّ ركوعه وسجوده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وهكذا صلاته، ليموتنّ على غير ديني</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وقريبٌ منه خبر عبد اللّه بن ميمون، عن أبي عبد اللّه عليه السلام</w:t>
      </w:r>
      <w:r>
        <w:rPr>
          <w:rStyle w:val="FootnoteAnchor"/>
          <w:rtl w:val="true"/>
        </w:rPr>
        <w:footnoteReference w:id="757"/>
      </w:r>
      <w:r>
        <w:rPr>
          <w:rFonts w:ascii="Amiri" w:hAnsi="Amiri" w:eastAsia="Amiri" w:cs="Amiri"/>
          <w:color w:val="111111"/>
          <w:sz w:val="28"/>
          <w:sz w:val="28"/>
          <w:szCs w:val="28"/>
          <w:rtl w:val="true"/>
          <w:lang w:bidi="ar-SA"/>
        </w:rPr>
        <w:t>، فلا يدلّان على ذلك، إذ ظاهرهما لزوم بقائه راكعاً بمقدار الذّكر، ولو كان غير مستقرّ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فالعمدة في دليله الخبران، ولكن غاية ما يدلّان عليه اعتباره فيه في </w:t>
      </w:r>
    </w:p>
    <w:p>
      <w:pPr>
        <w:pStyle w:val="BookText"/>
        <w:rPr/>
      </w:pPr>
      <w:r>
        <w:rPr>
          <w:rFonts w:ascii="Amiri" w:hAnsi="Amiri" w:eastAsia="Amiri" w:cs="Amiri"/>
          <w:color w:val="111111"/>
          <w:sz w:val="28"/>
          <w:sz w:val="28"/>
          <w:szCs w:val="28"/>
          <w:rtl w:val="true"/>
          <w:lang w:bidi="ar-SA"/>
        </w:rPr>
        <w:t>الجملة، لا بقدر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صلى الله عليه و آله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اركع حتّى تطمئن راكعاً، ثمّ 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التمكّن من أوّل الرّكوع إلى حين رفع الرأس،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سهواً حتّى بالمقدار الذي يتحقّق به الرّكوع عن استقرار، فبطلان الصَّلاة وعدمه، يبتنيان على أن تكون الطمأنينة شرطاً للرّكوع أو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لاستلزام الإخلال بها فوت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إلّامن خمس</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شكّ في ذلك، يمكن أن يقال دخلها في الصَّلاة معلومٌ على أيّ تقدير، ويشكّ في شرطيّتها للرّكوع، فالأصل يقتضي عدمها، وبذلك 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ويُحكم بعدم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مريضاً لا يتمكّن من الطمأنينة، سقطت عنه، وعليه أن يركع بلا طمأنينة بلا خلافٍ‌، لاختصاص ما يدلّ على اعتباره بحال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الأمر بين الرّكوع قائماً بلا طمأنينة، أو جالساً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المشهور</w:t>
      </w:r>
      <w:r>
        <w:rPr>
          <w:rStyle w:val="FootnoteAnchor"/>
          <w:rtl w:val="true"/>
        </w:rPr>
        <w:footnoteReference w:id="759"/>
      </w:r>
      <w:r>
        <w:rPr>
          <w:rFonts w:ascii="Amiri" w:hAnsi="Amiri" w:eastAsia="Amiri" w:cs="Amiri"/>
          <w:color w:val="111111"/>
          <w:sz w:val="28"/>
          <w:sz w:val="28"/>
          <w:szCs w:val="28"/>
          <w:rtl w:val="true"/>
          <w:lang w:bidi="ar-SA"/>
        </w:rPr>
        <w:t>تقديم الأوّل، والأقوى هو التخيير، وذلك لما تقدّم مراراً من أنّ موارد اضطرار المكلّف إلى ترك أحد الشيئين المعتبرين في الصَّلاة، وعدم التمكّن من إتيانها معاً، يكون من موارد التعارض لا التزاحم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أيضاً مقتضى القاعدة في هذا التعارض، أنّه لو كان لكلّ من دليليهما إطلاق، فلا محالة يسقط كلّ‌</w:t>
      </w:r>
      <w:r>
        <w:rPr>
          <w:rStyle w:val="FootnoteAnchor"/>
          <w:rtl w:val="true"/>
        </w:rPr>
        <w:footnoteReference w:id="760"/>
      </w:r>
      <w:r>
        <w:rPr>
          <w:rFonts w:ascii="Amiri" w:hAnsi="Amiri" w:eastAsia="Amiri" w:cs="Amiri"/>
          <w:color w:val="111111"/>
          <w:sz w:val="28"/>
          <w:sz w:val="28"/>
          <w:szCs w:val="28"/>
          <w:rtl w:val="true"/>
          <w:lang w:bidi="ar-SA"/>
        </w:rPr>
        <w:t>من الإطلاقين، فيرجع إلى الأصل، وترفع</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خصوصيّة كلّ من الأمرين بأصالة البراءة، فيثبت التخيير، ففي المقام يسقط إطلاق دليل اعتبار الطمأنينة، وإطلاق دليل وجوب الرّكوع قائماً للتعارض بينهما بالعموم من وجه، والمرجع حينئذٍ إلى الأصل فيثبت التخيير، وإنْ كان الأحوط اختيار الأوّل، كما لا يخفى وجهه</w:t>
      </w:r>
      <w:r>
        <w:rPr>
          <w:rFonts w:eastAsia="Amiri" w:cs="Amiri" w:ascii="Amiri" w:hAnsi="Amiri"/>
          <w:color w:val="111111"/>
          <w:sz w:val="28"/>
          <w:szCs w:val="28"/>
          <w:rtl w:val="true"/>
          <w:lang w:bidi="ar-SA"/>
        </w:rPr>
        <w:t>.</w:t>
      </w:r>
      <w:bookmarkStart w:id="331" w:name="pg11800_97000"/>
    </w:p>
    <w:p>
      <w:pPr>
        <w:pStyle w:val="BookText"/>
        <w:rPr/>
      </w:pPr>
      <w:bookmarkEnd w:id="331"/>
      <w:r>
        <w:rPr>
          <w:rFonts w:ascii="Amiri" w:hAnsi="Amiri" w:eastAsia="Amiri" w:cs="Amiri"/>
          <w:color w:val="111111"/>
          <w:sz w:val="28"/>
          <w:sz w:val="28"/>
          <w:szCs w:val="28"/>
          <w:rtl w:val="true"/>
          <w:lang w:bidi="ar-SA"/>
        </w:rPr>
        <w:t>وأنْ يُسبّح مرّةً واحدة</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0477977_73709187"/>
      <w:bookmarkStart w:id="333" w:name="_Toc124"/>
      <w:bookmarkEnd w:id="332"/>
      <w:r>
        <w:rPr>
          <w:rtl w:val="true"/>
        </w:rPr>
        <w:t>اعتبار الذّكر في الرّكوع</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إجماعاً</w:t>
      </w:r>
      <w:r>
        <w:rPr>
          <w:rStyle w:val="FootnoteAnchor"/>
          <w:rtl w:val="true"/>
        </w:rPr>
        <w:footnoteReference w:id="761"/>
      </w:r>
      <w:r>
        <w:rPr>
          <w:rFonts w:ascii="Amiri" w:hAnsi="Amiri" w:eastAsia="Amiri" w:cs="Amiri"/>
          <w:color w:val="111111"/>
          <w:sz w:val="28"/>
          <w:sz w:val="28"/>
          <w:szCs w:val="28"/>
          <w:rtl w:val="true"/>
          <w:lang w:bidi="ar-SA"/>
        </w:rPr>
        <w:t>، حكاه جماعة كثيرة، لكن اختلفوا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الأكثر أو المشهور</w:t>
      </w:r>
      <w:r>
        <w:rPr>
          <w:rStyle w:val="FootnoteAnchor"/>
          <w:rtl w:val="true"/>
        </w:rPr>
        <w:footnoteReference w:id="762"/>
      </w:r>
      <w:r>
        <w:rPr>
          <w:rFonts w:ascii="Amiri" w:hAnsi="Amiri" w:eastAsia="Amiri" w:cs="Amiri"/>
          <w:color w:val="111111"/>
          <w:sz w:val="28"/>
          <w:sz w:val="28"/>
          <w:szCs w:val="28"/>
          <w:rtl w:val="true"/>
          <w:lang w:bidi="ar-SA"/>
        </w:rPr>
        <w:t xml:space="preserve">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يُسبِّح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 وأكثر كتب المصنّف رحمه الله</w:t>
      </w:r>
      <w:r>
        <w:rPr>
          <w:rStyle w:val="FootnoteAnchor"/>
          <w:rtl w:val="true"/>
        </w:rPr>
        <w:footnoteReference w:id="764"/>
      </w:r>
      <w:r>
        <w:rPr>
          <w:rFonts w:ascii="Amiri" w:hAnsi="Amiri" w:eastAsia="Amiri" w:cs="Amiri"/>
          <w:color w:val="111111"/>
          <w:sz w:val="28"/>
          <w:sz w:val="28"/>
          <w:szCs w:val="28"/>
          <w:rtl w:val="true"/>
          <w:lang w:bidi="ar-SA"/>
        </w:rPr>
        <w:t>، وأكثر المتأخّرين</w:t>
      </w:r>
      <w:r>
        <w:rPr>
          <w:rStyle w:val="FootnoteAnchor"/>
          <w:rtl w:val="true"/>
        </w:rPr>
        <w:footnoteReference w:id="765"/>
      </w:r>
      <w:r>
        <w:rPr>
          <w:rFonts w:ascii="Amiri" w:hAnsi="Amiri" w:eastAsia="Amiri" w:cs="Amiri"/>
          <w:color w:val="111111"/>
          <w:sz w:val="28"/>
          <w:sz w:val="28"/>
          <w:szCs w:val="28"/>
          <w:rtl w:val="true"/>
          <w:lang w:bidi="ar-SA"/>
        </w:rPr>
        <w:t>، بل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مطلق الذّكر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الباقر عليه السلام،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الرّكوع والسّجود؟ قال ثلاث تسبيحات في ترسّل، وواحدة تامّة تُجزي</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 ما يكون من التسبيح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مترسّلاً، تقول 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أنّ تعيّن وجوب التسبيح كان أمراً مفروغاً عنه لديهم، ونحوهما غيرهما من الروايات الظاهرة في تعيّن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رفع اليد عن هذا الظهور، لأجل ما يدلّ على كفاية مطلق الذكر بدلاً عن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أن أقول مكان التسبيح في الرّكوع والسّجود لا إله إلّااللّه والحمد للّه واللّه أكبر؟ قال نعم كلّ هذا ذكر</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هشام بن سالم،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يُجزي عنّي أن أقول مكان التسبيح في الرّكوع والسّجود لا إله إلّااللّه والحمد للّه واللّه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هذا ذكر اللّه</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 xml:space="preserve">نحوه بإسقاط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الصحيحان صريحان في عدم تعيّن التسبيح، وكفاية مطلق الذّكر، فلأجلهما تُحمل النصوص المتقدّمة على الأفضليّة، أو على كون التسبيح هو الذّكر الموظّف في أصل الشرع، أو بيان أحد الأفراد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صورتها سبحان ربّي العظيم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الروايات، كفاية مطلق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النصوص الدالّة على عدم لزوم التسبيح تعييناً لإعراض القدماء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بإفتاء الشيخ</w:t>
      </w:r>
      <w:r>
        <w:rPr>
          <w:rStyle w:val="FootnoteAnchor"/>
          <w:rtl w:val="true"/>
        </w:rPr>
        <w:footnoteReference w:id="772"/>
      </w:r>
      <w:r>
        <w:rPr>
          <w:rFonts w:ascii="Amiri" w:hAnsi="Amiri" w:eastAsia="Amiri" w:cs="Amiri"/>
          <w:color w:val="111111"/>
          <w:sz w:val="28"/>
          <w:sz w:val="28"/>
          <w:szCs w:val="28"/>
          <w:rtl w:val="true"/>
          <w:lang w:bidi="ar-SA"/>
        </w:rPr>
        <w:t>بمضمونها، والاستناد إليها، ودعوى الحِلّي</w:t>
      </w:r>
      <w:r>
        <w:rPr>
          <w:rStyle w:val="FootnoteAnchor"/>
          <w:rtl w:val="true"/>
        </w:rPr>
        <w:footnoteReference w:id="773"/>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تقدير تعيّن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يجزي مطلقه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يتعيّن التسبيحة الكبرى‌،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وهو الظاهر من كلام المصنّف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صورتها سُبحان رَبّي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يتخيّر بينها وبين ثلاث صغريات، كما هو المشهور بين القائلين بتعيّن التسبيح أو بتعيّن ثلاث كبريات‌؟</w:t>
      </w:r>
    </w:p>
    <w:p>
      <w:pPr>
        <w:pStyle w:val="BookText"/>
        <w:rPr/>
      </w:pPr>
      <w:r>
        <w:rPr>
          <w:rFonts w:ascii="IRNazanin" w:hAnsi="IRNazanin" w:eastAsia="IRNazanin"/>
          <w:color w:val="111111"/>
          <w:sz w:val="28"/>
          <w:sz w:val="28"/>
          <w:szCs w:val="28"/>
          <w:rtl w:val="true"/>
          <w:lang w:bidi="fa-IR"/>
        </w:rPr>
        <w:t>وجوهٌ وأقوال أقواها الثالث، لأنّه مقتضى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ما دلّ على أنّ أدنى ما يُجزي ثلاث تسبيحات في تَرَسُّل، كصحيح معاوية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ما يكون من التسبيح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 ثلاث تسبيحات مُتَرسلاً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ما دلّ على كفاية الواحدة الكبرى، كصحيح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القول في الرّكوع والسّجود؟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الرّكوع سُبحان رَبّي العظيم</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صحيح زرارة المتقدّم، الصريح في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صحيحي ابن يقطين من التصريح بكفاية تسبيحة واحدة، فلا ينافي المختار، لإمكان حملها على إرادة الكبرى، ولذلك كلّه يُحمل خبر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حَدّ الرّكوع والسّجود؟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سُبحان رَبّي العَظيم وبحمده ثلاثاً في الرّكوع، وسُبحان رَبّي الأعلى وبحمده ثلاثاً في السّجود، فمن نَقَص واحدة نَقَص ثُلث صلاته، ومن نَقَص اثنتين نَقَص ثُلثي صلاته، ومَنْ لم يُسبِّح فلا صلاة له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الاستحباب، ويُحمل نقص الصَّلاة فيه على نقص الفضيلة، ونفي الصَّلاة على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المختار من كفاية مطلق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يُجتزى به مطلقاً ولو بمسمّاه‌؟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لابدّ وأنْ يكون بقدر ثلاث تسبيحات صُغريات‌؟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قولان، أقواهما الثاني، إذ مضافاً إلى أنّ ما دلّ على كفاية مطلق الذّكر، لا إطلاق له كي يتمسّك به لإثبات كفايته على الإطلاق، أنّه لو سُلّم إطلاقه، لابدّ من تقييده بحسن مسمع،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الرّجل في صلاته أقلّ من ثلاث تسبيحات أو قدرهنّ‌</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خبره الاخر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عن القول في الرّكوع والسّجود ثلاث تسبيحات مترسّلاً أو قدرهنّ‌</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ما يُجزي للمختار تسبيحة تامّة، وصورتها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بقدر ذلك من سائر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بعض النصوص المتقدّمة، من عدم جزئيّة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للتسبيحة التامّة، لا يوجب الالتزام بأنّها مستحبّة،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كنزالعرفان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بدَّ وان يحمل على المسامحة والتخفيف في العبارة، لأنّها مذكورة في اثنتي عشرة رواية أكثرها صحاح</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يُجزي في حال الضرورة والمرض، واحدة صغرى‌، كما هو المشهور</w:t>
      </w:r>
      <w:r>
        <w:rPr>
          <w:rStyle w:val="FootnoteAnchor"/>
          <w:rtl w:val="true"/>
        </w:rPr>
        <w:footnoteReference w:id="784"/>
      </w:r>
      <w:r>
        <w:rPr>
          <w:rFonts w:ascii="IRNazanin" w:hAnsi="IRNazanin" w:eastAsia="IRNazanin"/>
          <w:color w:val="111111"/>
          <w:sz w:val="28"/>
          <w:sz w:val="28"/>
          <w:szCs w:val="28"/>
          <w:rtl w:val="true"/>
          <w:lang w:bidi="fa-IR"/>
        </w:rPr>
        <w:t>، 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نسبته الى الأصحاب، ويشهد له 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المريض من التسبيح‌؟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واحدة</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المناسب للمرض إرادة الصغرى‌، ولا أقلّ من الإطلاق، ولا دليل يقيّد ذلك بالكبرى‌، لاختصاص المقيّد بحال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في الدلالة على المدّعى، قول الإمام الصادق عليه السلام في ذيل المرسل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 أجزأك، وتسبيحة واحدة تُجزي للمعتلّ والمريض والمستعجل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34" w:name="pg11800_97006"/>
    </w:p>
    <w:p>
      <w:pPr>
        <w:pStyle w:val="BookText"/>
        <w:rPr/>
      </w:pPr>
      <w:bookmarkEnd w:id="334"/>
      <w:r>
        <w:rPr>
          <w:rFonts w:ascii="Amiri" w:hAnsi="Amiri" w:eastAsia="Amiri" w:cs="Amiri"/>
          <w:color w:val="111111"/>
          <w:sz w:val="28"/>
          <w:sz w:val="28"/>
          <w:szCs w:val="28"/>
          <w:rtl w:val="true"/>
          <w:lang w:bidi="ar-SA"/>
        </w:rPr>
        <w:t>وأنْ ينتصب قائماً</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0477979_73709187"/>
      <w:bookmarkStart w:id="336" w:name="_Toc125"/>
      <w:bookmarkEnd w:id="335"/>
      <w:r>
        <w:rPr>
          <w:rtl w:val="true"/>
        </w:rPr>
        <w:t>الانتصاب بعد الرّكوع</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الواجبات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ينتصب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وغيرها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الرّكوع، فأقم صُلبك حتّى ترجع مفاصلك</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تضمّن كيفيّة صلاة النبيّ صلى الله عليه و آله ليلة المعراج، وفيه إنّ اللّه تعالى أوحى إليه بعد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اِرفع رأسك</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من الرّكوع ونحوها غيرها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معذوراً عن رفع الرأس لمرضٍ أو غيره، سقط عنه ذلك بلا خلافٍ‌، كما أنّه لو نَسي فهوى للسّجود، قبل انتصابه، صحّت صلاته، لعموم </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بطلانها، لعموم نفي الصَّلاة بدونه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عليه، وعلى سائر العمومات المُثبتة لما يعتبر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هوى للسّجود قبل الإنتصاب نسياناً، والتفت قبل وضع الجبهة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غير واحدٍ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وشيخنا المرتضى رحمه الله</w:t>
      </w:r>
      <w:r>
        <w:rPr>
          <w:rStyle w:val="FootnoteAnchor"/>
          <w:rtl w:val="true"/>
        </w:rPr>
        <w:footnoteReference w:id="796"/>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وغيرهم</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تداركه، وهو الأقوى، لأنّه لم يتجاوز محلّه، فالأمر به باقٍ‌، لابدَّ من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إنّما هو رفع الرأس من الرّكوع حتّى يعتدل قائماً، وليس وجوبه مقدّميّاً للقيام الحاصل عقيبه، كي يمكن تداركه بعد هويّه للسّجود، وخروجه عن حَدّ الراكع، وحيثُ إنّه لخروجه عنه لا يمكن تدارك المأمور به، لمُضيّ محلّه فلا محالة يكون ساقطاً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يدخل في السّجود، إذا رجع إلى الرّكوع، ورَفْعُ رأسه منه بما أنّ رجوعه عودٌ إلى الحالة الاُولى‌، لا ركوعٍ آخر، فلا يكون محلّه ماضياً، فيجبُ الرجوع مقدّمةً لامتثال الأمر المتعلّق برفع الرأس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مُضيّ محلّ رفع الرأس بالهويّ‌، إلّاأنّه يجب الرجوع لامتثال الأمر المتعلّق بالقيام عقيبه، الثابت بقوله عليه السلام في خبر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الرّكوع فأقِمْ صُلبك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ارفَع رأسك حتّى تعتدل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من عدم الوجوب، معلّلاً بأنّه حَكَم بسقوطه وخروج محلّه،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ظهر أنّه لو انحنى بقصد الرّكوع، فنسي فهوى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النسيان قبل وصوله إلى حَدّ الوكوع أو بعده، وسواءٌ أكان التذكّر قبل تجاوز أقصى الحَدّ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جميع هذه الصور يجب عليه الرجوع لتدارك ما 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العود، لأنّ الرّكوع قد تحقّق، والناقص إنّما هو الذّكر والطمأنينة، وتركهما يغتفر بالقاعدة الثانويّة المستفادة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أن يلزم من تدارك ما نقص زيادةً في الصَّلاة، فلا يشمل مثل المقام ممّا لا يلزم زيادة فيها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الحديث اغتفار الترك غير المستند الى العمد، وفي المقام بعد الالتفات وإمكان التدارك، لو ترك كان تركه ذلك مستنداً إلى العمد، فلا يكون مشمولاً للحديث، فلابدَّ وأن يعود للتدارك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يدخل في السّجود، وأمّا لو دخل فيه فسيأتي الكلام فيه في محلّه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النصوص عدم الفرق في اعتبار رفع الرأس من الرّكوع، بين الفريضة والنافلة،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من أنّه لو ترك الاعتدال في الرفع من الرّكوع أو السّجود في صلاة النافلة عمداً، لم تبطل صلاته ضعيفٌ‌، وقد استدلّ له بأنّه ليس ركناً في الفريضة، فكذا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كونه ركناً لا يصحّح جواز الإخلال به عمداً، وإلّا لجاز الإخلال بالفاتحة والتشهّد وأمثالهما، مع أنّه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قيامه بعد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منه أن يعتدل قائماً، ويسكن فيه ولو يسيراً، إجماعاً</w:t>
      </w:r>
      <w:r>
        <w:rPr>
          <w:rStyle w:val="FootnoteAnchor"/>
          <w:rtl w:val="true"/>
        </w:rPr>
        <w:footnoteReference w:id="802"/>
      </w:r>
      <w:r>
        <w:rPr>
          <w:rFonts w:ascii="Amiri" w:hAnsi="Amiri" w:eastAsia="Amiri" w:cs="Amiri"/>
          <w:color w:val="111111"/>
          <w:sz w:val="28"/>
          <w:sz w:val="28"/>
          <w:szCs w:val="28"/>
          <w:rtl w:val="true"/>
          <w:lang w:bidi="ar-SA"/>
        </w:rPr>
        <w:t>محصّلاً ومنقولاً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الرّكوع فأقِم صُلبك</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ارفع رأسكَ حتّى تعتدل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 المتبادر من هذه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العبائر الاستقرار في حال الإعتدال وإقامة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الصُّلب والاعتدال، يلائمان مع الحركة أيضاً، فالعمدة فيه الإجماع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واجبات الرّكوع</w:t>
      </w:r>
      <w:r>
        <w:rPr>
          <w:rFonts w:eastAsia="Amiri" w:cs="Amiri" w:ascii="Amiri" w:hAnsi="Amiri"/>
          <w:color w:val="111111"/>
          <w:sz w:val="28"/>
          <w:szCs w:val="28"/>
          <w:rtl w:val="true"/>
          <w:lang w:bidi="ar-SA"/>
        </w:rPr>
        <w:t>.</w:t>
      </w:r>
      <w:bookmarkStart w:id="337" w:name="pg11800_97011"/>
    </w:p>
    <w:p>
      <w:pPr>
        <w:pStyle w:val="BookText"/>
        <w:rPr/>
      </w:pPr>
      <w:bookmarkEnd w:id="337"/>
      <w:r>
        <w:rPr>
          <w:rFonts w:ascii="Amiri" w:hAnsi="Amiri" w:eastAsia="Amiri" w:cs="Amiri"/>
          <w:color w:val="111111"/>
          <w:sz w:val="28"/>
          <w:sz w:val="28"/>
          <w:szCs w:val="28"/>
          <w:rtl w:val="true"/>
          <w:lang w:bidi="ar-SA"/>
        </w:rPr>
        <w:t>ويستحبُّ التَكبيرُ له</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0477981_73709187"/>
      <w:bookmarkStart w:id="339" w:name="_Toc126"/>
      <w:bookmarkEnd w:id="338"/>
      <w:r>
        <w:rPr>
          <w:rtl w:val="true"/>
        </w:rPr>
        <w:t>مستحبات الركوع</w:t>
      </w:r>
      <w:bookmarkEnd w:id="339"/>
    </w:p>
    <w:p>
      <w:pPr>
        <w:pStyle w:val="BookText"/>
        <w:rPr/>
      </w:pPr>
      <w:r>
        <w:rPr>
          <w:rFonts w:ascii="Amiri" w:hAnsi="Amiri" w:eastAsia="Amiri" w:cs="Amiri"/>
          <w:color w:val="111111"/>
          <w:sz w:val="28"/>
          <w:sz w:val="28"/>
          <w:szCs w:val="28"/>
          <w:rtl w:val="true"/>
          <w:lang w:bidi="ar-SA"/>
        </w:rPr>
        <w:t>التكبير للرّكوع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Style w:val="FootnoteAnchor"/>
          <w:rtl w:val="true"/>
        </w:rPr>
        <w:footnoteReference w:id="804"/>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الإجماع عليه، وقيل</w:t>
      </w:r>
      <w:r>
        <w:rPr>
          <w:rStyle w:val="FootnoteAnchor"/>
          <w:rtl w:val="true"/>
        </w:rPr>
        <w:footnoteReference w:id="806"/>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الآمرة بالتكبير له، كصحيحة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تركع، فقُل وأنتَ 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صحيحته الاُخرى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تركع وتسجد فارفع يديك وكبّر</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الروايات الوجوب، كما ذهب إليه العُمّاني</w:t>
      </w:r>
      <w:r>
        <w:rPr>
          <w:rStyle w:val="FootnoteAnchor"/>
          <w:rtl w:val="true"/>
        </w:rPr>
        <w:footnoteReference w:id="809"/>
      </w:r>
      <w:r>
        <w:rPr>
          <w:rFonts w:ascii="Amiri" w:hAnsi="Amiri" w:eastAsia="Amiri" w:cs="Amiri"/>
          <w:color w:val="111111"/>
          <w:sz w:val="28"/>
          <w:sz w:val="28"/>
          <w:szCs w:val="28"/>
          <w:rtl w:val="true"/>
          <w:lang w:bidi="ar-SA"/>
        </w:rPr>
        <w:t>، والديلمي</w:t>
      </w:r>
      <w:r>
        <w:rPr>
          <w:rStyle w:val="FootnoteAnchor"/>
          <w:rtl w:val="true"/>
        </w:rPr>
        <w:footnoteReference w:id="810"/>
      </w:r>
      <w:r>
        <w:rPr>
          <w:rFonts w:ascii="IRNazanin" w:hAnsi="IRNazanin" w:eastAsia="IRNazanin"/>
          <w:color w:val="111111"/>
          <w:sz w:val="28"/>
          <w:sz w:val="28"/>
          <w:szCs w:val="28"/>
          <w:rtl w:val="true"/>
          <w:lang w:bidi="fa-IR"/>
        </w:rPr>
        <w:t>، وهو الظاهر من المرتضى رحمه الله</w:t>
      </w:r>
      <w:r>
        <w:rPr>
          <w:rStyle w:val="FootnoteAnchor"/>
          <w:rtl w:val="true"/>
        </w:rPr>
        <w:footnoteReference w:id="811"/>
      </w:r>
      <w:r>
        <w:rPr>
          <w:rFonts w:ascii="Amiri" w:hAnsi="Amiri" w:eastAsia="Amiri" w:cs="Amiri"/>
          <w:color w:val="111111"/>
          <w:sz w:val="28"/>
          <w:sz w:val="28"/>
          <w:szCs w:val="28"/>
          <w:rtl w:val="true"/>
          <w:lang w:bidi="ar-SA"/>
        </w:rPr>
        <w:t>، ونُسب إلى ابن أبي عقيل</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المشهور</w:t>
      </w:r>
      <w:r>
        <w:rPr>
          <w:rStyle w:val="FootnoteAnchor"/>
          <w:rtl w:val="true"/>
        </w:rPr>
        <w:footnoteReference w:id="813"/>
      </w:r>
      <w:r>
        <w:rPr>
          <w:rFonts w:ascii="Amiri" w:hAnsi="Amiri" w:eastAsia="Amiri" w:cs="Amiri"/>
          <w:color w:val="111111"/>
          <w:sz w:val="28"/>
          <w:sz w:val="28"/>
          <w:szCs w:val="28"/>
          <w:rtl w:val="true"/>
          <w:lang w:bidi="ar-SA"/>
        </w:rPr>
        <w:t>رفعوا اليد عن هذا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لأجل اشتمال الروايات الآمرة بالتكبير على كثير من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للمُسىء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اقرأ ما تيسّر من القرآن ثمّ اركع</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عليه السلام في موثّقة أبي بصير، بعدما سأله عن أدنى ما يُجزي من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واحدة</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كبّرت في أوّل صلاتك بعد الاستفتاح بإحدى وعشرين تكبيرة، ثمّ نسيت التكبير كلّه، أو لم تكبّر، أجزأك التكبير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الرخصة في تقديمها وتركها عمداً في موضعها، تدلّ على عدم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الفضل، عن الإمام الرضا عليه السلام المُعلّل رفع اليدين في جميع التكبير،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كان في الإستفتاح الذي هو الفرض، رفع اليدين أحبّ أن يؤدّوا السُنّة على جهة ما يؤدّى الفرض</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اشتمال الروايات الآمرة به على كثيرٍ من المستحبّات، لا تكون قرينةً على صرف الأمر عن ظاهره، وقد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 ضعيفُ السند لا يعتمد عليه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موثّقة أبي بصير، فالظاهر أنّ السؤال فيها إنّما يكون عن أدنى ما يُجزي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التكبيرة في افتتاح الصَّلاة، لا في مجموعها حتّى يشمل مثل تكبير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زرارة، فهي 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بالعطف بالواو، فلا يصحّ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الفضل ليس في مقام تمييز الواجب عن المستحبّ‌، كي يستدلّ به على عدم وجوب غير ما يُستفتح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صرف ظاهر الأخبار لا يتمّ‌، فالأقوى بحسب الأدلّة الوجوب، إلّاأنّ الإفتاء به مشكلٌ‌، لأجل التزام الأعاظم قديماً وحديثاً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المشهور</w:t>
      </w:r>
      <w:r>
        <w:rPr>
          <w:rStyle w:val="FootnoteAnchor"/>
          <w:rtl w:val="true"/>
        </w:rPr>
        <w:footnoteReference w:id="819"/>
      </w:r>
      <w:r>
        <w:rPr>
          <w:rFonts w:ascii="Amiri" w:hAnsi="Amiri" w:eastAsia="Amiri" w:cs="Amiri"/>
          <w:color w:val="111111"/>
          <w:sz w:val="28"/>
          <w:sz w:val="28"/>
          <w:szCs w:val="28"/>
          <w:rtl w:val="true"/>
          <w:lang w:bidi="ar-SA"/>
        </w:rPr>
        <w:t>التزموا باعتبار القيام حال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820"/>
      </w:r>
      <w:r>
        <w:rPr>
          <w:rFonts w:ascii="Amiri" w:hAnsi="Amiri" w:eastAsia="Amiri" w:cs="Amiri"/>
          <w:color w:val="111111"/>
          <w:sz w:val="28"/>
          <w:sz w:val="28"/>
          <w:szCs w:val="28"/>
          <w:rtl w:val="true"/>
          <w:lang w:bidi="ar-SA"/>
        </w:rPr>
        <w:t>والشهيد</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يهوي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 وفي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يديه حيال وجهه وقال اللّهُ أكبر، وهو قائمٌ ثمّ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اختاره الشيخ</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بالمطلقات الدالّة على مشروعيّة التكبير، غير المحمولة على المقيّد، لعدم حمل المطلق على المقيّد في باب المستحبّات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مبحث الإقامة</w:t>
      </w:r>
      <w:r>
        <w:rPr>
          <w:rStyle w:val="FootnoteAnchor"/>
          <w:rtl w:val="true"/>
        </w:rPr>
        <w:footnoteReference w:id="823"/>
      </w:r>
      <w:r>
        <w:rPr>
          <w:rFonts w:ascii="Amiri" w:hAnsi="Amiri" w:eastAsia="Amiri" w:cs="Amiri"/>
          <w:color w:val="111111"/>
          <w:sz w:val="28"/>
          <w:sz w:val="28"/>
          <w:szCs w:val="28"/>
          <w:rtl w:val="true"/>
          <w:lang w:bidi="ar-SA"/>
        </w:rPr>
        <w:t>من أنّه إذا كان دليل المقيّد إلزاميّاً ولو إرشاديّاً، فلا محيص عن حمل المطلق عليه، وحيثُ أنّ الأمر بالقيام حال التكبير إرشادٌ إلى شرطيّته، فتُحمل على المقيّد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ورَفُع اليدين به، ووَضعُ يديه على رُكبَتيه مفرّجاتِ الأصابع، ورَدّهما إلى خلفه، وتَسويةُ ظهره ومَدّ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اليدين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بالتكبير، لصحيحي زرارة المتقدّمين، وقد تقدّم الكلام فيه في مبحث التكبيرة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يديه على رُكبتيه، مفرّجات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وضع اليدين على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عند ذكر شرائط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 تفريج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صحيح زرارة، عن الإمام الباقر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وفرّج أصابعك إذا وضعتها على ركبتيك</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المحمول على الاستحباب، بقرينة خبر علي بن جعفر، عن أخيه الإمام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تفريج الأصابع أسُنّةٌ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فَعَل ومَنْ شاء تَرَك</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الرّكبتين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تسوية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موازياً لظهره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لاستحباب هذه الاُمور الثلاثة ما في صحيح حمّاد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رُكبتيه إلى خَلفه حتّى استوى ظَهره، حتّى لو صُبّت عليه قطرة ماء أو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دهن لم تزل، لإستواء ظهره، ورَدّ ركبتيه إلى خلفه ونَصب عُنُقه</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بأطراف أصابعك عين الرّكبة، وفرّج أصابعك إذا وضعتها على ركبتيك، وأقم صلبك، ومَدّ عنقك</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والدُّعاء، وزيادة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بالمأثور، وهو ما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اركع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أسلمتُ‌، وبكَ آمنتُ‌، وعليكَ توكّلتُ‌، وأنتَ رَبّي، خَشَع لك قلبي وسَمْعي وَبَصَري وشَعْري وبَشَري ولَحْمِي ودَمي ومُخّي وعَصَبي وعِظامي، وما أقلّته قدماي، غير مستنكفٍ ولا مستحسرٍ، سبحان ربّي العظيم وبحمده، ثلاث مرّات في ترتيل</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يُسبّح بالتسبيحة الكبرى ثلاثاً، كما يشهد له صحيحا زرارة وحمّاد، أو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استحبابه بالخصوص،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بالتسبيحة الكبرى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خَمسُ مرّاتٍ‌، أو سبعاً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الفريضة من ذلك تسبيحة، والسُنّة ثلاث، والفضل في سبع أو أزيد</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الروايات الكثيرة، الدالّة على استحباب تطويل الرّكوع، وصحيح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وهو يُصلّي، فعدّدت له في الرّكوع والسّجود ستّين تسبيحة</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يقولَ بعد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إماماً كان أو مأموماً أو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833"/>
      </w:r>
      <w:r>
        <w:rPr>
          <w:rFonts w:ascii="Amiri" w:hAnsi="Amiri" w:eastAsia="Amiri" w:cs="Amiri"/>
          <w:color w:val="111111"/>
          <w:sz w:val="28"/>
          <w:sz w:val="28"/>
          <w:szCs w:val="28"/>
          <w:rtl w:val="true"/>
          <w:lang w:bidi="ar-SA"/>
        </w:rPr>
        <w:t>،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وأنتَ منتصبٌ قائم</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 بعد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ونحوهما صحيح حمّاد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دعوى اختصاصها بالإمام والمنفرد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اختصاص الأخيرين فواضح، وأمّا الأوّل فبقرينة ما في ذيله من الأمر باجهار الصوت، إذ ينبغي للمأموم خفض الصّوت، كما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لِمَنْ خَلف الإمام أن يُسمعه شيئاً ممّا يقول</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وصحيحة جميل الآتية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قال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وإنْ كان وحده إماماً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الحمدُ للّه ربّ العالمين</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بمفهومه يدلّ على عدم مشروعيّة هذه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الجملة للمأموم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قوّاه بعض المتأخّرين من اختصاصها بالإمام والمنفرد، هو القوي 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له 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استحباب هذه الصيغة صحيحة محمّد بن مسلم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استحباب هذه، ما في الصحيح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الرّجل خلف الإمام،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ويَخفِض من الصوت</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الجمع بين الصحيحتين، يقتضي القول باستحباب التحميد مخيّراً بين الصيغتين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الكليني بإسناده عن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جامعاً؟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فإنّه لا يبقى أحدٌ يُصلّي إلّادعا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يدلّ على استحباب السَمْعلة لكلّ أحدٍ، كي يتمسّك بإطلاقه لإثبات مشروعيّتها للمأموم،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كونه في مقام البيان من هذه الجهة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أنّه لو دلّ الدليل على استحبابها له أيضاً، فلا وجه لدعوى التخيير بينهما وبين التحميد، كما ذكره بعض المحقّقين</w:t>
      </w:r>
      <w:r>
        <w:rPr>
          <w:rStyle w:val="FootnoteAnchor"/>
          <w:rtl w:val="true"/>
        </w:rPr>
        <w:footnoteReference w:id="840"/>
      </w:r>
      <w:r>
        <w:rPr>
          <w:rFonts w:ascii="Amiri" w:hAnsi="Amiri" w:eastAsia="Amiri" w:cs="Amiri"/>
          <w:color w:val="111111"/>
          <w:sz w:val="28"/>
          <w:sz w:val="28"/>
          <w:szCs w:val="28"/>
          <w:rtl w:val="true"/>
          <w:lang w:bidi="ar-SA"/>
        </w:rPr>
        <w:t>بدعوى كونها من قبيل المستحبّات المتزاحمة حينئذٍ، إذ لا تنافي بينهما بل يحكم باستحبابهما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 بعد السَمْعَلة، وأقلّه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له صحيح ابن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 الله عليه و آله وآله عليهم السلام في الرّكوع، على ما عليه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يحيى‌،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ركوعه وسجوده وقيامه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كُتِب له بمثل الرّكوع والسّجود والقيام</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حمزة، عن أبيه مثله،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 وآله كُتب له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صحيح ابن سنان</w:t>
      </w:r>
      <w:r>
        <w:rPr>
          <w:rStyle w:val="FootnoteAnchor"/>
          <w:rtl w:val="true"/>
        </w:rPr>
        <w:footnoteReference w:id="843"/>
      </w:r>
      <w:r>
        <w:rPr>
          <w:rFonts w:ascii="Amiri" w:hAnsi="Amiri" w:eastAsia="Amiri" w:cs="Amiri"/>
          <w:color w:val="111111"/>
          <w:sz w:val="28"/>
          <w:sz w:val="28"/>
          <w:szCs w:val="28"/>
          <w:rtl w:val="true"/>
          <w:lang w:bidi="ar-SA"/>
        </w:rPr>
        <w:t>، وخبر أبي بصير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40" w:name="pg11800_97020"/>
    </w:p>
    <w:p>
      <w:pPr>
        <w:pStyle w:val="BookText"/>
        <w:rPr/>
      </w:pPr>
      <w:bookmarkEnd w:id="340"/>
      <w:r>
        <w:rPr>
          <w:rFonts w:ascii="Amiri" w:hAnsi="Amiri" w:eastAsia="Amiri" w:cs="Amiri"/>
          <w:color w:val="111111"/>
          <w:sz w:val="28"/>
          <w:sz w:val="28"/>
          <w:szCs w:val="28"/>
          <w:rtl w:val="true"/>
          <w:lang w:bidi="ar-SA"/>
        </w:rPr>
        <w:t>ويُكره أن يركع ويَداه تحت ثيابه</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0477983_73709187"/>
      <w:bookmarkStart w:id="342" w:name="_Toc127"/>
      <w:bookmarkEnd w:id="341"/>
      <w:r>
        <w:rPr>
          <w:rtl w:val="true"/>
        </w:rPr>
        <w:t>مكروهات الرّكوع</w:t>
      </w:r>
      <w:bookmarkEnd w:id="342"/>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يطأطأ رأسه بحيث لا يُساوي ظهره، لخبر عليّ بن عقبة،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أبو الحسن بالمدينة وأنا اُصلّي وأنكس برأسي، وأتمدّد في ركوعي، فأرسل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فيه، لخبر السّكوني،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 يقرؤون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والسّاجد، وفي الكنيف، وفي الحمّام، والجُنُب، والنُّفساء، والحائض</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يركع ويَداه تحتَ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تحتها ثوبٌ آخر، بلا خلافٍ‌، وعن غير واحدٍ</w:t>
      </w:r>
      <w:r>
        <w:rPr>
          <w:rStyle w:val="FootnoteAnchor"/>
          <w:rtl w:val="true"/>
        </w:rPr>
        <w:footnoteReference w:id="84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فيُدخِل يده في ثوبه‌؟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ثوبٌ آخر؛ إزار أو سراويل فلا بأس، وإنْ لم يكن فلا يجوز له ذلك</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وظاهره الحرمة، إلّاأنّه يُرفع اليد عن هذا الظهور، ويُحمل على الكراهة للإجماع، كما حُكي على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الحرمة، بصحيحة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ولا يخرج يديه من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يديه حسن، وإنْ لم يخرج فلا بأس</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أعمّ من رواية عمّار، فتقيّد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 على الجواز، بما رواه الشيخ بإسناده عن الحسن بن علي بن فضّال،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صَلّى وإزاره محلولة، ويداه داخلتان في القميص، إنّما يُصلّي عرياناً؟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 غير تامّ‌، لأنّه أيضاً أعمّ من خبر عمّار، مضافاً إلى أنّه يمكن أن 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عن قول النّاس بعدم الجواز،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مفاد خبر عمّار الكراهة في جميع حالات الصَّلاة، لا خصوص الرّكوع، ولذلك لا وجه لتخصيص الحكم به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43" w:name="pg11800_97022"/>
    </w:p>
    <w:p>
      <w:pPr>
        <w:pStyle w:val="Heading5"/>
        <w:numPr>
          <w:ilvl w:val="4"/>
          <w:numId w:val="1"/>
        </w:numPr>
        <w:rPr/>
      </w:pPr>
      <w:bookmarkStart w:id="344" w:name="__RefHeading___Toc10477985_73709187"/>
      <w:bookmarkStart w:id="345" w:name="_Toc128"/>
      <w:bookmarkEnd w:id="343"/>
      <w:bookmarkEnd w:id="344"/>
      <w:r>
        <w:rPr>
          <w:rtl w:val="true"/>
        </w:rPr>
        <w:t>السّادس</w:t>
      </w:r>
      <w:r>
        <w:rPr>
          <w:rtl w:val="true"/>
        </w:rPr>
        <w:t xml:space="preserve">: </w:t>
      </w:r>
      <w:r>
        <w:rPr>
          <w:rtl w:val="true"/>
        </w:rPr>
        <w:t>السّجود</w:t>
      </w:r>
      <w:bookmarkEnd w:id="345"/>
    </w:p>
    <w:p>
      <w:pPr>
        <w:pStyle w:val="Heading6"/>
        <w:numPr>
          <w:ilvl w:val="5"/>
          <w:numId w:val="1"/>
        </w:numPr>
        <w:rPr/>
      </w:pPr>
      <w:bookmarkStart w:id="346" w:name="__RefHeading___Toc10477987_73709187"/>
      <w:bookmarkStart w:id="347" w:name="_Toc129"/>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كلّ ركعةٍ سَجدتان، وهما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السّجود</w:t>
      </w:r>
      <w:r>
        <w:rPr>
          <w:rStyle w:val="FootnoteAnchor"/>
          <w:rtl w:val="true"/>
        </w:rPr>
        <w:footnoteReference w:id="8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كلّ ركعةٍ سجدتان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Style w:val="FootnoteAnchor"/>
          <w:rtl w:val="true"/>
        </w:rPr>
        <w:footnoteReference w:id="852"/>
      </w:r>
      <w:r>
        <w:rPr>
          <w:rFonts w:ascii="Amiri" w:hAnsi="Amiri" w:eastAsia="Amiri" w:cs="Amiri"/>
          <w:color w:val="111111"/>
          <w:sz w:val="28"/>
          <w:sz w:val="28"/>
          <w:szCs w:val="28"/>
          <w:rtl w:val="true"/>
          <w:lang w:bidi="ar-SA"/>
        </w:rPr>
        <w:t xml:space="preserve">، بل بضرورة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لا كلّ واحدةٍ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تبطل بالإخلال بهما في كلّ ركعةٍ عمداً وسهواً وبزيادتهما، ولا تبطل بالإخلال بإحداهما سهواً، كما سيأتي تفصيل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إشكالٌ معروف، وهو إنّ الرّكن ما يوجبُ زيادته ونقيصته البطلان، وفي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الرّكن مجموعُ السّجدتين، فاللّازم بطلان الصَّلاة بنقص واحدة منهما سهواً، لانتفاء المجموع بانتفاء البعض، مع أنّه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الرّكن صِرْف الوجود المتحقّق بواحدة منهما، فاللّازم بطلان الصَّلاة بزيادة سجدةٍ واحدة، وهذا ما لم يلتزم به أحدٌ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وللأصحاب في التفصّي عن هذا الإشكال أجوبة غير تامّة، وحيثُ لا يترتّب على تحقيق القول فيه ثمرة عمليّة، فالصّفح عن ذكرها أولى، ولكن الذي يَخطُر بالبال </w:t>
      </w:r>
    </w:p>
    <w:p>
      <w:pPr>
        <w:pStyle w:val="BookText"/>
        <w:rPr/>
      </w:pPr>
      <w:r>
        <w:rPr>
          <w:rFonts w:ascii="Amiri" w:hAnsi="Amiri" w:eastAsia="Amiri" w:cs="Amiri"/>
          <w:color w:val="111111"/>
          <w:sz w:val="28"/>
          <w:sz w:val="28"/>
          <w:szCs w:val="28"/>
          <w:rtl w:val="true"/>
          <w:lang w:bidi="ar-SA"/>
        </w:rPr>
        <w:t>في الجواب عنه هو أنّ الرّكن ما يوجب نقيصته البطلان، وأمّا مبطليّة زيادته، فهي ليست مأخوذه في مفهوم الرّكن، وقد تقدّم الكلام في ذلك في مبحث التكبيرة</w:t>
      </w:r>
      <w:r>
        <w:rPr>
          <w:rStyle w:val="FootnoteAnchor"/>
          <w:rtl w:val="true"/>
        </w:rPr>
        <w:footnoteReference w:id="853"/>
      </w:r>
      <w:r>
        <w:rPr>
          <w:rFonts w:ascii="Amiri" w:hAnsi="Amiri" w:eastAsia="Amiri" w:cs="Amiri"/>
          <w:color w:val="111111"/>
          <w:sz w:val="28"/>
          <w:sz w:val="28"/>
          <w:szCs w:val="28"/>
          <w:rtl w:val="true"/>
          <w:lang w:bidi="ar-SA"/>
        </w:rPr>
        <w:t>، نعم هي ملازمة له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الركنيّة هو ماهيّة السّجدة الّتي عَبّر عنها بالسجود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وكونها في ضمن الثنتين واجبٌ آخر لا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المصنّف رحمه الله تبعاً للأساطين</w:t>
      </w:r>
      <w:r>
        <w:rPr>
          <w:rStyle w:val="FootnoteAnchor"/>
          <w:rtl w:val="true"/>
        </w:rPr>
        <w:footnoteReference w:id="854"/>
      </w:r>
      <w:r>
        <w:rPr>
          <w:rFonts w:ascii="Amiri" w:hAnsi="Amiri" w:eastAsia="Amiri" w:cs="Amiri"/>
          <w:color w:val="111111"/>
          <w:sz w:val="28"/>
          <w:sz w:val="28"/>
          <w:szCs w:val="28"/>
          <w:rtl w:val="true"/>
          <w:lang w:bidi="ar-SA"/>
        </w:rPr>
        <w:t>أنّهما معاً ركنٌ‌، فالمراد منه أنّهما ليستا ركنين، بل الرّكن واحدة، فإثباته لهما إنّما يكون في مقابل سلبه عن كلّ واحدةٍ منهما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48" w:name="pg11800_97024"/>
    </w:p>
    <w:p>
      <w:pPr>
        <w:pStyle w:val="Heading6"/>
        <w:numPr>
          <w:ilvl w:val="5"/>
          <w:numId w:val="1"/>
        </w:numPr>
        <w:rPr/>
      </w:pPr>
      <w:bookmarkStart w:id="349" w:name="__RefHeading___Toc10477989_73709187"/>
      <w:bookmarkStart w:id="350" w:name="_Toc130"/>
      <w:bookmarkEnd w:id="348"/>
      <w:bookmarkEnd w:id="349"/>
      <w:r>
        <w:rPr>
          <w:rtl w:val="true"/>
        </w:rPr>
        <w:t>واجبات السّجود</w:t>
      </w:r>
      <w:bookmarkEnd w:id="350"/>
    </w:p>
    <w:p>
      <w:pPr>
        <w:pStyle w:val="Heading6"/>
        <w:numPr>
          <w:ilvl w:val="5"/>
          <w:numId w:val="1"/>
        </w:numPr>
        <w:rPr/>
      </w:pPr>
      <w:bookmarkStart w:id="351" w:name="__RefHeading___Toc10477991_73709187"/>
      <w:bookmarkStart w:id="352" w:name="_Toc131"/>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ويجب في كلّ سجدة 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اليدين، والرّكبتين، وإبهامي الرجلين</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10477993_73709187"/>
      <w:bookmarkStart w:id="354" w:name="_Toc132"/>
      <w:bookmarkEnd w:id="353"/>
      <w:r>
        <w:rPr>
          <w:rtl w:val="true"/>
        </w:rPr>
        <w:t>يجبُ السّجود على سبعة أعضاء</w:t>
      </w:r>
      <w:bookmarkEnd w:id="354"/>
    </w:p>
    <w:p>
      <w:pPr>
        <w:pStyle w:val="Heading6"/>
        <w:numPr>
          <w:ilvl w:val="5"/>
          <w:numId w:val="1"/>
        </w:numPr>
        <w:rPr/>
      </w:pPr>
      <w:bookmarkStart w:id="355" w:name="__RefHeading___Toc10477995_73709187"/>
      <w:bookmarkStart w:id="356" w:name="_Toc133"/>
      <w:bookmarkEnd w:id="355"/>
      <w:r>
        <w:rPr>
          <w:rtl w:val="true"/>
        </w:rPr>
        <w:t>اشارة</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كلّ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اليدين، والرُّكبتين وإبهامي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 من الأساطين</w:t>
      </w:r>
      <w:r>
        <w:rPr>
          <w:rStyle w:val="FootnoteAnchor"/>
          <w:rtl w:val="true"/>
        </w:rPr>
        <w:footnoteReference w:id="85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اللّه بن ميمون القدّاح، عن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ورجليه، وركبتيه، وجبهته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واليدين، والرُّكبتين، وإبهامي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858"/>
      </w:r>
      <w:r>
        <w:rPr>
          <w:rFonts w:ascii="Amiri" w:hAnsi="Amiri" w:eastAsia="Amiri" w:cs="Amiri"/>
          <w:color w:val="111111"/>
          <w:sz w:val="28"/>
          <w:sz w:val="28"/>
          <w:szCs w:val="28"/>
          <w:rtl w:val="true"/>
          <w:lang w:bidi="ar-SA"/>
        </w:rPr>
        <w:t>بإسناده عن زرارة نحوه،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حمّاد، الوارد في كيفيّة صلاة الإمام الصادق عليه السلام التعليميّة</w:t>
      </w:r>
      <w:r>
        <w:rPr>
          <w:rFonts w:eastAsia="Amiri" w:cs="Amiri" w:ascii="Amiri" w:hAnsi="Amiri"/>
          <w:color w:val="111111"/>
          <w:sz w:val="28"/>
          <w:szCs w:val="28"/>
          <w:rtl w:val="true"/>
          <w:lang w:bidi="ar-SA"/>
        </w:rPr>
        <w:t xml:space="preserve">: </w:t>
      </w:r>
      <w:bookmarkStart w:id="357" w:name="pg11800_97025"/>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الكفّين، والرُّكبتين، وأنامل إبهامي الرِّجلين، والجَبهة والأنف</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860"/>
      </w:r>
      <w:r>
        <w:rPr>
          <w:rFonts w:ascii="Amiri" w:hAnsi="Amiri" w:eastAsia="Amiri" w:cs="Amiri"/>
          <w:color w:val="111111"/>
          <w:sz w:val="28"/>
          <w:sz w:val="28"/>
          <w:szCs w:val="28"/>
          <w:rtl w:val="true"/>
          <w:lang w:bidi="ar-SA"/>
        </w:rPr>
        <w:t>، والحِلّي</w:t>
      </w:r>
      <w:r>
        <w:rPr>
          <w:rStyle w:val="FootnoteAnchor"/>
          <w:rtl w:val="true"/>
        </w:rPr>
        <w:footnoteReference w:id="861"/>
      </w:r>
      <w:r>
        <w:rPr>
          <w:rFonts w:ascii="Amiri" w:hAnsi="Amiri" w:eastAsia="Amiri" w:cs="Amiri"/>
          <w:color w:val="111111"/>
          <w:sz w:val="28"/>
          <w:sz w:val="28"/>
          <w:szCs w:val="28"/>
          <w:rtl w:val="true"/>
          <w:lang w:bidi="ar-SA"/>
        </w:rPr>
        <w:t>، والإسكافي</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السّجود على مفصل الزّندين من الكفّين، ولم يُعرَف مستنده، كما صرّح بذلك جملةٌ من الأساطين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من القدماء</w:t>
      </w:r>
      <w:r>
        <w:rPr>
          <w:rStyle w:val="FootnoteAnchor"/>
          <w:rtl w:val="true"/>
        </w:rPr>
        <w:footnoteReference w:id="864"/>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لهم بالنصوص المعبّرة بالرجلين أو بأطراف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مطلقة، تقيّد بالنصوص الدالّة على أنّ المعتبر وضع الإبهامين</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10477997_73709187"/>
      <w:bookmarkStart w:id="359" w:name="_Toc134"/>
      <w:bookmarkEnd w:id="358"/>
      <w:r>
        <w:rPr>
          <w:rtl w:val="true"/>
        </w:rPr>
        <w:t>حَدّ الجَبهة وما يجب وضعه منها</w:t>
      </w:r>
      <w:bookmarkEnd w:id="359"/>
    </w:p>
    <w:p>
      <w:pPr>
        <w:pStyle w:val="BookText"/>
        <w:rPr/>
      </w:pPr>
      <w:r>
        <w:rPr>
          <w:rFonts w:ascii="Amiri" w:hAnsi="Amiri" w:eastAsia="Amiri" w:cs="Amiri"/>
          <w:color w:val="111111"/>
          <w:sz w:val="28"/>
          <w:sz w:val="28"/>
          <w:szCs w:val="28"/>
          <w:rtl w:val="true"/>
          <w:lang w:bidi="ar-SA"/>
        </w:rPr>
        <w:t>ثمّ إنّ الجبهة عبارةٌ عمّا بين قصاص الشعر إلى طرف الأنف الأعلى والحاجبين طولاً، وما بين الجَبينين عرضاً، كما صرّح به غير واحدٍ من الفقهاء</w:t>
      </w:r>
      <w:r>
        <w:rPr>
          <w:rStyle w:val="FootnoteAnchor"/>
          <w:rtl w:val="true"/>
        </w:rPr>
        <w:footnoteReference w:id="865"/>
      </w:r>
      <w:r>
        <w:rPr>
          <w:rFonts w:ascii="Amiri" w:hAnsi="Amiri" w:eastAsia="Amiri" w:cs="Amiri"/>
          <w:color w:val="111111"/>
          <w:sz w:val="28"/>
          <w:sz w:val="28"/>
          <w:szCs w:val="28"/>
          <w:rtl w:val="true"/>
          <w:lang w:bidi="ar-SA"/>
        </w:rPr>
        <w:t>واللّغويّين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السَّطح الُمحاط من الجانبين بالجبين، ومن الأعلى بقصاص الشعر، من المنبت المُعتاد، ومن الأسفل بطرف الأنف الأعلى </w:t>
      </w:r>
    </w:p>
    <w:p>
      <w:pPr>
        <w:pStyle w:val="BookText"/>
        <w:rPr/>
      </w:pPr>
      <w:r>
        <w:rPr>
          <w:rFonts w:ascii="Amiri" w:hAnsi="Amiri" w:eastAsia="Amiri" w:cs="Amiri"/>
          <w:color w:val="111111"/>
          <w:sz w:val="28"/>
          <w:sz w:val="28"/>
          <w:szCs w:val="28"/>
          <w:rtl w:val="true"/>
          <w:lang w:bidi="ar-SA"/>
        </w:rPr>
        <w:t>والحاجبين، ولا استقامة للخطوط فيما عدا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ناحية الجبهة، من محاذاة النزعة إلى الصُّدغ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الجَبين فوق الصُّدغ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يظهر من بعض النصوص، كصحيح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كلّها ما بين قِصاص شعر الرأس إلى الحاجبين موضع السّجود، فأيّما سَقَط من ذلك إلى الأرض، أجزأك مقدار الدّرهم، أو مقدار طرف الأنملة</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ونحوه غيره، أوسعيّة الجبهة من ذلك، إذ الظاهر منها أنّ الجبهة هي السطح المحاط من الأعلى بقصاص الشعر، ومن الأسفل بطرف الأنف الأعلى، ومن الجانبين بما بين منتهى الحاجبين مصعداً إلى قصاص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يمكن الالتزام بذلك،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مساعدة العرف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جواز السّجود على طرفي الحاجب المائلين إلى الصُّدغ، ولا أظنّ أن يلتزم أحدٌ بذلك، مع أنّ هذه النصوص ليست في مقام بيان حَدّ الجبهة، بل تكون في مقام بيان عدم لزوم الإستيعاب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بعضهم</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إلى الذهن من العبارات المذكوره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معروفيّة الجَبهة لدى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إلّاإرادة السطح بينهما، لا طرفيه المائلين إلى الصُّدغ، الواقعين بين منتهى الحاجبين والقصاص، فإنّهما خارجان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 الجَبهة، فعلى هذا تنطبق على التفسير القاموس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يكفي فيها صدق السّجود على مسمّاها، ولا يعتبر الاستيعاب، وهو المشهور، للروايات المتقدّمة وغيرها، الصريحة في ذلك، ولا تنافيها صحيحة علي بن جعفر، عن أخيه الإمام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تطول قصّتها، فإذا سَجَدت وقع بعضُ جبهتها على الأرض، وبعضٌ يغطّيه الشَّعر،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تضع جبهتها على الأرض</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لأنّه مضافاً إلى احتمال أنْ يكون مفادها أنّ المرأة التي هذه صفتها، لا تطمئنّ بوضع جبهتها على الأرض، إلّاأنْ ترفع الحاجب، غاية الأمر أنّها تكون ظاهرة في لزوم الاستيعاب، فترفع اليد عن هذا الظهور، ويُحمل على عدم لزوم الاستيعاب، وكفاية المسمّى‌، وهذا مضافاً إلى أنّه جمعٌ عرفي، يشهد له الخبر الذي رواه بُريد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الى الأنف، أيُّ ذلك أصبتَ به الأرض في السجود أجزأكَ‌، والسّجود عليه كلّه أفضل</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فما عن الحِلّي</w:t>
      </w:r>
      <w:r>
        <w:rPr>
          <w:rStyle w:val="FootnoteAnchor"/>
          <w:rtl w:val="true"/>
        </w:rPr>
        <w:footnoteReference w:id="874"/>
      </w:r>
      <w:r>
        <w:rPr>
          <w:rFonts w:ascii="Amiri" w:hAnsi="Amiri" w:eastAsia="Amiri" w:cs="Amiri"/>
          <w:color w:val="111111"/>
          <w:sz w:val="28"/>
          <w:sz w:val="28"/>
          <w:szCs w:val="28"/>
          <w:rtl w:val="true"/>
          <w:lang w:bidi="ar-SA"/>
        </w:rPr>
        <w:t>من وجوب الاستيعاب ضعيفٌ‌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إنّه لا وجه لاعتبار أنْ لا ينقص في الجَبهة عن الدرهم، بعد تصريحه عليه السلام، في صحيح زرارة المتقدّم، بكفاية أقلّ من ذلك، كما لا يعارضه 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من اعتباره، لقصوره عن المكافأة سنداً، مع أنّه لو تمّ‌</w:t>
      </w:r>
      <w:r>
        <w:rPr>
          <w:rFonts w:eastAsia="Amiri" w:cs="Amiri" w:ascii="Amiri" w:hAnsi="Amiri"/>
          <w:color w:val="111111"/>
          <w:sz w:val="28"/>
          <w:szCs w:val="28"/>
          <w:rtl w:val="true"/>
          <w:lang w:bidi="ar-SA"/>
        </w:rPr>
        <w:t xml:space="preserve">). </w:t>
      </w:r>
      <w:bookmarkStart w:id="360" w:name="pg11800_97028"/>
    </w:p>
    <w:p>
      <w:pPr>
        <w:pStyle w:val="BookText"/>
        <w:rPr/>
      </w:pPr>
      <w:bookmarkEnd w:id="360"/>
      <w:r>
        <w:rPr>
          <w:rFonts w:ascii="Amiri" w:hAnsi="Amiri" w:eastAsia="Amiri" w:cs="Amiri"/>
          <w:color w:val="111111"/>
          <w:sz w:val="28"/>
          <w:sz w:val="28"/>
          <w:szCs w:val="28"/>
          <w:rtl w:val="true"/>
          <w:lang w:bidi="ar-SA"/>
        </w:rPr>
        <w:t>سنده، تعيّن حمله على الاستحباب، بقرينة 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نسب إلى كثيرٍ من الأصحاب</w:t>
      </w:r>
      <w:r>
        <w:rPr>
          <w:rStyle w:val="FootnoteAnchor"/>
          <w:rtl w:val="true"/>
        </w:rPr>
        <w:footnoteReference w:id="876"/>
      </w:r>
      <w:r>
        <w:rPr>
          <w:rFonts w:ascii="Amiri" w:hAnsi="Amiri" w:eastAsia="Amiri" w:cs="Amiri"/>
          <w:color w:val="111111"/>
          <w:sz w:val="28"/>
          <w:sz w:val="28"/>
          <w:szCs w:val="28"/>
          <w:rtl w:val="true"/>
          <w:lang w:bidi="ar-SA"/>
        </w:rPr>
        <w:t>من اعتبار أنْ لا يكون أقلّ منه ضعيفٌ‌</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0477999_73709187"/>
      <w:bookmarkStart w:id="362" w:name="_Toc135"/>
      <w:bookmarkEnd w:id="361"/>
      <w:r>
        <w:rPr>
          <w:rtl w:val="true"/>
        </w:rPr>
        <w:t>حدود سائر ما يجبُ وضعه</w:t>
      </w:r>
      <w:bookmarkEnd w:id="362"/>
    </w:p>
    <w:p>
      <w:pPr>
        <w:pStyle w:val="BookText"/>
        <w:rPr/>
      </w:pPr>
      <w:r>
        <w:rPr>
          <w:rFonts w:ascii="Amiri" w:hAnsi="Amiri" w:eastAsia="Amiri" w:cs="Amiri"/>
          <w:color w:val="111111"/>
          <w:sz w:val="28"/>
          <w:sz w:val="28"/>
          <w:szCs w:val="28"/>
          <w:rtl w:val="true"/>
          <w:lang w:bidi="ar-SA"/>
        </w:rPr>
        <w:t>وأمّا اليدان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منهما باطنهما من الزّندين إلى رؤوس الأصابع كما هو المشهور</w:t>
      </w:r>
      <w:r>
        <w:rPr>
          <w:rStyle w:val="FootnoteAnchor"/>
          <w:rtl w:val="true"/>
        </w:rPr>
        <w:footnoteReference w:id="877"/>
      </w:r>
      <w:r>
        <w:rPr>
          <w:rFonts w:ascii="Amiri" w:hAnsi="Amiri" w:eastAsia="Amiri" w:cs="Amiri"/>
          <w:color w:val="111111"/>
          <w:sz w:val="28"/>
          <w:sz w:val="28"/>
          <w:szCs w:val="28"/>
          <w:rtl w:val="true"/>
          <w:lang w:bidi="ar-SA"/>
        </w:rPr>
        <w:t>، لأنّه المتبادر من الأمر بالسجود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بعض النّصوص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حمل النصوص بأجمعها على إرادة الراحة، لشيوع استعمال الكفّ فيما دون الزّندين إلى رؤوس الأصابع، حتّى قيل إنّه المتبادر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فلا أقلّ من كونه مُجملاً، فيؤخذ بما يكون مبيّناً، وهو اليد، ويُحمل المجمل عليه،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 الخبر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الوارد في قطع يد السارق، بعد ماحكم عليه السلام فيه بلزوم القطع من اُصول الأصابع، علّله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للّه، وما كان للّه لا يُقطع</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 الراحة من المساجد، ولا تكون الأصابع داخلة فيها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يعتمد عليه لقصور السند، ولإحتمال أنْ يكون المراد أنّ ما كان للّه لا يُقطع من أصله، بحيث لا يبقى منه شيءٌ‌، فلا ينافي دخول الأصابع في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الظاهر لزوم الاستيعاب العرفي، لأنّه المتبادر من الأمر بوضع اليدين على الأرض، ويشير إليه خبر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سجدت فابسط كفّيك على الأرض</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نُسب إلى المشهور</w:t>
      </w:r>
      <w:r>
        <w:rPr>
          <w:rStyle w:val="FootnoteAnchor"/>
          <w:rtl w:val="true"/>
        </w:rPr>
        <w:footnoteReference w:id="880"/>
      </w:r>
      <w:r>
        <w:rPr>
          <w:rFonts w:ascii="Amiri" w:hAnsi="Amiri" w:eastAsia="Amiri" w:cs="Amiri"/>
          <w:color w:val="111111"/>
          <w:sz w:val="28"/>
          <w:sz w:val="28"/>
          <w:szCs w:val="28"/>
          <w:rtl w:val="true"/>
          <w:lang w:bidi="ar-SA"/>
        </w:rPr>
        <w:t>من الاكتفاء بالمُسمّى، بل عن غير واحدٍ</w:t>
      </w:r>
      <w:r>
        <w:rPr>
          <w:rStyle w:val="FootnoteAnchor"/>
          <w:rtl w:val="true"/>
        </w:rPr>
        <w:footnoteReference w:id="881"/>
      </w:r>
      <w:r>
        <w:rPr>
          <w:rFonts w:ascii="Amiri" w:hAnsi="Amiri" w:eastAsia="Amiri" w:cs="Amiri"/>
          <w:color w:val="111111"/>
          <w:sz w:val="28"/>
          <w:sz w:val="28"/>
          <w:szCs w:val="28"/>
          <w:rtl w:val="true"/>
          <w:lang w:bidi="ar-SA"/>
        </w:rPr>
        <w:t>نفي الخلاف فيه، لا ينافي ذلك، إذ الظاهر أنّ مرادهم أنّ خروج جزءٍ قليل لا يكون منافياً للاستيعاب المعتبر، فمقتضى إطلاق الأدلّة لزوم الاستيعاب، والإجتزاء بالبعض محتاجٌ إلى دليلٍ مفقود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82"/>
      </w:r>
      <w:r>
        <w:rPr>
          <w:rFonts w:ascii="Amiri" w:hAnsi="Amiri" w:eastAsia="Amiri" w:cs="Amiri"/>
          <w:color w:val="111111"/>
          <w:sz w:val="28"/>
          <w:sz w:val="28"/>
          <w:szCs w:val="28"/>
          <w:rtl w:val="true"/>
          <w:lang w:bidi="ar-SA"/>
        </w:rPr>
        <w:t>من أنّ الحمل على بعض الجبهة، يحتاجُ إلى دليلٍ‌، لورود النّص في خصوص الجَبهة، والتعدّي بالإجتزاء بالبعض يحتاج إلى دليل، هو الصحيح</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الإبهامان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المحقّق</w:t>
      </w:r>
      <w:r>
        <w:rPr>
          <w:rStyle w:val="FootnoteAnchor"/>
          <w:rtl w:val="true"/>
        </w:rPr>
        <w:footnoteReference w:id="883"/>
      </w:r>
      <w:r>
        <w:rPr>
          <w:rFonts w:ascii="Amiri" w:hAnsi="Amiri" w:eastAsia="Amiri" w:cs="Amiri"/>
          <w:color w:val="111111"/>
          <w:sz w:val="28"/>
          <w:sz w:val="28"/>
          <w:szCs w:val="28"/>
          <w:rtl w:val="true"/>
          <w:lang w:bidi="ar-SA"/>
        </w:rPr>
        <w:t>والشهيد</w:t>
      </w:r>
      <w:r>
        <w:rPr>
          <w:rStyle w:val="FootnoteAnchor"/>
          <w:rtl w:val="true"/>
        </w:rPr>
        <w:footnoteReference w:id="884"/>
      </w:r>
      <w:r>
        <w:rPr>
          <w:rFonts w:ascii="Amiri" w:hAnsi="Amiri" w:eastAsia="Amiri" w:cs="Amiri"/>
          <w:color w:val="111111"/>
          <w:sz w:val="28"/>
          <w:sz w:val="28"/>
          <w:szCs w:val="28"/>
          <w:rtl w:val="true"/>
          <w:lang w:bidi="ar-SA"/>
        </w:rPr>
        <w:t xml:space="preserve">الثانيين،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وغيرهم</w:t>
      </w:r>
      <w:r>
        <w:rPr>
          <w:rStyle w:val="FootnoteAnchor"/>
          <w:rtl w:val="true"/>
        </w:rPr>
        <w:footnoteReference w:id="886"/>
      </w:r>
      <w:r>
        <w:rPr>
          <w:rFonts w:ascii="Amiri" w:hAnsi="Amiri" w:eastAsia="Amiri" w:cs="Amiri"/>
          <w:color w:val="111111"/>
          <w:sz w:val="28"/>
          <w:sz w:val="28"/>
          <w:szCs w:val="28"/>
          <w:rtl w:val="true"/>
          <w:lang w:bidi="ar-SA"/>
        </w:rPr>
        <w:t>الإجتزاء بوضع شيءٍ منهما، ولو كان باطنهما أو ظاهرهما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887"/>
      </w:r>
      <w:r>
        <w:rPr>
          <w:rFonts w:ascii="Amiri" w:hAnsi="Amiri" w:eastAsia="Amiri" w:cs="Amiri"/>
          <w:color w:val="111111"/>
          <w:sz w:val="28"/>
          <w:sz w:val="28"/>
          <w:szCs w:val="28"/>
          <w:rtl w:val="true"/>
          <w:lang w:bidi="ar-SA"/>
        </w:rPr>
        <w:t>، والشيخ</w:t>
      </w:r>
      <w:r>
        <w:rPr>
          <w:rStyle w:val="FootnoteAnchor"/>
          <w:rtl w:val="true"/>
        </w:rPr>
        <w:footnoteReference w:id="888"/>
      </w:r>
      <w:r>
        <w:rPr>
          <w:rFonts w:ascii="Amiri" w:hAnsi="Amiri" w:eastAsia="Amiri" w:cs="Amiri"/>
          <w:color w:val="111111"/>
          <w:sz w:val="28"/>
          <w:sz w:val="28"/>
          <w:szCs w:val="28"/>
          <w:rtl w:val="true"/>
          <w:lang w:bidi="ar-SA"/>
        </w:rPr>
        <w:t>، والكليني، وغيرهم</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وضع الطرف من كلّ منهما دون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صحيح حمّاد، من أنّه عليه السلام سَجد على أنامل إبهامي الرجلين، بدعوى أنّ الأنمله طرف الأصبع</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قيل من إنّ الأنمله هي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لا يدلّ على تعيين الأنامل، كي يقيّد به إطلاق ما دلّ على لزوم السّجود على الإبهامين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الأمر بالسجود على الإبهامين إلى الأنامل،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الإجتزاء بكلٍّ من ظاهر الإبهام وباطنه وطرفه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الركبتان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الاستيعاب فيهما، بلا خلافٍ ولا إشكال، لعدم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صدق السّجود بوضع الجبهة على الأرض، إلّامع الاعتماد عليها، فلا يكفي مجرّد المماسّة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دعوى لزوم الاعتماد على الأعضاء السبعة غير بعيدة، إذ لا يتحقّق السّجود على شيءٍ إلّامع الاعتماد عليه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63" w:name="pg11800_97031"/>
    </w:p>
    <w:p>
      <w:pPr>
        <w:pStyle w:val="BookText"/>
        <w:rPr/>
      </w:pPr>
      <w:bookmarkEnd w:id="363"/>
      <w:r>
        <w:rPr>
          <w:rFonts w:ascii="Amiri" w:hAnsi="Amiri" w:eastAsia="Amiri" w:cs="Amiri"/>
          <w:color w:val="111111"/>
          <w:sz w:val="28"/>
          <w:sz w:val="28"/>
          <w:szCs w:val="28"/>
          <w:rtl w:val="true"/>
          <w:lang w:bidi="ar-SA"/>
        </w:rPr>
        <w:t>عدم علوّ موضع السّجود على القيام بأزيد من لبنة</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0478001_73709187"/>
      <w:bookmarkStart w:id="365" w:name="_Toc136"/>
      <w:bookmarkEnd w:id="364"/>
      <w:r>
        <w:rPr>
          <w:rtl w:val="true"/>
        </w:rPr>
        <w:t>مساواة موضع الجبهة للموقف</w:t>
      </w:r>
      <w:bookmarkEnd w:id="365"/>
    </w:p>
    <w:p>
      <w:pPr>
        <w:pStyle w:val="Heading6"/>
        <w:numPr>
          <w:ilvl w:val="5"/>
          <w:numId w:val="1"/>
        </w:numPr>
        <w:rPr/>
      </w:pPr>
      <w:bookmarkStart w:id="366" w:name="__RefHeading___Toc10478003_73709187"/>
      <w:bookmarkStart w:id="367" w:name="_Toc137"/>
      <w:bookmarkEnd w:id="366"/>
      <w:r>
        <w:rPr>
          <w:rtl w:val="true"/>
        </w:rPr>
        <w:t>اشارة</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عُلوّ موضع السّجود على القيام بأزيد من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8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وغيرهما</w:t>
      </w:r>
      <w:r>
        <w:rPr>
          <w:rStyle w:val="FootnoteAnchor"/>
          <w:rtl w:val="true"/>
        </w:rPr>
        <w:footnoteReference w:id="894"/>
      </w:r>
      <w:r>
        <w:rPr>
          <w:rFonts w:ascii="Amiri" w:hAnsi="Amiri" w:eastAsia="Amiri" w:cs="Amiri"/>
          <w:color w:val="111111"/>
          <w:sz w:val="28"/>
          <w:sz w:val="28"/>
          <w:szCs w:val="28"/>
          <w:rtl w:val="true"/>
          <w:lang w:bidi="ar-SA"/>
        </w:rPr>
        <w:t xml:space="preserve">دعوى الإجماع عليه، وإنْ قدّره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المعتدّ به لا باللّبنة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السّجود على الأرض المرتفعة‌؟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 جبهتك مرتفعاً عن موضع بدنك قَدَر لبنةٍ فلا بأس</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السند، لأنّ في طريقه الهندي، وهو مشتركٌ بين جماعةٍ لم يثبت توثيق جميعهم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كونه الهيثم بن مسروق، لرواية محمّد بن علي بن محبوب عنه، </w:t>
      </w:r>
    </w:p>
    <w:p>
      <w:pPr>
        <w:pStyle w:val="BookText"/>
        <w:rPr/>
      </w:pPr>
      <w:r>
        <w:rPr>
          <w:rFonts w:ascii="Amiri" w:hAnsi="Amiri" w:eastAsia="Amiri" w:cs="Amiri"/>
          <w:color w:val="111111"/>
          <w:sz w:val="28"/>
          <w:sz w:val="28"/>
          <w:szCs w:val="28"/>
          <w:rtl w:val="true"/>
          <w:lang w:bidi="ar-SA"/>
        </w:rPr>
        <w:t>وهو ممدوحٌ في الرِّجال، وله كتاب يروي عنه جماعة من الأجلّاء، هذا مضافاً إلى أنّ اعتماد الأصحاب عليه يوجب جبر ضعفه لو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الخبر روي بنحوٍ 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باليائين المثناتين من تحت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استدلال الأعاظم</w:t>
      </w:r>
      <w:r>
        <w:rPr>
          <w:rStyle w:val="FootnoteAnchor"/>
          <w:rtl w:val="true"/>
        </w:rPr>
        <w:footnoteReference w:id="896"/>
      </w:r>
      <w:r>
        <w:rPr>
          <w:rFonts w:ascii="Amiri" w:hAnsi="Amiri" w:eastAsia="Amiri" w:cs="Amiri"/>
          <w:color w:val="111111"/>
          <w:sz w:val="28"/>
          <w:sz w:val="28"/>
          <w:szCs w:val="28"/>
          <w:rtl w:val="true"/>
          <w:lang w:bidi="ar-SA"/>
        </w:rPr>
        <w:t xml:space="preserve">به كاشفٌ عن كون النسخة الأصليّة بالباء والنون، ويؤيّده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 في السّجود على الأرض المرتفعة،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موضع جبهتك مرتفعاً عن رجليك قَدَر لبنة فلابأس</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المظنون كونه المستند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مفهومه ثبوت البأس بالزائد على اللّبنة، وهو أعمٌّ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لوقوعه في جواب السؤال عن جواز السّجود على الأرض المرتفعة، لا ينبغي التأمّل في ظهوره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98"/>
      </w:r>
      <w:r>
        <w:rPr>
          <w:rFonts w:ascii="Amiri" w:hAnsi="Amiri" w:eastAsia="Amiri" w:cs="Amiri"/>
          <w:color w:val="111111"/>
          <w:sz w:val="28"/>
          <w:sz w:val="28"/>
          <w:szCs w:val="28"/>
          <w:rtl w:val="true"/>
          <w:lang w:bidi="ar-SA"/>
        </w:rPr>
        <w:t>على المنع من السّجود على مطلق المرتفع، بصحيح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سأل أبا عبد اللّه عليه السلام عن موضع جبهة الساجد، أيكون أرفع من مقامه‌؟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ليكن مستوياً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بقرينة حسنه المتقدّم، يُحمل على إرادة المساواة العرفيّة، الّتي لا يقدح فيها ارتفاع يسير، وقوله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يُحمل على المنع عن الارتفاع الذي يَعتدّ به في العرف، فالجمع بينهما يقتضي البناء على المنع، إذا كان الارتفاع أزيد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اللّبنة، والجواز إذا كان بقدرها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خبري الحسين بن حمّاد، وصحيح معاوية، لو سُلّم ظهورهما في المنع عن السّجود على مطلق المرتفع، يتعيّن حملها على الزائد على اللّبنة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كالشهيدين</w:t>
      </w:r>
      <w:r>
        <w:rPr>
          <w:rStyle w:val="FootnoteAnchor"/>
          <w:rtl w:val="true"/>
        </w:rPr>
        <w:footnoteReference w:id="900"/>
      </w:r>
      <w:r>
        <w:rPr>
          <w:rFonts w:ascii="Amiri" w:hAnsi="Amiri" w:eastAsia="Amiri" w:cs="Amiri"/>
          <w:color w:val="111111"/>
          <w:sz w:val="28"/>
          <w:sz w:val="28"/>
          <w:szCs w:val="28"/>
          <w:rtl w:val="true"/>
          <w:lang w:bidi="ar-SA"/>
        </w:rPr>
        <w:t>والمحقّق الثاني</w:t>
      </w:r>
      <w:r>
        <w:rPr>
          <w:rStyle w:val="FootnoteAnchor"/>
          <w:rtl w:val="true"/>
        </w:rPr>
        <w:footnoteReference w:id="901"/>
      </w:r>
      <w:r>
        <w:rPr>
          <w:rFonts w:ascii="Amiri" w:hAnsi="Amiri" w:eastAsia="Amiri" w:cs="Amiri"/>
          <w:color w:val="111111"/>
          <w:sz w:val="28"/>
          <w:sz w:val="28"/>
          <w:szCs w:val="28"/>
          <w:rtl w:val="true"/>
          <w:lang w:bidi="ar-SA"/>
        </w:rPr>
        <w:t>وغيرهم</w:t>
      </w:r>
      <w:r>
        <w:rPr>
          <w:rStyle w:val="FootnoteAnchor"/>
          <w:rtl w:val="true"/>
        </w:rPr>
        <w:footnoteReference w:id="902"/>
      </w:r>
      <w:r>
        <w:rPr>
          <w:rFonts w:ascii="Amiri" w:hAnsi="Amiri" w:eastAsia="Amiri" w:cs="Amiri"/>
          <w:color w:val="111111"/>
          <w:sz w:val="28"/>
          <w:sz w:val="28"/>
          <w:szCs w:val="28"/>
          <w:rtl w:val="true"/>
          <w:lang w:bidi="ar-SA"/>
        </w:rPr>
        <w:t>باعتبار عدم كون موضع الجبهة أخفض من الموقف بأكثر من 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أيحلّ له أن يقوم على فراشه، ويسجد على الأرض‌؟</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الفراش غليظاً قدَر آجرة أو أقلّ‌، استقام له أن يقوم عليه، ويسجد على الأرض، وإنْ كان أكثر من ذلك فلا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ابن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ليكن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 الصحيح إرادة ما يقابل الارتفاع، لا الاستواء حقيقةً‌، فالعمدة فيه الموثّق، والخدشة فيه بعدم ظهور نفي الإستقامة في المنع، في غير محلّها، إذ الظاهر منه بقرينة السؤال هو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لعدم عمل القدماء</w:t>
      </w:r>
      <w:r>
        <w:rPr>
          <w:rStyle w:val="FootnoteAnchor"/>
          <w:rtl w:val="true"/>
        </w:rPr>
        <w:footnoteReference w:id="904"/>
      </w:r>
      <w:r>
        <w:rPr>
          <w:rFonts w:ascii="IRNazanin" w:hAnsi="IRNazanin" w:eastAsia="IRNazanin"/>
          <w:color w:val="111111"/>
          <w:sz w:val="28"/>
          <w:sz w:val="28"/>
          <w:szCs w:val="28"/>
          <w:rtl w:val="true"/>
          <w:lang w:bidi="fa-IR"/>
        </w:rPr>
        <w:t>به، لإقتصارهم على التعرّض للارتفاع، 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مساوياً أو أخفض، جاز إجماعاً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مضافاً إلى أنّه يمكن إرادة المثال من الارتفاع في عبارات الأصحاب، ويكون المراد التفاوت بين الموقف والمسجد، أنّه يحتمل أنْ يكون عدم إفتائهم بالمنع في صورة الانخفاض، لأجل اعتقادهم عدم ظهور نفي الاستقامة في المنع، الذي عرفت ما فيه، لا للإعراض عنه، وبه يقيّد ما بإطلاقه يدلّ على الجواز كخبر محمّد بن عبد اللّه،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سأله عمّن يُصلّي وحده، فيكون موضع سجوده أسفل من مقامه‌؟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وحده فلا بأس</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بعض المحقّقين رحمه الله</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في الخبر من التفصيل بين المنفرد وغيره، ممّا لم يُنقل القول به عن واحدٍ، فالأولى 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مضافاً إلى أنّ الشرطيّة تكون مسوقه لبيان تحقّق الموضوع، وليس لها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أنّه يمكن أن يكون التقييد بالوحدة لأجل التنبيه على اعتبار أنْ لا يكون مسجد المأموم أخفض من مسجد الإمام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ذكرناه، ظهر ضعف ما عن الأردبيلي</w:t>
      </w:r>
      <w:r>
        <w:rPr>
          <w:rStyle w:val="FootnoteAnchor"/>
          <w:rtl w:val="true"/>
        </w:rPr>
        <w:footnoteReference w:id="908"/>
      </w:r>
      <w:r>
        <w:rPr>
          <w:rFonts w:ascii="Amiri" w:hAnsi="Amiri" w:eastAsia="Amiri" w:cs="Amiri"/>
          <w:color w:val="111111"/>
          <w:sz w:val="28"/>
          <w:sz w:val="28"/>
          <w:szCs w:val="28"/>
          <w:rtl w:val="true"/>
          <w:lang w:bidi="ar-SA"/>
        </w:rPr>
        <w:t>وجماعة من المتأخّرين عنه</w:t>
      </w:r>
      <w:r>
        <w:rPr>
          <w:rStyle w:val="FootnoteAnchor"/>
          <w:rtl w:val="true"/>
        </w:rPr>
        <w:footnoteReference w:id="909"/>
      </w:r>
      <w:r>
        <w:rPr>
          <w:rFonts w:ascii="IRNazanin" w:hAnsi="IRNazanin" w:eastAsia="IRNazanin"/>
          <w:color w:val="111111"/>
          <w:sz w:val="28"/>
          <w:sz w:val="28"/>
          <w:szCs w:val="28"/>
          <w:rtl w:val="true"/>
          <w:lang w:bidi="fa-IR"/>
        </w:rPr>
        <w:t>من الجواز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68" w:name="pg11800_97035"/>
    </w:p>
    <w:p>
      <w:pPr>
        <w:pStyle w:val="Heading6"/>
        <w:numPr>
          <w:ilvl w:val="5"/>
          <w:numId w:val="1"/>
        </w:numPr>
        <w:rPr/>
      </w:pPr>
      <w:bookmarkStart w:id="369" w:name="__RefHeading___Toc10478005_73709187"/>
      <w:bookmarkStart w:id="370" w:name="_Toc138"/>
      <w:bookmarkEnd w:id="368"/>
      <w:bookmarkEnd w:id="369"/>
      <w:r>
        <w:rPr>
          <w:rtl w:val="true"/>
        </w:rPr>
        <w:t>المراد من الموقف</w:t>
      </w:r>
      <w:bookmarkEnd w:id="370"/>
    </w:p>
    <w:p>
      <w:pPr>
        <w:pStyle w:val="BookText"/>
        <w:rPr/>
      </w:pPr>
      <w:r>
        <w:rPr>
          <w:rFonts w:ascii="Amiri" w:hAnsi="Amiri" w:eastAsia="Amiri" w:cs="Amiri"/>
          <w:color w:val="111111"/>
          <w:sz w:val="28"/>
          <w:sz w:val="28"/>
          <w:szCs w:val="28"/>
          <w:rtl w:val="true"/>
          <w:lang w:bidi="ar-SA"/>
        </w:rPr>
        <w:t>ثمّ إنّه صرّح غير واحدٍ</w:t>
      </w:r>
      <w:r>
        <w:rPr>
          <w:rStyle w:val="FootnoteAnchor"/>
          <w:rtl w:val="true"/>
        </w:rPr>
        <w:footnoteReference w:id="910"/>
      </w:r>
      <w:r>
        <w:rPr>
          <w:rFonts w:ascii="Amiri" w:hAnsi="Amiri" w:eastAsia="Amiri" w:cs="Amiri"/>
          <w:color w:val="111111"/>
          <w:sz w:val="28"/>
          <w:sz w:val="28"/>
          <w:szCs w:val="28"/>
          <w:rtl w:val="true"/>
          <w:lang w:bidi="ar-SA"/>
        </w:rPr>
        <w:t>بأنّ موضوع المساواة الجَبهة والموقف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الموقف بموضع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الموقف موضع القيام للصَّلاة، فلا يصحّ مع فرض العلوّ حاله والانتقال إلى المساوي عند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المحلّ الذي لو أراد الوقوف عن ذلك السّجود بلا انتقالٍ وقف عليه من غير فرقٍ بين كونه موضع الإبهامين أم لا؟</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موضع الإبهامين لا غير، فلو أدخل مشط قدميه في محلّ منخفضٍ بطلت صلاته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موضع الرُّكبتين والإبهامين، 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 المتقدّم، موضع البدن حال الجلوس لا حال القيام، ولا حال السّجود، كي يَشمل موضع اليدين، وذلك لأنّ الظاهر منه كونه في مقام تحديد الإنحناء المعتبر في السّجدة، وحيثُ أنّ تساوي موضع اليدين مع موضع الجبهة وعدمه، كتساوي موضع القيام مع موضع الجبهة وعدمه، لا يوجبان اختلافاً في الإنحناء الخاص، فلا يعتبر عدم ارتفاع الموضعين</w:t>
      </w:r>
      <w:r>
        <w:rPr>
          <w:rFonts w:eastAsia="Amiri" w:cs="Amiri" w:ascii="Amiri" w:hAnsi="Amiri"/>
          <w:color w:val="111111"/>
          <w:sz w:val="28"/>
          <w:szCs w:val="28"/>
          <w:rtl w:val="true"/>
          <w:lang w:bidi="ar-SA"/>
        </w:rPr>
        <w:t xml:space="preserve">. </w:t>
      </w:r>
      <w:bookmarkStart w:id="371" w:name="pg11800_97036"/>
    </w:p>
    <w:p>
      <w:pPr>
        <w:pStyle w:val="BookText"/>
        <w:rPr/>
      </w:pPr>
      <w:bookmarkEnd w:id="371"/>
      <w:r>
        <w:rPr>
          <w:rFonts w:ascii="Amiri" w:hAnsi="Amiri" w:eastAsia="Amiri" w:cs="Amiri"/>
          <w:color w:val="111111"/>
          <w:sz w:val="28"/>
          <w:sz w:val="28"/>
          <w:szCs w:val="28"/>
          <w:rtl w:val="true"/>
          <w:lang w:bidi="ar-SA"/>
        </w:rPr>
        <w:t xml:space="preserve">هذا مضافاً إلى التصريح في مرسل الكليني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 مع أنّ مقابلة موضع البدن بموضع الجبهة تأبى عن إرادة موضعه حال السّجود،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موضعه حال القيام خلاف المقطوع به من الفتوى، فيتعيّن إرادة موضعه حال الجلوس، فلو كان في حال القيام في موضعٍ‌، وفي حال السّجود صَعَد على محلٍّ مستوٍ مرتفعٍ عن موضع القيام بأزيد من لبنةٍ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عدم اعتبار ذلك في باقي المساجد بعضها مع بعض، كما هو المنسوب إلى المشهور</w:t>
      </w:r>
      <w:r>
        <w:rPr>
          <w:rStyle w:val="FootnoteAnchor"/>
          <w:rtl w:val="true"/>
        </w:rPr>
        <w:footnoteReference w:id="915"/>
      </w:r>
      <w:r>
        <w:rPr>
          <w:rFonts w:ascii="Amiri" w:hAnsi="Amiri" w:eastAsia="Amiri" w:cs="Amiri"/>
          <w:color w:val="111111"/>
          <w:sz w:val="28"/>
          <w:sz w:val="28"/>
          <w:szCs w:val="28"/>
          <w:rtl w:val="true"/>
          <w:lang w:bidi="ar-SA"/>
        </w:rPr>
        <w:t xml:space="preserve">، لعدم الدليل عليه، والأصل يقتضي عدمه، وخبر ابن سنان سواء اُريد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موضع الرّكبتين والإبهامين، أم اُريد المساجد الستّة، إنّما يدلّ على اعتبار مساواة الجبهة له، لا مساواة بعض المساجد لبعضه</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10478007_73709187"/>
      <w:bookmarkStart w:id="373" w:name="_Toc139"/>
      <w:bookmarkEnd w:id="372"/>
      <w:r>
        <w:rPr>
          <w:rtl w:val="true"/>
        </w:rPr>
        <w:t>حكم السّجود على المرتفع</w:t>
      </w:r>
      <w:bookmarkEnd w:id="373"/>
    </w:p>
    <w:p>
      <w:pPr>
        <w:pStyle w:val="BookText"/>
        <w:rPr/>
      </w:pPr>
      <w:r>
        <w:rPr>
          <w:rFonts w:ascii="Amiri" w:hAnsi="Amiri" w:eastAsia="Amiri" w:cs="Amiri"/>
          <w:color w:val="111111"/>
          <w:sz w:val="28"/>
          <w:sz w:val="28"/>
          <w:szCs w:val="28"/>
          <w:rtl w:val="true"/>
          <w:lang w:bidi="ar-SA"/>
        </w:rPr>
        <w:t>ولو وضع جَبهته على موضعٍ مرتفع أزيد من المقدار المغتفر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الارتفاع بمقدارٍ لا يصدق معه السّجود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بمقدارٍ يصدق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وضع عليه بقصد الجزئيّة، وكان ذلك عمديّاً، بطلت صلاته،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سهويّاً، صحّت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 وحينئذٍ جاز رفعها </w:t>
      </w:r>
    </w:p>
    <w:p>
      <w:pPr>
        <w:pStyle w:val="BookText"/>
        <w:rPr/>
      </w:pPr>
      <w:r>
        <w:rPr>
          <w:rFonts w:ascii="Amiri" w:hAnsi="Amiri" w:eastAsia="Amiri" w:cs="Amiri"/>
          <w:color w:val="111111"/>
          <w:sz w:val="28"/>
          <w:sz w:val="28"/>
          <w:szCs w:val="28"/>
          <w:rtl w:val="true"/>
          <w:lang w:bidi="ar-SA"/>
        </w:rPr>
        <w:t>ووضعها ثانياً كما يجوز 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إلى الذهن من السّجود المأمور به، خصوص الوضع المتّصل بالهوي، فلا يجوز الجَرّ،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حكم ما لو لم يكن الوضع بقصد الجزئيّة، فإنّه لا تبطل الصَّلاة به، عمديّاً كان الوضع أم سهويّاً، وفي كلتا الصورتين جاز رفع الجبهة ووضعها ثانياً، كما يجوز 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اعتبار عدم عُلوّ موضع الجبهة عن موضع البدن بأزيد من اللّبنة قيداً للسجدة، بمعنى عدم تحقّق السّجدة المأمور بها الّتي هي جزءٌ للصَّلاة ما لم ينحن إلى هذا الحَدّ، فحكمه حكم الصورة الاُولى‌، بلا فرق بينهما، فإنْ رفع الجبهة وَوَضْعُها ثانياً لا يوجب زيادة سجدة شرعيّة، وإنْ كان يصدق زيادة سجدة عرفيّة، إذ دعوى كون المساواة شرطاً في مفهوم السّجود عرفاً ضعيفةٌ جدّاً، كما لا يخفى‌، إلّاأنّ أدلّة مبطليّة زيادة السّجدة لا تشمل ما لا يكون سجدةً بنظر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المساواة من قيود الصَّلاة حين السّجدة، فمقتضى القاعدة عدم جواز الرفع، وتعيّن الجَرّ، لأنّه يلزم منه زيادة عمداً، وهذا بخلاف ما لو جَرّ رأسه، فإنّه ليس فيه تبديلُ سجدةٍ بأُخرى، بل تبدّل حالٍ بحال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بعض المحقّقين رحمه الله</w:t>
      </w:r>
      <w:r>
        <w:rPr>
          <w:rStyle w:val="FootnoteAnchor"/>
          <w:rtl w:val="true"/>
        </w:rPr>
        <w:footnoteReference w:id="9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الالتزام بجواز الرفع، حتّى بناءً على كون المساواة قيداً للصَّلاة، بدعوى إنّ الفعل الأوّل حال وقوعه لا يتّصف بالزيادة، ولكنّه ليس بمسقطٍ لطلبه، لعدم موافقته له، فهو باقٍ على عهدة التكليف به، فإذا أتى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ثانياً بقصد امتثال أمره، صحّ الثاني، وصدق على الأوّل وقوعه زائداً، وما دلّ على مبطليّة الزيادة، لا يتناول مثل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لو سَجَد سجدة صحيحة شرعيّة، ولم يأت بالذِّكر، فإنّ لازم ما ذُكر جواز رفع الرأس، والإتيان بسجدةٍ اُخرى معه،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إنّه لو رفع رأسه وسَجَد ثانياً، تتّصف الثانية بالزيادة، فيلزم زيادة السّجدة، ويأتي لذلك مزيد توضيحٍ في مبحث الخلل</w:t>
      </w:r>
      <w:r>
        <w:rPr>
          <w:rStyle w:val="FootnoteAnchor"/>
          <w:rtl w:val="true"/>
        </w:rPr>
        <w:footnoteReference w:id="919"/>
      </w:r>
      <w:r>
        <w:rPr>
          <w:rFonts w:ascii="Amiri" w:hAnsi="Amiri" w:eastAsia="Amiri" w:cs="Amiri"/>
          <w:color w:val="111111"/>
          <w:sz w:val="28"/>
          <w:sz w:val="28"/>
          <w:szCs w:val="28"/>
          <w:rtl w:val="true"/>
          <w:lang w:bidi="ar-SA"/>
        </w:rPr>
        <w:t>إنْ شاء اللّه تعالى‌، ولكن بما أنّ الظاهر من دليل السّجود على الأرض المرتفعة، كونه في مقام تحديد الإنحناء المعتبر في السّجود شرعاً كما عرفت، فيكون ظاهراً في كون عدم العلوّ من قيود السّجدة لا الصَّلاة، وعليه، فمقتضى القاعدة جواز الرفع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أسجدُ فتقع جبهتي على الموضع المرتفع‌؟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ثمّ ضعه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 صحيح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جبهتك على نبكةٍ‌</w:t>
      </w:r>
      <w:r>
        <w:rPr>
          <w:rStyle w:val="FootnoteAnchor"/>
          <w:rtl w:val="true"/>
        </w:rPr>
        <w:footnoteReference w:id="921"/>
      </w:r>
      <w:r>
        <w:rPr>
          <w:rFonts w:ascii="Amiri" w:hAnsi="Amiri" w:eastAsia="Amiri" w:cs="Amiri"/>
          <w:color w:val="111111"/>
          <w:sz w:val="28"/>
          <w:sz w:val="28"/>
          <w:szCs w:val="28"/>
          <w:rtl w:val="true"/>
          <w:lang w:bidi="ar-SA"/>
        </w:rPr>
        <w:t>فلا ترفعها ولكن جُرّها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مسكان، عن الحسين بن حمّاد، قال له عليه 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 وجهي للسّجود، فيقع وجهي على حَجَرٍ أو على موضعٍ مرتفع، أُحوّل وجهي إلى مكان مستو؟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 وجهك على الأرض من غير أن ترفعه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الجمع بينهما وبين الخبر، يقتضي حمل الأمر بالجَرّ فيهما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يحتمل في الصحيح الأوّل أنْ يكون لعدم إمكان الاعتماد على الجبهة، وفي الثاني أنْ يكون لأجل إرادة مكانٍ مستوي والذي هو الأفضل، وعليه فهما أجنبيّان عن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من أنّه لا يُعمل بخبر الحسين، لأنّ في سنده ضعفاً، في غير محلّه، لإنجباره بعمل الأصحاب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74" w:name="pg11800_97040"/>
    </w:p>
    <w:p>
      <w:pPr>
        <w:pStyle w:val="BookText"/>
        <w:rPr/>
      </w:pPr>
      <w:bookmarkEnd w:id="374"/>
      <w:r>
        <w:rPr>
          <w:rFonts w:ascii="Amiri" w:hAnsi="Amiri" w:eastAsia="Amiri" w:cs="Amiri"/>
          <w:color w:val="111111"/>
          <w:sz w:val="28"/>
          <w:sz w:val="28"/>
          <w:szCs w:val="28"/>
          <w:rtl w:val="true"/>
          <w:lang w:bidi="ar-SA"/>
        </w:rPr>
        <w:t>ولو تَعذّر السّجود أومأ، أو رفع شيئاً وسَجَد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يطمئن بقدر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تَعذّر السّجود أومأ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جماعة</w:t>
      </w:r>
      <w:r>
        <w:rPr>
          <w:rStyle w:val="FootnoteAnchor"/>
          <w:rtl w:val="true"/>
        </w:rPr>
        <w:footnoteReference w:id="925"/>
      </w:r>
      <w:r>
        <w:rPr>
          <w:rFonts w:ascii="Amiri" w:hAnsi="Amiri" w:eastAsia="Amiri" w:cs="Amiri"/>
          <w:color w:val="111111"/>
          <w:sz w:val="28"/>
          <w:sz w:val="28"/>
          <w:szCs w:val="28"/>
          <w:rtl w:val="true"/>
          <w:lang w:bidi="ar-SA"/>
        </w:rPr>
        <w:t xml:space="preserve">منهم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رَفَع شيئاً وسَجد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 الكلام في ذلك مفصّلاً في مبحث القيام</w:t>
      </w:r>
      <w:r>
        <w:rPr>
          <w:rStyle w:val="FootnoteAnchor"/>
          <w:rtl w:val="true"/>
        </w:rPr>
        <w:footnoteReference w:id="92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6"/>
        <w:numPr>
          <w:ilvl w:val="5"/>
          <w:numId w:val="1"/>
        </w:numPr>
        <w:rPr/>
      </w:pPr>
      <w:bookmarkStart w:id="375" w:name="__RefHeading___Toc10478009_73709187"/>
      <w:bookmarkStart w:id="376" w:name="_Toc140"/>
      <w:bookmarkEnd w:id="375"/>
      <w:r>
        <w:rPr>
          <w:rtl w:val="true"/>
        </w:rPr>
        <w:t>أنْ يطمئن بقدر التسبيح</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يطمئن بقدر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علي بن يقطين المتقدّم في ذكر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ويُجزيك واحدة إذا أمكنتْ جَبهتك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يسجدُ على الحَصى‌، فلا يُمكِّن جبهته من الأرض‌؟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جبهته حتّى يتمكّن، فينحِّي الحَصى عن جبهته ولا يرفع رأسه</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وصحيح الهُذَليّ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عن الإمام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سجدتَ فمكِّن جبهتك من الأرض، ولا تنقر كنقرة الديك</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تمكين الجبهة من الأرض غير الاطمئنان بوضعها، بل الظاهر منه الاعتماد عليها، مضافاً إلى أنّه إنّما تدلّ هذه النصوص على لزوم تمكين الجبهة لا سائر أجزاء بدن المُصلّي، فإذاً العمدة فيه هو الإجماع عليه، فلو تعذّرت الطمأنينة سقطت، ولا يسقط الذّكر لإطلاق دليله المقتصر في تقييده بالطمأنينة على القدر المتيقّن، الذي انعقد الإجماع عليه، وهو صورة التمكّن</w:t>
      </w:r>
      <w:r>
        <w:rPr>
          <w:rFonts w:eastAsia="Amiri" w:cs="Amiri" w:ascii="Amiri" w:hAnsi="Amiri"/>
          <w:color w:val="111111"/>
          <w:sz w:val="28"/>
          <w:szCs w:val="28"/>
          <w:rtl w:val="true"/>
          <w:lang w:bidi="ar-SA"/>
        </w:rPr>
        <w:t xml:space="preserve">. </w:t>
      </w:r>
      <w:bookmarkStart w:id="377" w:name="pg11800_97041"/>
    </w:p>
    <w:p>
      <w:pPr>
        <w:pStyle w:val="BookText"/>
        <w:rPr/>
      </w:pPr>
      <w:bookmarkEnd w:id="377"/>
      <w:r>
        <w:rPr>
          <w:rFonts w:ascii="Amiri" w:hAnsi="Amiri" w:eastAsia="Amiri" w:cs="Amiri"/>
          <w:color w:val="111111"/>
          <w:sz w:val="28"/>
          <w:sz w:val="28"/>
          <w:szCs w:val="28"/>
          <w:rtl w:val="true"/>
          <w:lang w:bidi="ar-SA"/>
        </w:rPr>
        <w:t>وأن يُسبِّح مرّةً واحدة،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0478011_73709187"/>
      <w:bookmarkStart w:id="379" w:name="_Toc141"/>
      <w:bookmarkEnd w:id="378"/>
      <w:r>
        <w:rPr>
          <w:rtl w:val="true"/>
        </w:rPr>
        <w:t>الذّكر</w:t>
      </w:r>
      <w:bookmarkEnd w:id="379"/>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كفاية مطلقه،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يُجزي للمختار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ثلاثاً، أو بقدر ذلك من سائر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خلافاً واستدلالاً، ومختارنا هو الكلام في الرّكوع، إلّاأنّه في التسبيحة الكبرى يبدّل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جملةٍمن النصوص</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0478013_73709187"/>
      <w:bookmarkStart w:id="381" w:name="_Toc142"/>
      <w:bookmarkEnd w:id="380"/>
      <w:r>
        <w:rPr>
          <w:rtl w:val="true"/>
        </w:rPr>
        <w:t>رفع الرأس منه</w:t>
      </w:r>
      <w:bookmarkEnd w:id="381"/>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منه، 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وغيرها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توقّف صدق السّجدة الثانية، وإيجاد سائر أفعال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رفعتَ رأسكَ من الرّكوع فأقم صُلبك حتّى ترجع مفاصلك، وإذا سجدتَ فاقعُد مثل ذلك</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رأسه من السّجود، فلمّا استويجالساًقال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اسجُدحتّيتطمئن ساجداً، ثمّ‌ارفَع رأسكَ حتّيتستوي قائماً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382" w:name="pg11800_97042"/>
    </w:p>
    <w:p>
      <w:pPr>
        <w:pStyle w:val="BookText"/>
        <w:rPr/>
      </w:pPr>
      <w:bookmarkEnd w:id="382"/>
      <w:r>
        <w:rPr>
          <w:rFonts w:ascii="Amiri" w:hAnsi="Amiri" w:eastAsia="Amiri" w:cs="Amiri"/>
          <w:color w:val="111111"/>
          <w:sz w:val="28"/>
          <w:sz w:val="28"/>
          <w:szCs w:val="28"/>
          <w:rtl w:val="true"/>
          <w:lang w:bidi="ar-SA"/>
        </w:rPr>
        <w:t>وأنْ يَجْلُس بينهما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يضعَ جَبهته على ما يصحّ السّجود عليه</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0478015_73709187"/>
      <w:bookmarkStart w:id="384" w:name="_Toc143"/>
      <w:bookmarkEnd w:id="383"/>
      <w:r>
        <w:rPr>
          <w:rtl w:val="true"/>
        </w:rPr>
        <w:t>أنْ يجلس بينهما مُطمئنّاً</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يجلس بينهما مُطمئنّاً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إجماعاً حكاه جماعة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صحيح حمّاد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إسحاق بن عمّار الحاكي لأوّل صلاة صلّاها رسول اللّه صلى الله عليه و آله،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اسجُد لربّك، فخَرّ رسول اللّه صلى الله عليه و آله ساجداً،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ذلك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 جالساً يامحمّد ففعل</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أبي بصير المتقدّم، فلا يدلّ عليه، لأنّ رجوع المفاصل غير الطمأنينة، وليس لازماً لها</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0478017_73709187"/>
      <w:bookmarkStart w:id="386" w:name="_Toc144"/>
      <w:bookmarkEnd w:id="385"/>
      <w:r>
        <w:rPr>
          <w:rtl w:val="true"/>
        </w:rPr>
        <w:t>أنْ يَضعَ جَبهته على ما يصحّ السّجود عليه</w:t>
      </w:r>
      <w:bookmarkEnd w:id="386"/>
    </w:p>
    <w:p>
      <w:pPr>
        <w:pStyle w:val="Heading6"/>
        <w:numPr>
          <w:ilvl w:val="5"/>
          <w:numId w:val="1"/>
        </w:numPr>
        <w:rPr/>
      </w:pPr>
      <w:bookmarkStart w:id="387" w:name="__RefHeading___Toc10478019_73709187"/>
      <w:bookmarkStart w:id="388" w:name="_Toc145"/>
      <w:bookmarkEnd w:id="387"/>
      <w:r>
        <w:rPr>
          <w:rtl w:val="true"/>
        </w:rPr>
        <w:t>اشارة</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يَضعَ جَبهته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أو ما نبت منها، وقد تقدّم الكلام فيه في بحث المكان، فراجع</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تقدّم هناك اعتبار طهارة محلّ وضع الجبهة، وكون ما يَسجدُ عليه ممّا تستقرّ الجَبهة عليه، فلا نُعيد</w:t>
      </w:r>
      <w:r>
        <w:rPr>
          <w:rFonts w:eastAsia="Amiri" w:cs="Amiri" w:ascii="Amiri" w:hAnsi="Amiri"/>
          <w:color w:val="111111"/>
          <w:sz w:val="28"/>
          <w:szCs w:val="28"/>
          <w:rtl w:val="true"/>
          <w:lang w:bidi="ar-SA"/>
        </w:rPr>
        <w:t>.</w:t>
      </w:r>
      <w:bookmarkStart w:id="389" w:name="pg11800_97043"/>
    </w:p>
    <w:p>
      <w:pPr>
        <w:pStyle w:val="Heading6"/>
        <w:numPr>
          <w:ilvl w:val="5"/>
          <w:numId w:val="1"/>
        </w:numPr>
        <w:rPr/>
      </w:pPr>
      <w:bookmarkStart w:id="390" w:name="__RefHeading___Toc10478021_73709187"/>
      <w:bookmarkStart w:id="391" w:name="_Toc146"/>
      <w:bookmarkEnd w:id="389"/>
      <w:bookmarkEnd w:id="390"/>
      <w:r>
        <w:rPr>
          <w:rtl w:val="true"/>
        </w:rPr>
        <w:t>فروع</w:t>
      </w:r>
      <w:r>
        <w:rPr>
          <w:rtl w:val="true"/>
        </w:rPr>
        <w:t>:</w:t>
      </w:r>
      <w:bookmarkEnd w:id="391"/>
    </w:p>
    <w:p>
      <w:pPr>
        <w:pStyle w:val="Heading6"/>
        <w:numPr>
          <w:ilvl w:val="5"/>
          <w:numId w:val="1"/>
        </w:numPr>
        <w:rPr/>
      </w:pPr>
      <w:bookmarkStart w:id="392" w:name="__RefHeading___Toc10478023_73709187"/>
      <w:bookmarkStart w:id="393" w:name="_Toc147"/>
      <w:bookmarkEnd w:id="392"/>
      <w:r>
        <w:rPr>
          <w:rtl w:val="true"/>
        </w:rPr>
        <w:t>وضع الجبهة على ما لا يَصحّ السّجود عليه</w:t>
      </w:r>
      <w:bookmarkEnd w:id="393"/>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المصلّي جَبهته على ما لا يَصحّ السّجود عليه، يجبُ عليه الجَرّ، ولا يجوز رفعها، كما نصّ عليه غير واحدٍ من الأساطين</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الرفع، ونَسَبه الى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ومستندُ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مسألة السّجود على المرتفع، وهو أنّ وضع الجبهة على موضعٍ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من قيود السّجود المأمور بها، فمقتضى القاعدة جواز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قيود الصَّلاة في حال السّجدة كالذِّكر،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الظاهر من الأدلّة، أنّ اعتبار كون المسجد أرضاً أو نباتها من قيود المسجد، الذي هو قوام السّجود، فمقتضى القاعدة جواز الرفع، لأنّه لا يلزم منه زيادة السّجود الصلاتي، الّتي هي موضوع البطلان، فما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41"/>
      </w:r>
      <w:r>
        <w:rPr>
          <w:rFonts w:ascii="Amiri" w:hAnsi="Amiri" w:eastAsia="Amiri" w:cs="Amiri"/>
          <w:color w:val="111111"/>
          <w:sz w:val="28"/>
          <w:sz w:val="28"/>
          <w:szCs w:val="28"/>
          <w:rtl w:val="true"/>
          <w:lang w:bidi="ar-SA"/>
        </w:rPr>
        <w:t>وقوّاه العلّامة الطباطبائي في منظومته</w:t>
      </w:r>
      <w:r>
        <w:rPr>
          <w:rStyle w:val="FootnoteAnchor"/>
          <w:rtl w:val="true"/>
        </w:rPr>
        <w:footnoteReference w:id="942"/>
      </w:r>
      <w:r>
        <w:rPr>
          <w:rFonts w:ascii="IRNazanin" w:hAnsi="IRNazanin" w:eastAsia="IRNazanin"/>
          <w:color w:val="111111"/>
          <w:sz w:val="28"/>
          <w:sz w:val="28"/>
          <w:szCs w:val="28"/>
          <w:rtl w:val="true"/>
          <w:lang w:bidi="fa-IR"/>
        </w:rPr>
        <w:t>هو الأقوى‌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بناءً على المنع من الرفع، لو لم يتمكّن من الجَرّ، فهل يجوز الرفع أم لا؟ </w:t>
      </w:r>
    </w:p>
    <w:p>
      <w:pPr>
        <w:pStyle w:val="BookText"/>
        <w:rPr/>
      </w:pPr>
      <w:r>
        <w:rPr>
          <w:rFonts w:ascii="Amiri" w:hAnsi="Amiri" w:eastAsia="Amiri" w:cs="Amiri"/>
          <w:color w:val="111111"/>
          <w:sz w:val="28"/>
          <w:sz w:val="28"/>
          <w:szCs w:val="28"/>
          <w:rtl w:val="true"/>
          <w:lang w:bidi="ar-SA"/>
        </w:rPr>
        <w:t xml:space="preserve">وجهان، اختار ثانيهما جملة من الأساطين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والشيخ الأعظم قدس سره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زيادة السّجدة العمديّة، لعدم اندراج السّجود في الفرض في السّجدة السهويّة، لحصول القصد في كلٍّ منهما، إلّا أنّه سهى عمّا يجب حالها، أو يشترط في صحّتها، وإلّا لوجب التدارك مع السّهو عن الطمأنينة، ووضع أحد المساجد ونحوهما ممّا يعتبر في صحّة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وضع الجبهة على ما يصحّ السّجود عليه واجباً حال السّجدة، كان ما ذُكر تامّاً، لكنّه خلاف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شرطاً في صحّة السّجود فلا يتمّ‌، إذ السّجود الأوّل وقع غير مطابق للمأمور به، فلا يسقط أمره، ويجبُ تداركه بفعل السّجود ثانياً، وحيثُ إنّه كان الأوّل عن سهوٍ، فلا يقدح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الشيخ رحمه الله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شرطاً مطلقاً، فاللّازم الحكم ببطلان الصَّلاة في الفرض، لأنّه أخلَّ بشرط مطلق هو كالركن، ويلزم من تداركه زيادة سجدةٍ‌، فهو كناسي الرّكوع إلى أن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شرطاً مطلقاً، فحيثُ إنّه يلزم من تداركه زيادة سجدة، ولا دليل على وجوب تدارك الشرط معه، فلا يجوز الرفع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السّجود الأوّل، لكونه غير مطابقٍ للمأمور به، يعدّ زيادةً في الصَّلاة، من غير فرقٍ بين أن يسجد ثانياً أو لم يسجد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وجوب الرفع في الفرض، ويؤيّده التوقيع المرويّ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عبد اللّه بن جعفر الحميري إلى الناحية المقدّسة، يسأل عن المُصلّي يكون في صلاة اللّيل في ظلمة، فإذا سجد يغلط بالسّجادة، ويضع جبهته على مسحٍ أو نطع، فإذا رفع رأسه وَجَد السجّادة، هل يعتدّ بهذه السّجدة أم لا يعتدّ بها؟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94" w:name="pg11800_97046"/>
    </w:p>
    <w:p>
      <w:pPr>
        <w:pStyle w:val="Heading6"/>
        <w:numPr>
          <w:ilvl w:val="5"/>
          <w:numId w:val="1"/>
        </w:numPr>
        <w:rPr/>
      </w:pPr>
      <w:bookmarkStart w:id="395" w:name="__RefHeading___Toc10478025_73709187"/>
      <w:bookmarkStart w:id="396" w:name="_Toc148"/>
      <w:bookmarkEnd w:id="394"/>
      <w:bookmarkEnd w:id="395"/>
      <w:r>
        <w:rPr>
          <w:rtl w:val="true"/>
        </w:rPr>
        <w:t>حكم الطين اللّاصق بالجَبهة</w:t>
      </w:r>
      <w:bookmarkEnd w:id="39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لصق الطين بالجَبهة، وبعبارة اُخرى لو لم ينفصل ما يصحّ السّجود عليه عن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تصحّ صلاته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بل قال الشيخ الأعظم رحمه الله</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اقتصار نسبة الخلاف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عدم الخلاف عن غيره،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صدق اسم تعدّد وضع الجبهة، المتوقّف عليه صدق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المستدلّ إنّه لا تتحقّق السّجدة إلّامع وضع الجبهة على المسجد، المنفصل عنها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المتبادر من الأمر بالسجود على ما يصحّ السّجود عليه، وضع جبهته المنفصلة عنه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الشيخ، بإسناده عن علي بن بجيل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جعفر بن محمّد عليه السلام كلّما سجدَ فرفع رأسه، أخذ الحَصى من جبهته فوضعه على الأرض</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 إذ مجرّد التصاق الجَبهة بشيءٍ لا يكفي في صدق اسم الوضع، بل يعتبر فيه الاعتماد عليه، فلو رفع رأسه من السّجود، وكان المسجَد ملتصقاً بالجَبهة، لا تكون جبهته في هذه الحال موضوعة، فلو سَجَد ثانياً واعتمد عليه، صدق عليه اسم الوضع ثانياً، فصِدْق تعدّد الوضع المتوقّف عليه صِدق السَّجدتين، لا يتوقّف على انفصال الجبهة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التبادر فممنوعٌ‌، وأمّا الخبر فلا يدلّ على اللّزوم، لكونه حكاية فعلٍ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الصحّة، وعدم لزوم إزالة الطين الملتَصِق بالجَبهة للسّجود ثانياً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97" w:name="pg11800_97048"/>
    </w:p>
    <w:p>
      <w:pPr>
        <w:pStyle w:val="Heading6"/>
        <w:numPr>
          <w:ilvl w:val="5"/>
          <w:numId w:val="1"/>
        </w:numPr>
        <w:rPr/>
      </w:pPr>
      <w:bookmarkStart w:id="398" w:name="__RefHeading___Toc10478027_73709187"/>
      <w:bookmarkStart w:id="399" w:name="_Toc149"/>
      <w:bookmarkEnd w:id="397"/>
      <w:bookmarkEnd w:id="398"/>
      <w:r>
        <w:rPr>
          <w:rtl w:val="true"/>
        </w:rPr>
        <w:t>في حكم الجَبهة المندملة</w:t>
      </w:r>
      <w:bookmarkEnd w:id="399"/>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بجبهته دمّلٌ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أمكن سجوده على الموضع السليم، ولو بحفر حفيرةٍ‌، وجبَ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ما دلّ على السّجود على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مصادف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بي دمّلٌ‌، فكنتُ أسجد على جانبٍ‌، فرأى أبو عبد اللّه عليه السلام أثره،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أسجد من أجل الدُّمل، فإنّما أسجد منحرفاً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ذلك، ولكن احفر حفيرةً‌، واجعَل الدُّمل في الحفيرة، حتّى تقع جبهتك على الأرض</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يمكن ذلك، فإنْ تعذّر وضع أحد الجبينين أيضاً، سجد على ذقنه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58"/>
      </w:r>
      <w:r>
        <w:rPr>
          <w:rFonts w:ascii="Amiri" w:hAnsi="Amiri" w:eastAsia="Amiri" w:cs="Amiri"/>
          <w:color w:val="111111"/>
          <w:sz w:val="28"/>
          <w:sz w:val="28"/>
          <w:szCs w:val="28"/>
          <w:rtl w:val="true"/>
          <w:lang w:bidi="ar-SA"/>
        </w:rPr>
        <w:t>وغيره</w:t>
      </w:r>
      <w:r>
        <w:rPr>
          <w:rStyle w:val="FootnoteAnchor"/>
          <w:rtl w:val="true"/>
        </w:rPr>
        <w:footnoteReference w:id="959"/>
      </w:r>
      <w:r>
        <w:rPr>
          <w:rFonts w:ascii="Amiri" w:hAnsi="Amiri" w:eastAsia="Amiri" w:cs="Amiri"/>
          <w:color w:val="111111"/>
          <w:sz w:val="28"/>
          <w:sz w:val="28"/>
          <w:szCs w:val="28"/>
          <w:rtl w:val="true"/>
          <w:lang w:bidi="ar-SA"/>
        </w:rPr>
        <w:t>دعوى الإجماع عليه صريحاً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 إسحاق بن عمّار،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بين عينيه قرحة، لا يستطيع أن يسجد؟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ما بين طرف شعره، فإنْ لم يقدر، سَجَد على حاجبه الأيمن، فإنْ لم يقدر فَعَلى حاجبه الأيسر، فإنْ لم يقدر فعلى ذقنه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ذقنه‌؟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لِلْأَذْقانِ سُجَّداً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عمّن بجبهته عِلّة لا يقدر على السّجود عليها؟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ذقنه على الأرض،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لِلْأَذْقانِ سُجَّداً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 أمكن وضع أحد الجبينين، فالمشهور بين الأصحاب</w:t>
      </w:r>
      <w:r>
        <w:rPr>
          <w:rStyle w:val="FootnoteAnchor"/>
          <w:rtl w:val="true"/>
        </w:rPr>
        <w:footnoteReference w:id="962"/>
      </w:r>
      <w:r>
        <w:rPr>
          <w:rFonts w:ascii="Amiri" w:hAnsi="Amiri" w:eastAsia="Amiri" w:cs="Amiri"/>
          <w:color w:val="111111"/>
          <w:sz w:val="28"/>
          <w:sz w:val="28"/>
          <w:szCs w:val="28"/>
          <w:rtl w:val="true"/>
          <w:lang w:bidi="ar-SA"/>
        </w:rPr>
        <w:t>تعيّن السّجود على أحدهما، بل عن جماعةٍ‌</w:t>
      </w:r>
      <w:r>
        <w:rPr>
          <w:rStyle w:val="FootnoteAnchor"/>
          <w:rtl w:val="true"/>
        </w:rPr>
        <w:footnoteReference w:id="963"/>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الجبهة تشمل الجبينين، فما دلّ على أنّ السّجود عليها، يدلّ على تعيّن السّجود على أحدهما في المقام، إذ الدليل الدالّ على التقييد بما عداهما، يختصّ بحال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الاكتفاء في السّجود بما بين قصاص الشعر إلى الحاجبين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إسحاق المتقدّم، بناءً على أنّ المراد من الحاجب هو الجبين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دلّ على الاكتفاء بالسجود بما بين قَصّاص الشعر إلى الحاجبين، مسوقٌ لبيان التحديد الطولي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وإرادة الجَبين من الحاجب غير ظاهرة، بل الظاهر من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بقرينة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تعذّر السّجدة على ما بين العينين، الّتي هي الأولى، يسجد على ما بين الحاجب والقصاص، الذي يكون داخلاً في الجبهة، وعليه فيحمل ما فيه الترتيب على الاستحباب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فيه الإجماعات المحكيّة، المعتضدة بعدم نقل الخلاف عن أحدٍ، وبها يقيّد إطلاق خبر علي بن محمّد المتقدّم، فتأمّل</w:t>
      </w:r>
      <w:r>
        <w:rPr>
          <w:rFonts w:eastAsia="Amiri" w:cs="Amiri" w:ascii="Amiri" w:hAnsi="Amiri"/>
          <w:color w:val="111111"/>
          <w:sz w:val="28"/>
          <w:szCs w:val="28"/>
          <w:rtl w:val="true"/>
          <w:lang w:bidi="ar-SA"/>
        </w:rPr>
        <w:t>.</w:t>
      </w:r>
      <w:bookmarkStart w:id="400" w:name="pg11800_97051"/>
    </w:p>
    <w:p>
      <w:pPr>
        <w:pStyle w:val="BookText"/>
        <w:rPr/>
      </w:pPr>
      <w:bookmarkEnd w:id="400"/>
      <w:r>
        <w:rPr>
          <w:rFonts w:ascii="Amiri" w:hAnsi="Amiri" w:eastAsia="Amiri" w:cs="Amiri"/>
          <w:color w:val="111111"/>
          <w:sz w:val="28"/>
          <w:sz w:val="28"/>
          <w:szCs w:val="28"/>
          <w:rtl w:val="true"/>
          <w:lang w:bidi="ar-SA"/>
        </w:rPr>
        <w:t>ويُستحبُّ التكبير له</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10478029_73709187"/>
      <w:bookmarkStart w:id="402" w:name="_Toc150"/>
      <w:bookmarkEnd w:id="401"/>
      <w:r>
        <w:rPr>
          <w:rtl w:val="true"/>
        </w:rPr>
        <w:t>مستحبّات السّجود</w:t>
      </w:r>
      <w:bookmarkEnd w:id="402"/>
    </w:p>
    <w:p>
      <w:pPr>
        <w:pStyle w:val="Heading6"/>
        <w:numPr>
          <w:ilvl w:val="5"/>
          <w:numId w:val="1"/>
        </w:numPr>
        <w:rPr/>
      </w:pPr>
      <w:bookmarkStart w:id="403" w:name="__RefHeading___Toc10478031_73709187"/>
      <w:bookmarkStart w:id="404" w:name="_Toc151"/>
      <w:bookmarkEnd w:id="403"/>
      <w:r>
        <w:rPr>
          <w:rtl w:val="true"/>
        </w:rPr>
        <w:t>اشارة</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اُمور</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0478033_73709187"/>
      <w:bookmarkStart w:id="406" w:name="_Toc152"/>
      <w:bookmarkEnd w:id="405"/>
      <w:r>
        <w:rPr>
          <w:rtl w:val="true"/>
        </w:rPr>
        <w:t>التكبير له</w:t>
      </w:r>
      <w:bookmarkEnd w:id="40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للأخذ فيه، كما هو المشهور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أو حسنه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تركع وتسجد، فارفع يديك وكبّر ثمّ اركع واسجد</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شاملٌ للسجدة الثانية كالأولى،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وجوبه ورفع اليد حاله، هو الكلام في تكبير الرّكوع، فراجع ما ذكرناه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يعتبر فيه أن يكبّر حال الانتصاب من الرّكوع قائماً أو قاعداً كما هو المشهور</w:t>
      </w:r>
      <w:r>
        <w:rPr>
          <w:rStyle w:val="FootnoteAnchor"/>
          <w:rtl w:val="true"/>
        </w:rPr>
        <w:footnoteReference w:id="967"/>
      </w:r>
      <w:r>
        <w:rPr>
          <w:rFonts w:ascii="IRNazanin" w:hAnsi="IRNazanin" w:eastAsia="IRNazanin"/>
          <w:color w:val="111111"/>
          <w:sz w:val="28"/>
          <w:sz w:val="28"/>
          <w:szCs w:val="28"/>
          <w:rtl w:val="true"/>
          <w:lang w:bidi="fa-IR"/>
        </w:rPr>
        <w:t>، 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كَبَّر عليه السلام وهو قائمٌ ورفع يديه حيال وجهه ثمّ سجد</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يصلح لتقييد المطلقات، كصحيح زرارة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ترفع يديك بالتكبير، وتَخرُّ ساجداً</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407" w:name="pg11800_97052"/>
    </w:p>
    <w:p>
      <w:pPr>
        <w:pStyle w:val="BookText"/>
        <w:rPr/>
      </w:pPr>
      <w:bookmarkEnd w:id="407"/>
      <w:r>
        <w:rPr>
          <w:rFonts w:ascii="IRNazanin" w:hAnsi="IRNazanin" w:eastAsia="IRNazanin"/>
          <w:color w:val="111111"/>
          <w:sz w:val="28"/>
          <w:sz w:val="28"/>
          <w:szCs w:val="28"/>
          <w:rtl w:val="true"/>
          <w:lang w:bidi="fa-IR"/>
        </w:rPr>
        <w:t>وعند رَفع الرأس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تسجدَ فارفع يديك بالتكبير، وخَرّ ساجداً</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يعارضه خبر المُعلّى،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هوى ساجداً انكبَّ وهو يُكبِّر</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والجمع بينه وبين الصحيح يقتضي 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عدم عملهم به، لاعتقادهم عدم إمكان الجمع بينه وبين الصحيح، حيثُ أنّ الصحيح أرجح، فيقدّم لا للإعراض عنه</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0478035_73709187"/>
      <w:bookmarkStart w:id="409" w:name="_Toc153"/>
      <w:bookmarkEnd w:id="408"/>
      <w:r>
        <w:rPr>
          <w:rtl w:val="true"/>
        </w:rPr>
        <w:t>التكبير عند رَفع الرأس منه</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رَفع الرأس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لاستحبابه عند رفع الرأس من السّجدة الاُولى؛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رَفَع رأسه من السّجود، فلمّا استوى جالساً، قال اللّه أكبر</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ظاهره اعتبار كونه بعد الجلوس مستوياً كي يوجب تقييد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تركع وتسجد، فارفع يديك وكَبّر ثمّ اركع واسجد</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يشهد لاستحبابه بعد الرفع من الثانية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التوقيع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رُوي إذا رفع رأسه من السّجدة الثانية وكبّر، ثمّ جلس ثمّ قام</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410" w:name="pg11800_97053"/>
    </w:p>
    <w:p>
      <w:pPr>
        <w:pStyle w:val="BookText"/>
        <w:rPr/>
      </w:pPr>
      <w:bookmarkEnd w:id="410"/>
      <w:r>
        <w:rPr>
          <w:rFonts w:ascii="Amiri" w:hAnsi="Amiri" w:eastAsia="Amiri" w:cs="Amiri"/>
          <w:color w:val="111111"/>
          <w:sz w:val="28"/>
          <w:sz w:val="28"/>
          <w:szCs w:val="28"/>
          <w:rtl w:val="true"/>
          <w:lang w:bidi="ar-SA"/>
        </w:rPr>
        <w:t>والسَّبقَ بيديه إلى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9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إذا كَبّر للدّخول في فعلٍ من أفعال الصَّلاة، ابتدأ بالتكبير حال ابتدائه، وللخروج عنه بعد الانفصال عنه</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0478037_73709187"/>
      <w:bookmarkStart w:id="412" w:name="_Toc154"/>
      <w:bookmarkEnd w:id="411"/>
      <w:r>
        <w:rPr>
          <w:rtl w:val="true"/>
        </w:rPr>
        <w:t>السَّبق بيديه إلى الأرض</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بيديه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الهُويّ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يضعُ يديه قبل رُكبتيه إذا سجد</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أن تسجد، فارفع يديكَ بالتكبير، وخَرّ ساجداً، وابدأ بيديك فضعهما على الأرض قبل رُكبتيك</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وإنْ كان الوجوب، إلّاأنّها تُحمل على الاستحباب، بقرينة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صَلّى الرّجل أن يضع ركبتيه على الأرض قبل يديه</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وقريبٌ منه صحيح عبد الرحمن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من وجوبه ضعيفٌ‌</w:t>
      </w:r>
      <w:r>
        <w:rPr>
          <w:rFonts w:eastAsia="Amiri" w:cs="Amiri" w:ascii="Amiri" w:hAnsi="Amiri"/>
          <w:color w:val="111111"/>
          <w:sz w:val="28"/>
          <w:szCs w:val="28"/>
          <w:rtl w:val="true"/>
          <w:lang w:bidi="ar-SA"/>
        </w:rPr>
        <w:t xml:space="preserve">. </w:t>
      </w:r>
      <w:bookmarkStart w:id="413" w:name="pg11800_97054"/>
    </w:p>
    <w:p>
      <w:pPr>
        <w:pStyle w:val="BookText"/>
        <w:rPr/>
      </w:pPr>
      <w:bookmarkEnd w:id="413"/>
      <w:r>
        <w:rPr>
          <w:rFonts w:ascii="IRNazanin" w:hAnsi="IRNazanin" w:eastAsia="IRNazanin"/>
          <w:color w:val="111111"/>
          <w:sz w:val="28"/>
          <w:sz w:val="28"/>
          <w:szCs w:val="28"/>
          <w:rtl w:val="true"/>
          <w:lang w:bidi="fa-IR"/>
        </w:rPr>
        <w:t>والإرغام بالأنف</w:t>
      </w:r>
      <w:r>
        <w:rPr>
          <w:rFonts w:eastAsia="IRNazanin" w:cs="IRNazanin"/>
          <w:color w:val="111111"/>
          <w:sz w:val="28"/>
          <w:szCs w:val="28"/>
          <w:rtl w:val="true"/>
          <w:lang w:bidi="fa-IR"/>
        </w:rPr>
        <w:t>.</w:t>
      </w:r>
    </w:p>
    <w:p>
      <w:pPr>
        <w:pStyle w:val="Heading6"/>
        <w:numPr>
          <w:ilvl w:val="5"/>
          <w:numId w:val="1"/>
        </w:numPr>
        <w:rPr/>
      </w:pPr>
      <w:bookmarkStart w:id="414" w:name="__RefHeading___Toc10478039_73709187"/>
      <w:bookmarkStart w:id="415" w:name="_Toc155"/>
      <w:bookmarkEnd w:id="414"/>
      <w:r>
        <w:rPr>
          <w:rtl w:val="true"/>
        </w:rPr>
        <w:t>الإرغام بالأنف</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الإرغام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98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القول بوجوبه، وهو الأقوى بحسب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صلاةٌ لا يصيبُ الأنف ما يصيب الجَبين</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عبد 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مَنْ سَمع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لمِن لم يُصِبْ أنفه ما يُصيب جبينه</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حملها على الاستحباب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أنّه سُنّة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واليدين، والرّكبتين، والإبهامين من الرجلين، وترغم بأنفك </w:t>
      </w:r>
    </w:p>
    <w:p>
      <w:pPr>
        <w:pStyle w:val="BookText"/>
        <w:rPr/>
      </w:pPr>
      <w:r>
        <w:rPr>
          <w:rFonts w:ascii="Amiri" w:hAnsi="Amiri" w:eastAsia="Amiri" w:cs="Amiri"/>
          <w:color w:val="111111"/>
          <w:sz w:val="28"/>
          <w:sz w:val="28"/>
          <w:szCs w:val="28"/>
          <w:rtl w:val="true"/>
          <w:lang w:bidi="ar-SA"/>
        </w:rPr>
        <w:t>إرغاماً، أمّا الفرض فهذه السبعة، وأمّا الإرغام بالأنف فسُنّة من النبيّ صلى الله عليه و آله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الأنف على الأرض سُنّة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مادلّ على أنّ السّجودعلى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المتقدّم، 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خبرمحمّدبن مصادف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السّجود على الجبهة، وليس على الأنف سجود</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وغيرها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السُنّة تُطلق على معنيين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فرضاً من النبيّ صلى الله عليه و آله في مقابل ماكان فرضاً في الكتاب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ندّع ظهورها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عند المقابلة بالفرض، والتقييد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أقلّ من الإجمال، فلا تصلح النصوص المتضمّنة للسُنّة، لصرف ما يكون ظاهراً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تدلّ عليه هذه النصوص، عدم كونه جزءً للسّجود، وهذا لا ينافي كونه واجباً آخراً وجزءً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ذلك يكون الفرق بينه وبين السبعة المذكورة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مأخوذة في السّجدة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قبل اللّه تعالى‌، وهو من قبل النبيّ صلى الله عليه و آله، مع أنّ الظاهر من النصوص المصرّحة بأنّه سُنّة من النبيّ صلى الله عليه و آله، عدم التفاوت بينه وبين سائر المساجد، إلّامن جهة أنّها فرض اللّه تعالى‌، وهذا سُنّةٌ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النصوص بما أنّه لا مفهوم لها، وليست في مقام الحصر، فلا تدلّ على عدم الفرق بين الإرغام وسائر المساجد من غير الجهة المتضمّنة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حكمه بما ذكرناه، مضافاً إلى احتمال إرادة عدم كون الإرغام ركناً في السّجود كالجَبهة، فيكون كسائر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لبعض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ما ذهب إليه الصدوق، إلّاأنّ مخالفة الأعاظم والمحقّقين مشكلة، وطريقُ الاحتياط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العناوين المذكورة في النصوص، وإنْ هي مختلفة،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الأنف ما يُصيب 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الظاهر أنّ المراد واحد، لاجتماع الثلاثة في صحيح حمّاد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معنى الإرغام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إرغام الأنف معناه وضعه على الرّغام وهو التراب، إلّا أنّ المحكيّ عن جماعةٍ من الفقهاء</w:t>
      </w:r>
      <w:r>
        <w:rPr>
          <w:rStyle w:val="FootnoteAnchor"/>
          <w:rtl w:val="true"/>
        </w:rPr>
        <w:footnoteReference w:id="994"/>
      </w:r>
      <w:r>
        <w:rPr>
          <w:rFonts w:ascii="Amiri" w:hAnsi="Amiri" w:eastAsia="Amiri" w:cs="Amiri"/>
          <w:color w:val="111111"/>
          <w:sz w:val="28"/>
          <w:sz w:val="28"/>
          <w:szCs w:val="28"/>
          <w:rtl w:val="true"/>
          <w:lang w:bidi="ar-SA"/>
        </w:rPr>
        <w:t>التصريح بكفاية وضع الأنف على مطلق ما يصحّ السّجود عليه، وهو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موثّق عمّار، والمرسل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أنّ السّجود على الخُمرة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تضمّن مواظبتهم على استعمالها، وهي سجّادة صغيرة معمولة من السَّعف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المتبادر من الموثّق والمرسل اعتبار المماثلة بين ما يُسجَد عليه وما يصيبه الأنف، ممّا يصحّ السّجود عليه،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الأنف، عدم الفرق بين الطرف الأعلى والطرف الأسفل، كما هو المشهور</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996"/>
      </w:r>
      <w:r>
        <w:rPr>
          <w:rFonts w:ascii="Amiri" w:hAnsi="Amiri" w:eastAsia="Amiri" w:cs="Amiri"/>
          <w:color w:val="111111"/>
          <w:sz w:val="28"/>
          <w:sz w:val="28"/>
          <w:szCs w:val="28"/>
          <w:rtl w:val="true"/>
          <w:lang w:bidi="ar-SA"/>
        </w:rPr>
        <w:t>والحِلّي</w:t>
      </w:r>
      <w:r>
        <w:rPr>
          <w:rStyle w:val="FootnoteAnchor"/>
          <w:rtl w:val="true"/>
        </w:rPr>
        <w:footnoteReference w:id="997"/>
      </w:r>
      <w:r>
        <w:rPr>
          <w:rFonts w:ascii="Amiri" w:hAnsi="Amiri" w:eastAsia="Amiri" w:cs="Amiri"/>
          <w:color w:val="111111"/>
          <w:sz w:val="28"/>
          <w:sz w:val="28"/>
          <w:szCs w:val="28"/>
          <w:rtl w:val="true"/>
          <w:lang w:bidi="ar-SA"/>
        </w:rPr>
        <w:t>التخصيص بالأوّل، واستدلّ له بخبر عبد اللّه بن الفضل،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دخل على الإمام الكاظم عليه السلام وكان يقرض اللّحم من جبينه وعرنين أنفه من كثرة السّجود</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الأنف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تعيينه،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بالثاني، واستدلّ بانصراف المطلقات إليه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انصرافها بدويٌ منشأه غلبة الوجود، فلا يعبأ به</w:t>
      </w:r>
      <w:r>
        <w:rPr>
          <w:rFonts w:eastAsia="Amiri" w:cs="Amiri" w:ascii="Amiri" w:hAnsi="Amiri"/>
          <w:color w:val="111111"/>
          <w:sz w:val="28"/>
          <w:szCs w:val="28"/>
          <w:rtl w:val="true"/>
          <w:lang w:bidi="ar-SA"/>
        </w:rPr>
        <w:t xml:space="preserve">.). </w:t>
      </w:r>
      <w:bookmarkStart w:id="416" w:name="pg11800_97058"/>
    </w:p>
    <w:p>
      <w:pPr>
        <w:pStyle w:val="BookText"/>
        <w:rPr/>
      </w:pPr>
      <w:bookmarkEnd w:id="416"/>
      <w:r>
        <w:rPr>
          <w:rFonts w:ascii="Amiri" w:hAnsi="Amiri" w:eastAsia="Amiri" w:cs="Amiri"/>
          <w:color w:val="111111"/>
          <w:sz w:val="28"/>
          <w:sz w:val="28"/>
          <w:szCs w:val="28"/>
          <w:rtl w:val="true"/>
          <w:lang w:bidi="ar-SA"/>
        </w:rPr>
        <w:t>والدُّعاء والتسبيح الزائد، والطمأنينة عقيب رفعه من الثانية</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0478041_73709187"/>
      <w:bookmarkStart w:id="418" w:name="_Toc156"/>
      <w:bookmarkEnd w:id="417"/>
      <w:r>
        <w:rPr>
          <w:rtl w:val="true"/>
        </w:rPr>
        <w:t>الدُّعاء</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عبد اللّه بن هلال،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أبي عبد اللّه عليه السلام تفرّق أموالنا، وما دخل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بالدُّعاء وأنتَ ساجد، فإنّ أقرب ما يكون العبدُ إلى اللّه تعالى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 في الفريضة واُسمّي حاجتي‌؟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ذلك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زيد الشّحام،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في طلب الرزق في المكتوبة وأنتَ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 ويا خير المُعطين، اُرزقني وارزق عيالي من فضلك، فإنّك ذُو الفضل العظيم</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 w:name="__RefHeading___Toc10478043_73709187"/>
      <w:bookmarkStart w:id="420" w:name="_Toc157"/>
      <w:bookmarkEnd w:id="419"/>
      <w:r>
        <w:rPr>
          <w:rtl w:val="true"/>
        </w:rPr>
        <w:t>التسبيح الزائد</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التسبيحة الُمجزية، على حسب ما عرفته في الرّكوع</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0478045_73709187"/>
      <w:bookmarkStart w:id="422" w:name="_Toc158"/>
      <w:bookmarkEnd w:id="421"/>
      <w:r>
        <w:rPr>
          <w:rtl w:val="true"/>
        </w:rPr>
        <w:t>جِلْسة الإستراحة</w:t>
      </w:r>
      <w:bookmarkEnd w:id="4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الطُمأنينة عقيب رفعه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الجلوس عقيبها مطمئنّاً، ويُسمّى ذلك بجِلْسة الإستراحة، والمشهور بين </w:t>
      </w:r>
    </w:p>
    <w:p>
      <w:pPr>
        <w:pStyle w:val="BookText"/>
        <w:rPr/>
      </w:pPr>
      <w:r>
        <w:rPr>
          <w:rFonts w:ascii="IRNazanin" w:hAnsi="IRNazanin" w:eastAsia="IRNazanin"/>
          <w:color w:val="111111"/>
          <w:sz w:val="28"/>
          <w:sz w:val="28"/>
          <w:szCs w:val="28"/>
          <w:rtl w:val="true"/>
          <w:lang w:bidi="fa-IR"/>
        </w:rPr>
        <w:t>الأصحاب</w:t>
      </w:r>
      <w:r>
        <w:rPr>
          <w:rStyle w:val="FootnoteAnchor"/>
          <w:rtl w:val="true"/>
        </w:rPr>
        <w:footnoteReference w:id="1002"/>
      </w:r>
      <w:r>
        <w:rPr>
          <w:rFonts w:ascii="IRNazanin" w:hAnsi="IRNazanin" w:eastAsia="IRNazanin"/>
          <w:color w:val="111111"/>
          <w:sz w:val="28"/>
          <w:sz w:val="28"/>
          <w:szCs w:val="28"/>
          <w:rtl w:val="true"/>
          <w:lang w:bidi="fa-IR"/>
        </w:rPr>
        <w:t>استحبابها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003"/>
      </w:r>
      <w:r>
        <w:rPr>
          <w:rFonts w:ascii="Amiri" w:hAnsi="Amiri" w:eastAsia="Amiri" w:cs="Amiri"/>
          <w:color w:val="111111"/>
          <w:sz w:val="28"/>
          <w:sz w:val="28"/>
          <w:szCs w:val="28"/>
          <w:rtl w:val="true"/>
          <w:lang w:bidi="ar-SA"/>
        </w:rPr>
        <w:t>وظاهر جماعةٍ من القدماء كالصدوق</w:t>
      </w:r>
      <w:r>
        <w:rPr>
          <w:rStyle w:val="FootnoteAnchor"/>
          <w:rtl w:val="true"/>
        </w:rPr>
        <w:footnoteReference w:id="1004"/>
      </w:r>
      <w:r>
        <w:rPr>
          <w:rFonts w:ascii="Amiri" w:hAnsi="Amiri" w:eastAsia="Amiri" w:cs="Amiri"/>
          <w:color w:val="111111"/>
          <w:sz w:val="28"/>
          <w:sz w:val="28"/>
          <w:szCs w:val="28"/>
          <w:rtl w:val="true"/>
          <w:lang w:bidi="ar-SA"/>
        </w:rPr>
        <w:t>والإسكافي</w:t>
      </w:r>
      <w:r>
        <w:rPr>
          <w:rStyle w:val="FootnoteAnchor"/>
          <w:rtl w:val="true"/>
        </w:rPr>
        <w:footnoteReference w:id="1005"/>
      </w:r>
      <w:r>
        <w:rPr>
          <w:rFonts w:ascii="Amiri" w:hAnsi="Amiri" w:eastAsia="Amiri" w:cs="Amiri"/>
          <w:color w:val="111111"/>
          <w:sz w:val="28"/>
          <w:sz w:val="28"/>
          <w:szCs w:val="28"/>
          <w:rtl w:val="true"/>
          <w:lang w:bidi="ar-SA"/>
        </w:rPr>
        <w:t>وابن أبي عقيل</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بوجوبها، ومالَ إليه كاشف اللّثام</w:t>
      </w:r>
      <w:r>
        <w:rPr>
          <w:rStyle w:val="FootnoteAnchor"/>
          <w:rtl w:val="true"/>
        </w:rPr>
        <w:footnoteReference w:id="1007"/>
      </w:r>
      <w:r>
        <w:rPr>
          <w:rFonts w:ascii="IRNazanin" w:hAnsi="IRNazanin" w:eastAsia="IRNazanin"/>
          <w:color w:val="111111"/>
          <w:sz w:val="28"/>
          <w:sz w:val="28"/>
          <w:szCs w:val="28"/>
          <w:rtl w:val="true"/>
          <w:lang w:bidi="fa-IR"/>
        </w:rPr>
        <w:t xml:space="preserve">،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008"/>
      </w:r>
      <w:r>
        <w:rPr>
          <w:rFonts w:ascii="Amiri" w:hAnsi="Amiri" w:eastAsia="Amiri" w:cs="Amiri"/>
          <w:color w:val="111111"/>
          <w:sz w:val="28"/>
          <w:sz w:val="28"/>
          <w:szCs w:val="28"/>
          <w:rtl w:val="true"/>
          <w:lang w:bidi="ar-SA"/>
        </w:rPr>
        <w:t>، لظاهر الأمر الوارد في موثّقة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السّجدة الثانية من الرّكعة الاُولى، حين تُريد أن تقوم فاستوِ جالساً ثمّ قُم</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عمدة ما استدلّ به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الآمرة بالجلوس، المُعلّلة بأنّ من يفعل خلاف ذلك فهو من أهل الجفاء، كما في رواية الشيخ عن الأصبغ</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بأنّه وقارُ المؤمن الخاشع لربّه، كما في الخبر عن زيد النرسي</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من توقير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ذلك من فعلهم عليهم السلام، كما في خبر الأصبغ وأبي بصير</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فعل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فلاتدلّ على الوجوب، لو لم نقل بظهورها لأجل هذه التعليلات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الموثّقة فهي معارضة بما رواه الشيخ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وأبا عبد اللّه عليهما السلام إذا رفعا رؤوسهما من السّجدة الثانية، نهضا ولم يجلسا</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ومقتضى الجمع العرفي بينهما، حمل الأمر في الموثّقة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خبر زرارة، بناؤهما على ذلك دائماً، وهو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مرجوحيّته الّتي لا ريب فيها صراحة الروايات المتعدّدة، بأنّ بناءهم على الجلوس قبل القيام، وعدّهم عليهم السلام التارك له من أهل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يوجبُ الخدشة في سند الرواية ودلالتها، بل يصرف عن ظاهرها، وتُحمل على رؤية زرارة فعلهما في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يورد عليه؛ بأنّ فعلهما عليهما السلام لعلّه كان في مورد التقيّة، فلا يدلّ على الجواز في غير موردها، فتأمّل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رحيم،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أراك إذا صلّيت فرفعتَ رأسك من السّجود في الرّكعة الاُولى والثالثة، فتستوي جالساً، ثمّ تقوم فنصنع كما تصنع‌؟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ما أصنع أنا، اصنعوا ما تؤمرون</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عدم الوجوب، لأنّه يظهر منه أنّ بناء أصحابه عليه السلام لم يكن على الفعل، بل كانوا يتركونها، وهو عليه السلام قرّرهم على ذلك، وقال لا تنظروا إلى فعلنا، فإنّه أعمٌّ من الوجوب، اصنعوا ما تؤمرون، بمعنى أنّ فعلكم يكون على النحو الذي أمرتم به، فإنْ كان الأمر وجوبيّاً لا تتركوه ودأوموا على الفعل، وإنْ كان استحبابيّاً فانتم مخيّرون في الفعل والترك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لا تفعلوا ما تشاهدون على سبيل الوجوب، ولكن اصنعوا ما تؤمرون به، والأمر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يدلّ على أنّ جِلْسة الاستراحة كانت عند الراوي مستحبّة، فلمّا رأى التزامه عليه السلام بالفعل، توهّم وجوبها، فردعه عليه السلام عن توهّمه، وقرّر ما كان يراه من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الذي ذكرناه يندفع ما عن جماعةٍ من المحقّقين رحمه الله</w:t>
      </w:r>
      <w:r>
        <w:rPr>
          <w:rStyle w:val="FootnoteAnchor"/>
          <w:rtl w:val="true"/>
        </w:rPr>
        <w:footnoteReference w:id="1016"/>
      </w:r>
      <w:r>
        <w:rPr>
          <w:rFonts w:ascii="Amiri" w:hAnsi="Amiri" w:eastAsia="Amiri" w:cs="Amiri"/>
          <w:color w:val="111111"/>
          <w:sz w:val="28"/>
          <w:sz w:val="28"/>
          <w:szCs w:val="28"/>
          <w:rtl w:val="true"/>
          <w:lang w:bidi="ar-SA"/>
        </w:rPr>
        <w:t>من حمل الرواية على التقيّة، بدعوى أنّه لا شُبهة في مرجوحيّة ترك الجلوس، فلم يكن أمرهم به وإلزامهم في هذا الخبر بموافقة ذلك الأمر، إلّالأجل التقيّة، فبقرينة هذه الرواية تُرفع اليد عن ظهور الموثّقة في الوجوب، وتُحمل على الاستحباب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23" w:name="pg11800_97062"/>
    </w:p>
    <w:p>
      <w:pPr>
        <w:pStyle w:val="BookText"/>
        <w:rPr/>
      </w:pPr>
      <w:bookmarkEnd w:id="423"/>
      <w:r>
        <w:rPr>
          <w:rFonts w:ascii="Amiri" w:hAnsi="Amiri" w:eastAsia="Amiri" w:cs="Amiri"/>
          <w:color w:val="111111"/>
          <w:sz w:val="28"/>
          <w:sz w:val="28"/>
          <w:szCs w:val="28"/>
          <w:rtl w:val="true"/>
          <w:lang w:bidi="ar-SA"/>
        </w:rPr>
        <w:t>والدُّعاء بينهما، والقيام معتمداً على يديه سابقاً برفع رُكبتيه</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0478047_73709187"/>
      <w:bookmarkStart w:id="425" w:name="_Toc159"/>
      <w:bookmarkEnd w:id="424"/>
      <w:r>
        <w:rPr>
          <w:rtl w:val="true"/>
        </w:rPr>
        <w:t>الدُّعاء بينهما</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بالمأثور، وهو ما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رفعتَ رأسك فقل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وأجرني، وادفع عنّي، فإنّي لما أنزلت إليّ من خيرٍ فقير، تبارك اللّه ربّ العالمين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10478049_73709187"/>
      <w:bookmarkStart w:id="427" w:name="_Toc160"/>
      <w:bookmarkEnd w:id="426"/>
      <w:r>
        <w:rPr>
          <w:rtl w:val="true"/>
        </w:rPr>
        <w:t>الاستغفار بين السَّجدتين</w:t>
      </w:r>
      <w:bookmarkEnd w:id="427"/>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بين السَّجدتين، لما ورد في صحيح حمّاد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من السّجود،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وقال استغفر اللّه ربّي وأتوب إليه، ثمّ كبّر</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0478051_73709187"/>
      <w:bookmarkStart w:id="429" w:name="_Toc161"/>
      <w:bookmarkEnd w:id="428"/>
      <w:r>
        <w:rPr>
          <w:rtl w:val="true"/>
        </w:rPr>
        <w:t>القيام معتمداً على يديه</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معتمداً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من الرّكعة، فاعتمد على كفّيك</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10478053_73709187"/>
      <w:bookmarkStart w:id="431" w:name="_Toc162"/>
      <w:bookmarkEnd w:id="430"/>
      <w:r>
        <w:rPr>
          <w:rtl w:val="true"/>
        </w:rPr>
        <w:t>أن يقوم سابقاً برفع ركبتيه</w:t>
      </w:r>
      <w:bookmarkEnd w:id="431"/>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برفع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الى الإجماع المحكيّ عن جماعةٍ‌</w:t>
      </w:r>
      <w:r>
        <w:rPr>
          <w:rStyle w:val="FootnoteAnchor"/>
          <w:rtl w:val="true"/>
        </w:rPr>
        <w:footnoteReference w:id="1019"/>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يضع يديه قبل ركبتيه إذا سجد، وإذا أراد أن يقوم رفع ركبتيه قبل يديه</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0478055_73709187"/>
      <w:bookmarkStart w:id="433" w:name="_Toc163"/>
      <w:bookmarkEnd w:id="432"/>
      <w:r>
        <w:rPr>
          <w:rtl w:val="true"/>
        </w:rPr>
        <w:t>أن يصلّي على النبيّ وآله في السَّجدتين</w:t>
      </w:r>
      <w:bookmarkEnd w:id="433"/>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النبيّ وآله في السَّجدتين، كما عرفته في الرّكوع</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10478057_73709187"/>
      <w:bookmarkStart w:id="435" w:name="_Toc164"/>
      <w:bookmarkEnd w:id="434"/>
      <w:r>
        <w:rPr>
          <w:rtl w:val="true"/>
        </w:rPr>
        <w:t>أن يدعو بالمأثور حال النهوض إلى القيام</w:t>
      </w:r>
      <w:bookmarkEnd w:id="435"/>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بالمأثور حال النهوض إلى القيام، ويدلّ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من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436" w:name="pg11800_97063"/>
    </w:p>
    <w:p>
      <w:pPr>
        <w:pStyle w:val="BookText"/>
        <w:rPr/>
      </w:pPr>
      <w:bookmarkEnd w:id="436"/>
      <w:r>
        <w:rPr>
          <w:rFonts w:ascii="Amiri" w:hAnsi="Amiri" w:eastAsia="Amiri" w:cs="Amiri"/>
          <w:color w:val="111111"/>
          <w:sz w:val="28"/>
          <w:sz w:val="28"/>
          <w:szCs w:val="28"/>
          <w:rtl w:val="true"/>
          <w:lang w:bidi="ar-SA"/>
        </w:rPr>
        <w:t>بحولكَ وقوّتك أقومُ وأقعد وأركعُ وأسجد</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ربّي بحولك وقوّتك أقوم وأقعد، وإنْ شئتَ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وأركع وأسجد</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سعد الجلّاب،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يبرأ من القَدَريّة في كلّ ركعةٍ‌،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في خبري الحَضْرميّ‌</w:t>
      </w:r>
      <w:r>
        <w:rPr>
          <w:rStyle w:val="FootnoteAnchor"/>
          <w:rtl w:val="true"/>
        </w:rPr>
        <w:footnoteReference w:id="1024"/>
      </w:r>
      <w:r>
        <w:rPr>
          <w:rFonts w:ascii="Amiri" w:hAnsi="Amiri" w:eastAsia="Amiri" w:cs="Amiri"/>
          <w:color w:val="111111"/>
          <w:sz w:val="28"/>
          <w:sz w:val="28"/>
          <w:szCs w:val="28"/>
          <w:rtl w:val="true"/>
          <w:lang w:bidi="ar-SA"/>
        </w:rPr>
        <w:t>، وأبي بصير</w:t>
      </w:r>
      <w:r>
        <w:rPr>
          <w:rStyle w:val="FootnoteAnchor"/>
          <w:rtl w:val="true"/>
        </w:rPr>
        <w:footnoteReference w:id="1025"/>
      </w:r>
      <w:r>
        <w:rPr>
          <w:rFonts w:ascii="Amiri" w:hAnsi="Amiri" w:eastAsia="Amiri" w:cs="Amiri"/>
          <w:color w:val="111111"/>
          <w:sz w:val="28"/>
          <w:sz w:val="28"/>
          <w:szCs w:val="28"/>
          <w:rtl w:val="true"/>
          <w:lang w:bidi="ar-SA"/>
        </w:rPr>
        <w:t>، وصحيح ابن مسلم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10478059_73709187"/>
      <w:bookmarkStart w:id="438" w:name="_Toc165"/>
      <w:bookmarkEnd w:id="437"/>
      <w:r>
        <w:rPr>
          <w:rtl w:val="true"/>
        </w:rPr>
        <w:t>التورّك في الجلوس بين السَّجدتين</w:t>
      </w:r>
      <w:bookmarkEnd w:id="438"/>
    </w:p>
    <w:p>
      <w:pPr>
        <w:pStyle w:val="BookText"/>
        <w:rPr/>
      </w:pPr>
      <w:r>
        <w:rPr>
          <w:rFonts w:ascii="Amiri" w:hAnsi="Amiri" w:eastAsia="Amiri" w:cs="Amiri"/>
          <w:color w:val="111111"/>
          <w:sz w:val="28"/>
          <w:sz w:val="28"/>
          <w:szCs w:val="28"/>
          <w:rtl w:val="true"/>
          <w:lang w:bidi="ar-SA"/>
        </w:rPr>
        <w:t>الأمر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في الجلوس بين السَّجدتين، وهو أنْ يجلس على فَخِذه الأيسر، جاعلاً ظهر القدم اليمنى في باطن اليسرى‌،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قَعَد عليه السلام على فَخِذه الأيسر، قد وضع قدمه الأيمن على باطن قدمه الأيسر،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وقريبٌ منه خبر أبي بصير</w:t>
      </w:r>
      <w:r>
        <w:rPr>
          <w:rFonts w:eastAsia="Amiri" w:cs="Amiri" w:ascii="Amiri" w:hAnsi="Amiri"/>
          <w:color w:val="111111"/>
          <w:sz w:val="28"/>
          <w:szCs w:val="28"/>
          <w:rtl w:val="true"/>
          <w:lang w:bidi="ar-SA"/>
        </w:rPr>
        <w:t>.</w:t>
      </w:r>
      <w:bookmarkStart w:id="439" w:name="pg11800_97064"/>
    </w:p>
    <w:p>
      <w:pPr>
        <w:pStyle w:val="BookText"/>
        <w:rPr/>
      </w:pPr>
      <w:bookmarkEnd w:id="439"/>
      <w:r>
        <w:rPr>
          <w:rFonts w:ascii="Amiri" w:hAnsi="Amiri" w:eastAsia="Amiri" w:cs="Amiri"/>
          <w:color w:val="111111"/>
          <w:sz w:val="28"/>
          <w:sz w:val="28"/>
          <w:szCs w:val="28"/>
          <w:rtl w:val="true"/>
          <w:lang w:bidi="ar-SA"/>
        </w:rPr>
        <w:t>ويُكره الإقعاء</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10478061_73709187"/>
      <w:bookmarkStart w:id="441" w:name="_Toc166"/>
      <w:bookmarkEnd w:id="440"/>
      <w:r>
        <w:rPr>
          <w:rtl w:val="true"/>
        </w:rPr>
        <w:t>مكروهات السّجود</w:t>
      </w:r>
      <w:bookmarkEnd w:id="441"/>
    </w:p>
    <w:p>
      <w:pPr>
        <w:pStyle w:val="Heading6"/>
        <w:numPr>
          <w:ilvl w:val="5"/>
          <w:numId w:val="1"/>
        </w:numPr>
        <w:rPr/>
      </w:pPr>
      <w:bookmarkStart w:id="442" w:name="__RefHeading___Toc10478063_73709187"/>
      <w:bookmarkStart w:id="443" w:name="_Toc167"/>
      <w:bookmarkEnd w:id="442"/>
      <w:r>
        <w:rPr>
          <w:rtl w:val="true"/>
        </w:rPr>
        <w:t>اشارة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الجلوس بين السَّجدتين، كما هو المشهور</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بين السَّجدتين إقعاءً‌</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ومضمر معاوية وابن مسلم، والحلبي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الصلاة بين السَّجدتين كإقعاء الكلب</w:t>
      </w:r>
      <w:r>
        <w:rPr>
          <w:rFonts w:eastAsia="Amiri" w:cs="Amiri" w:ascii="Amiri" w:hAnsi="Amiri"/>
          <w:color w:val="111111"/>
          <w:sz w:val="28"/>
          <w:szCs w:val="28"/>
          <w:rtl w:val="true"/>
          <w:lang w:bidi="ar-SA"/>
        </w:rPr>
        <w:t>»</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وإنْ كان المنع، إلّاأنّها تُحمل على الكراهة، جمعاً بينها وبين الخبر الصحيح الذي رواه زرارة عن الإمام الباقر عليه السلام،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بالإقعاء بين السَّجدتين، ولا ينبغي الإقعاء في التشهّد، إنّما التشهّد في الجلوس، وليس المُقعِي بجالس</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ومصحّح ابن أبي عُمير، عن عمرو بن جميع، قال أبو عبد اللّه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بالإقعاء في الصَّلاة بين السَّجدتين، وبين الرّكعة الاُولى والثانية، وبين الرّكعة الثالثة والرابعة، وإذا أجلسكَ الإمامُ في موضعٍ يجبُ أن تقوم فيه تتجافى‌، </w:t>
      </w:r>
      <w:bookmarkStart w:id="444" w:name="pg11800_97065"/>
    </w:p>
    <w:p>
      <w:pPr>
        <w:pStyle w:val="BookText"/>
        <w:rPr/>
      </w:pPr>
      <w:bookmarkEnd w:id="444"/>
      <w:r>
        <w:rPr>
          <w:rFonts w:ascii="Amiri" w:hAnsi="Amiri" w:eastAsia="Amiri" w:cs="Amiri"/>
          <w:color w:val="111111"/>
          <w:sz w:val="28"/>
          <w:sz w:val="28"/>
          <w:szCs w:val="28"/>
          <w:rtl w:val="true"/>
          <w:lang w:bidi="ar-SA"/>
        </w:rPr>
        <w:t>ولا يجوز الإقعاء في موضع التشهّدين إلّامن علّةٍ‌، لأنّ المُقْعِي ليس بجالس، إنّما جلس بعضه على بعضٍ‌، والإقعاء أنْ يضع الرّجل إلييه على عقبيه في تشهّديه، فأمّا الأكل مقعياً، فلا بأس به، لأنّ رسول اللّه صلى الله عليه و آله قد أكل مُقعياً</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هذين الخبرين، المنع عن الإقعاء في التشهّد، كما عن الصدوق</w:t>
      </w:r>
      <w:r>
        <w:rPr>
          <w:rStyle w:val="FootnoteAnchor"/>
          <w:rtl w:val="true"/>
        </w:rPr>
        <w:footnoteReference w:id="1033"/>
      </w:r>
      <w:r>
        <w:rPr>
          <w:rFonts w:ascii="Amiri" w:hAnsi="Amiri" w:eastAsia="Amiri" w:cs="Amiri"/>
          <w:color w:val="111111"/>
          <w:sz w:val="28"/>
          <w:sz w:val="28"/>
          <w:szCs w:val="28"/>
          <w:rtl w:val="true"/>
          <w:lang w:bidi="ar-SA"/>
        </w:rPr>
        <w:t>والشيخ</w:t>
      </w:r>
      <w:r>
        <w:rPr>
          <w:rStyle w:val="FootnoteAnchor"/>
          <w:rtl w:val="true"/>
        </w:rPr>
        <w:footnoteReference w:id="1034"/>
      </w:r>
      <w:r>
        <w:rPr>
          <w:rFonts w:ascii="Amiri" w:hAnsi="Amiri" w:eastAsia="Amiri" w:cs="Amiri"/>
          <w:color w:val="111111"/>
          <w:sz w:val="28"/>
          <w:sz w:val="28"/>
          <w:szCs w:val="28"/>
          <w:rtl w:val="true"/>
          <w:lang w:bidi="ar-SA"/>
        </w:rPr>
        <w:t xml:space="preserve">الالتزام به،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وجه لحمل النهي فيهما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عنه التفصيل ما بين السَّجدتين والتشهّد، بنفي البأس في الأوّل والنهي في الثاني، مع كراهة الإقعاء في الأوّل، ولأجل ذلك لو سُلّم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في نفسه، يتعيّن حمله على المنع، مع أنّ للمنع عن ظهوره فيها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تعيّن حمل النهي فيهما أيضاً على الكراهة، والتفصيل بين الموردين على شدّة الكراهة في الثاني، وخِفّتها في الأوّل، لظهور التعليل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والقعود على قدميك فتتأذّى بذلك، ولا تكن قاعداً على الأرض، فيكون إنّما قعد بعضك على بعض، فلا تصبر للتشهّد والدُّعاء، في الكراهة</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10478065_73709187"/>
      <w:bookmarkStart w:id="446" w:name="_Toc168"/>
      <w:bookmarkEnd w:id="445"/>
      <w:r>
        <w:rPr>
          <w:rtl w:val="true"/>
        </w:rPr>
        <w:t>معنى الإقعاء</w:t>
      </w:r>
      <w:bookmarkEnd w:id="44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والإقعاء على ما نُسِب إلى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Style w:val="FootnoteAnchor"/>
          <w:rtl w:val="true"/>
        </w:rPr>
        <w:footnoteReference w:id="1038"/>
      </w:r>
      <w:r>
        <w:rPr>
          <w:rFonts w:ascii="Amiri" w:hAnsi="Amiri" w:eastAsia="Amiri" w:cs="Amiri"/>
          <w:color w:val="111111"/>
          <w:sz w:val="28"/>
          <w:sz w:val="28"/>
          <w:szCs w:val="28"/>
          <w:rtl w:val="true"/>
          <w:lang w:bidi="ar-SA"/>
        </w:rPr>
        <w:t>وغيرها</w:t>
      </w:r>
      <w:r>
        <w:rPr>
          <w:rStyle w:val="FootnoteAnchor"/>
          <w:rtl w:val="true"/>
        </w:rPr>
        <w:footnoteReference w:id="1039"/>
      </w:r>
      <w:r>
        <w:rPr>
          <w:rFonts w:ascii="Amiri" w:hAnsi="Amiri" w:eastAsia="Amiri" w:cs="Amiri"/>
          <w:color w:val="111111"/>
          <w:sz w:val="28"/>
          <w:sz w:val="28"/>
          <w:szCs w:val="28"/>
          <w:rtl w:val="true"/>
          <w:lang w:bidi="ar-SA"/>
        </w:rPr>
        <w:t>، هو أن يعتمد بصدور قدميه على الأرض، ويجلس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اللّغويون</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يَجلس على إليتيه، وينصب ساقيه، ويتساندإليظهره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المنهي عنه هو المعنى الأوّل دون الثاني، وذلك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اتّفاق الفقهاء عليه على ما 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ذيل مصحّح ابن أبي عُمير المتقدّم من تفسيره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في صحيح زرارة وغيره بأنّ المُقْعِي ليس بجالسٍ‌، وإنّما قعد بعضه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على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الإقعاء على القدمين يناسب هذا المعنى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الظاهر ورود هذه النصوص ردّاً على العامّة، حيث إنّهم يرون استحبابه بهذا المعنى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بعض هذه الوجوه، وإنْ كان في نفسه لا يدلّ على تعيّن إرادة هذا المعنى منه، إلّاأنّ ملاحظة مجموعها توجب الاطمئنان بإرادته منها دون المعنى الثاني، وما تضمّن تشبيهه بإقعاء الكلب لا يكون ظاهراً في المعنى اللّغوي، إذ المعنى المنسوب إلى الفقهاء أشبه به من المعنى المذكور، إذ الكلبُ يفترش ساقيه وفَخِذيه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وعليه، فما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من كراهة الإقعاء بالمعنى الثاني أيضاً، واستدلّ له بما تضمّن تشبيهه بإقعاء الكلب،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موضع السّجود، كما نُسِب إلى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مسلم،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ينفخ في الصَّلاة موضع جبهته‌؟ قال عليه السلام لا</w:t>
      </w:r>
      <w:r>
        <w:rPr>
          <w:rFonts w:eastAsia="Amiri" w:cs="Amiri" w:ascii="Amiri" w:hAnsi="Amiri"/>
          <w:color w:val="111111"/>
          <w:sz w:val="28"/>
          <w:szCs w:val="28"/>
          <w:rtl w:val="true"/>
          <w:lang w:bidi="ar-SA"/>
        </w:rPr>
        <w:t>»</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المحمول كلّها على الكراهة، للإجماع على عدم المنع عنه، ولما في صحيح 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فينفخ في موضع جبهته‌؟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إنّما يكره ذلك أن يؤذي من إلى جانبه</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عدم الكراهة من جهة الصَّلاة، واختصاصها بما إذا كان إلى جانبه من يؤذيه ذلك، وبه يخصّص إطلاق ما تضمّن النهي عنه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رفع اليدين من الأرض بين السَّجدتين، لما عن جامع البزنطي،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يسجد، ثمّ لا يرفع يديه من الأرض، بل يسجد الثانية، هل يصلح له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صلاته</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الكراهة للإجماع على عدم المنع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المكروه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القران في السّجود لخبر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يقرأون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القاسم بن 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نهيتُ عن القراءة في الرّكوع والسّجود، فأمّا الرّكوع فعظّموا اللّه تعالى فيه، وأمّا السّجود فأكثروا فيه الدُّعاء</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47" w:name="pg11800_97069"/>
    </w:p>
    <w:p>
      <w:pPr>
        <w:pStyle w:val="Heading6"/>
        <w:numPr>
          <w:ilvl w:val="5"/>
          <w:numId w:val="1"/>
        </w:numPr>
        <w:rPr/>
      </w:pPr>
      <w:bookmarkStart w:id="448" w:name="__RefHeading___Toc10478067_73709187"/>
      <w:bookmarkStart w:id="449" w:name="_Toc169"/>
      <w:bookmarkEnd w:id="447"/>
      <w:bookmarkEnd w:id="448"/>
      <w:r>
        <w:rPr>
          <w:rtl w:val="true"/>
        </w:rPr>
        <w:t>سجودُ العَزيمة</w:t>
      </w:r>
      <w:bookmarkEnd w:id="449"/>
    </w:p>
    <w:p>
      <w:pPr>
        <w:pStyle w:val="Heading6"/>
        <w:numPr>
          <w:ilvl w:val="5"/>
          <w:numId w:val="1"/>
        </w:numPr>
        <w:rPr/>
      </w:pPr>
      <w:bookmarkStart w:id="450" w:name="__RefHeading___Toc10478069_73709187"/>
      <w:bookmarkStart w:id="451" w:name="_Toc170"/>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على مَنْ قرأ إحدى آياته الأربع، في السّور الأربع الّتي تُسمّى بالعزائم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جماعةٍ كثيرة، كالشيخ</w:t>
      </w:r>
      <w:r>
        <w:rPr>
          <w:rStyle w:val="FootnoteAnchor"/>
          <w:rtl w:val="true"/>
        </w:rPr>
        <w:footnoteReference w:id="1049"/>
      </w:r>
      <w:r>
        <w:rPr>
          <w:rFonts w:ascii="IRNazanin" w:hAnsi="IRNazanin" w:eastAsia="IRNazanin"/>
          <w:color w:val="111111"/>
          <w:sz w:val="28"/>
          <w:sz w:val="28"/>
          <w:szCs w:val="28"/>
          <w:rtl w:val="true"/>
          <w:lang w:bidi="fa-IR"/>
        </w:rPr>
        <w:t>، والمصنّف رحمه الله</w:t>
      </w:r>
      <w:r>
        <w:rPr>
          <w:rStyle w:val="FootnoteAnchor"/>
          <w:rtl w:val="true"/>
        </w:rPr>
        <w:footnoteReference w:id="1050"/>
      </w:r>
      <w:r>
        <w:rPr>
          <w:rFonts w:ascii="Amiri" w:hAnsi="Amiri" w:eastAsia="Amiri" w:cs="Amiri"/>
          <w:color w:val="111111"/>
          <w:sz w:val="28"/>
          <w:sz w:val="28"/>
          <w:szCs w:val="28"/>
          <w:rtl w:val="true"/>
          <w:lang w:bidi="ar-SA"/>
        </w:rPr>
        <w:t>، والشهيد</w:t>
      </w:r>
      <w:r>
        <w:rPr>
          <w:rStyle w:val="FootnoteAnchor"/>
          <w:rtl w:val="true"/>
        </w:rPr>
        <w:footnoteReference w:id="1051"/>
      </w:r>
      <w:r>
        <w:rPr>
          <w:rFonts w:ascii="Amiri" w:hAnsi="Amiri" w:eastAsia="Amiri" w:cs="Amiri"/>
          <w:color w:val="111111"/>
          <w:sz w:val="28"/>
          <w:sz w:val="28"/>
          <w:szCs w:val="28"/>
          <w:rtl w:val="true"/>
          <w:lang w:bidi="ar-SA"/>
        </w:rPr>
        <w:t>، وغيرهم</w:t>
      </w:r>
      <w:r>
        <w:rPr>
          <w:rStyle w:val="FootnoteAnchor"/>
          <w:rtl w:val="true"/>
        </w:rPr>
        <w:footnoteReference w:id="105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الرّجل السّجدة وهو على غير وضوء؟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كانت من العزائم</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يُعلَّم السّورة من العزائم، فتعادُ عليه مراراً في المقعد الواحد؟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يسجد كلّما سَمِعها، وعلى الّذي يُعلّمه أيضاً أن يسجد</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يجبُ على المستمِع لها بلا خلافٍ‌</w:t>
      </w:r>
      <w:r>
        <w:rPr>
          <w:rStyle w:val="FootnoteAnchor"/>
          <w:rtl w:val="true"/>
        </w:rPr>
        <w:footnoteReference w:id="1055"/>
      </w:r>
      <w:r>
        <w:rPr>
          <w:rFonts w:ascii="Amiri" w:hAnsi="Amiri" w:eastAsia="Amiri" w:cs="Amiri"/>
          <w:color w:val="111111"/>
          <w:sz w:val="28"/>
          <w:sz w:val="28"/>
          <w:szCs w:val="28"/>
          <w:rtl w:val="true"/>
          <w:lang w:bidi="ar-SA"/>
        </w:rPr>
        <w:t xml:space="preserve">، ويشهد له صحيح ابن مسلم المتقدّم، </w:t>
      </w:r>
    </w:p>
    <w:p>
      <w:pPr>
        <w:pStyle w:val="BookText"/>
        <w:rPr/>
      </w:pPr>
      <w:r>
        <w:rPr>
          <w:rFonts w:ascii="Amiri" w:hAnsi="Amiri" w:eastAsia="Amiri" w:cs="Amiri"/>
          <w:color w:val="111111"/>
          <w:sz w:val="28"/>
          <w:sz w:val="28"/>
          <w:szCs w:val="28"/>
          <w:rtl w:val="true"/>
          <w:lang w:bidi="ar-SA"/>
        </w:rPr>
        <w:t>وغيره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من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عدم وجوب السجدة على المستمع إمّا مطلقاً، كموثّق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مع قومٍ لا يقتدي بهم، فيُصلّي لنفسه، وربما قرأوا آيةً من العزائم، فلا يسجدون فيها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بعض الأوقات، كموثّقه الآخر،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يسمعُ السّجدة في الساعة الّتي لا تستقيم الصَّلاة فيها قبل الغروب الشّمس وبعد صلاة الفجر؟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يعتمد عليه، لعدم القائل بمضمونه، فيتعيّن حمل هذه النصوص على التقيّة أو غيرها، كي لا تنافي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على القارئ والمستمع ممّا لا خلاف فيه ولا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وجوبه على السّامع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الأكثر</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جماعةٍ منهم المحقّق</w:t>
      </w:r>
      <w:r>
        <w:rPr>
          <w:rStyle w:val="FootnoteAnchor"/>
          <w:rtl w:val="true"/>
        </w:rPr>
        <w:footnoteReference w:id="1059"/>
      </w:r>
      <w:r>
        <w:rPr>
          <w:rFonts w:ascii="Amiri" w:hAnsi="Amiri" w:eastAsia="Amiri" w:cs="Amiri"/>
          <w:color w:val="111111"/>
          <w:sz w:val="28"/>
          <w:sz w:val="28"/>
          <w:szCs w:val="28"/>
          <w:rtl w:val="true"/>
          <w:lang w:bidi="ar-SA"/>
        </w:rPr>
        <w:t>، والمصنّف</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جملةٍ من النصوص، كخبر أبي بصير، عن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فسمعتها فاسجد، وإنْ كنتَ على غير وضوء</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مسلم المتقدّم،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صرفها عن ظاهرها في خصوص السّامع؛ لصحيح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سَمع سجدةً تُقرأ؟</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إلّاأنْ يكون مُنصتاً لقراءته، مستمعاً لها، أو تُصلّي بصلاته، فأمّا أنْ يكون يُصلّي في ناحيةٍ اُخرى‌، وأنتَ تُصلّي في ناحية اُخرى‌، فلا تسجد لما سمعت</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 الشهيد</w:t>
      </w:r>
      <w:r>
        <w:rPr>
          <w:rStyle w:val="FootnoteAnchor"/>
          <w:rtl w:val="true"/>
        </w:rPr>
        <w:footnoteReference w:id="1063"/>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لأنّ في الطريق محمّد بن عيسى عن يونس، وقال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على ما تفرّد به محمّد بن عيسى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يتضمّن وجوب السّجدة إذا صَلّى بصلاة التالي بها، وهو غير مستقيمٍ عندنا، إذ لا يُقرأ في الفريضة على الأصحّ‌، ولا يجوز الاقتداء في صلاة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الخدشة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الصدوق بأنّ الأصحاب يُنكرون قول ابن الوليد، ويقولون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أبي جعفر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الخدشة في الصحيحة المعمول بها بين الأصحاب 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فمندفعة بأنّ تضمّن الخبر لما لا نقول به، لا يُنافي حجيّته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اندفاع ما أُورد عليه بأنّ ظاهره التفصيل بين المأموم السامع وغيره،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الصحيح لوروده مورد توهّم الوجوب، لا يستفاد منه إلّاعدم وجوبه على السّامع، فالجمع بينه وبين النصوص المتقدّمة، الظاهرة في الوجوب، يقتضي حملها على الاستحباب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أنّه لا وجه لتقييد إطلاق النصوص، كي يترتّب عليه عدم الدليل على استحبابه للسامع، فيتمسّك بالاتّفاق له</w:t>
      </w:r>
      <w:r>
        <w:rPr>
          <w:rFonts w:eastAsia="Amiri" w:cs="Amiri" w:ascii="Amiri" w:hAnsi="Amiri"/>
          <w:color w:val="111111"/>
          <w:sz w:val="28"/>
          <w:szCs w:val="28"/>
          <w:rtl w:val="true"/>
          <w:lang w:bidi="ar-SA"/>
        </w:rPr>
        <w:t>.</w:t>
      </w:r>
      <w:bookmarkStart w:id="452" w:name="pg11800_97073"/>
    </w:p>
    <w:p>
      <w:pPr>
        <w:pStyle w:val="Heading6"/>
        <w:numPr>
          <w:ilvl w:val="5"/>
          <w:numId w:val="1"/>
        </w:numPr>
        <w:rPr/>
      </w:pPr>
      <w:bookmarkStart w:id="453" w:name="__RefHeading___Toc10478071_73709187"/>
      <w:bookmarkStart w:id="454" w:name="_Toc171"/>
      <w:bookmarkEnd w:id="452"/>
      <w:bookmarkEnd w:id="453"/>
      <w:r>
        <w:rPr>
          <w:rtl w:val="true"/>
        </w:rPr>
        <w:t>أحكام سجود التلاوة</w:t>
      </w:r>
      <w:bookmarkEnd w:id="454"/>
    </w:p>
    <w:p>
      <w:pPr>
        <w:pStyle w:val="Heading6"/>
        <w:numPr>
          <w:ilvl w:val="5"/>
          <w:numId w:val="1"/>
        </w:numPr>
        <w:rPr/>
      </w:pPr>
      <w:bookmarkStart w:id="455" w:name="__RefHeading___Toc10478073_73709187"/>
      <w:bookmarkStart w:id="456" w:name="_Toc172"/>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457" w:name="__RefHeading___Toc10478075_73709187"/>
      <w:bookmarkStart w:id="458" w:name="_Toc173"/>
      <w:bookmarkEnd w:id="457"/>
      <w:r>
        <w:rPr>
          <w:rtl w:val="true"/>
        </w:rPr>
        <w:t>لا يجبُ السّجود بقراءة بعض الآية أو استماعه</w:t>
      </w:r>
      <w:bookmarkEnd w:id="458"/>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السّجود بقراءة بعض الآية أو استماعه، ولو لفظ السّجدة منها،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إلى الأصل، وهو يقتضي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64"/>
      </w:r>
      <w:r>
        <w:rPr>
          <w:rFonts w:ascii="Amiri" w:hAnsi="Amiri" w:eastAsia="Amiri" w:cs="Amiri"/>
          <w:color w:val="111111"/>
          <w:sz w:val="28"/>
          <w:sz w:val="28"/>
          <w:szCs w:val="28"/>
          <w:rtl w:val="true"/>
          <w:lang w:bidi="ar-SA"/>
        </w:rPr>
        <w:t xml:space="preserve">أنّ الأمر عُلّق على سماع السّجدة أو قراءتها، والمتبادر 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السّجدة في الأخبار إشارة إلى الآيات المعهودة الّتي قد يُعبّر عنها بالعزائم، وقد يُعبّر بالسّجدة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ذكرناه ما ورد في بعض الأخبار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السّورة فليسجد، ثمّ يقوم فيقرأ فاتحة الكتاب</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العزائم في آخر السّورة، كما هو واضح، فلا يجب السّجود الا بقراءة تمام الآية أو استماعها، مضافاً إلى أنّه لا إطلاق للنصوص كي يُتمسّك به، لورودها في مقام بيان حكمٍ آخر</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10478077_73709187"/>
      <w:bookmarkStart w:id="460" w:name="_Toc174"/>
      <w:bookmarkEnd w:id="459"/>
      <w:r>
        <w:rPr>
          <w:rtl w:val="true"/>
        </w:rPr>
        <w:t>لو تحقّق الموجب فسجد، ثمّ تحقّق فردٌ آخر تجبُ سجدةً اُخرى‌</w:t>
      </w:r>
      <w:bookmarkEnd w:id="46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الموجب فسجد، ثمّ تحقّق فردٌ آخر تجبُ سجدةً اُخرى‌، لأنّه مضافاً إلى أنّه مقتضى لزوم السّجدة عقيب هذه الموجبات، يدلّ عليه صحيح محمّد بن مسلم، عن أبي جعفر عليه السلام، قال</w:t>
      </w:r>
      <w:r>
        <w:rPr>
          <w:rFonts w:eastAsia="Amiri" w:cs="Amiri" w:ascii="Amiri" w:hAnsi="Amiri"/>
          <w:color w:val="111111"/>
          <w:sz w:val="28"/>
          <w:szCs w:val="28"/>
          <w:rtl w:val="true"/>
          <w:lang w:bidi="ar-SA"/>
        </w:rPr>
        <w:t xml:space="preserve">: </w:t>
      </w:r>
      <w:bookmarkStart w:id="461" w:name="pg11800_97074"/>
    </w:p>
    <w:p>
      <w:pPr>
        <w:pStyle w:val="BookText"/>
        <w:rPr/>
      </w:pPr>
      <w:bookmarkEnd w:id="4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يعلم السّورة من العزائم، فيعاد عليه مراراً في المقعد الواحد؟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يسجد كلّما سمعها، وعلى الذي يعلّمه أيضاً أن يسجد</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تتعدد السّجدة بتعدّد الموجب، إذا أخَّر المستمع أو القارئ السّجدة، ولم يسجد بعد الموجب الأوّل عصياناً أو نسياناً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هو الأوّل، لما حقّقناه في محلّه من أصالة عدم تداخل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الأصل</w:t>
      </w:r>
      <w:r>
        <w:rPr>
          <w:rStyle w:val="FootnoteAnchor"/>
          <w:rtl w:val="true"/>
        </w:rPr>
        <w:footnoteReference w:id="1067"/>
      </w:r>
      <w:r>
        <w:rPr>
          <w:rFonts w:ascii="Amiri" w:hAnsi="Amiri" w:eastAsia="Amiri" w:cs="Amiri"/>
          <w:color w:val="111111"/>
          <w:sz w:val="28"/>
          <w:sz w:val="28"/>
          <w:szCs w:val="28"/>
          <w:rtl w:val="true"/>
          <w:lang w:bidi="ar-SA"/>
        </w:rPr>
        <w:t xml:space="preserve">من إنّ النصوص الكثيرة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عليك حقوق أجزأكَ منها 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هذا الأصل في غير محلّه، إذ مضافاً إلى أنّ تلك النصوص إنّما وردت في موردٍ خاص، فالتعدّي عنه يحتاج إلى دليل مفقود، إنّها إنّما تدلّ على الإجزاء بفعل واحد بعد اجتماع حقوق متعدّدة، وإنّه لا يجب امتثال كلّ منها بإيجاد فردٍ مغاير لما يتحقّق به امتثال الآخر، الذي يعبّر عنه بتداخل المسبّبات، لا عدم تأثير الأسباب إلّاأثراً واحداً، فعلى فرض التعدّي إنّها تُبطل أصالة عدم تداخل المسبّبات، ولكن بما أنّ المختار عدم تداخل</w:t>
      </w:r>
      <w:r>
        <w:rPr>
          <w:rStyle w:val="FootnoteAnchor"/>
          <w:rtl w:val="true"/>
        </w:rPr>
        <w:footnoteReference w:id="1068"/>
      </w:r>
      <w:r>
        <w:rPr>
          <w:rFonts w:ascii="Amiri" w:hAnsi="Amiri" w:eastAsia="Amiri" w:cs="Amiri"/>
          <w:color w:val="111111"/>
          <w:sz w:val="28"/>
          <w:sz w:val="28"/>
          <w:szCs w:val="28"/>
          <w:rtl w:val="true"/>
          <w:lang w:bidi="ar-SA"/>
        </w:rPr>
        <w:t>الأسباب والمسبّبات، فمقتضى القاعدة في المقام تكرار السّجود مع تكرار القراءة أو السماع، ويشير إليه صحيح ابن مسلم المتقدّم، فتأمّل</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10478079_73709187"/>
      <w:bookmarkStart w:id="463" w:name="_Toc175"/>
      <w:bookmarkEnd w:id="462"/>
      <w:r>
        <w:rPr>
          <w:rtl w:val="true"/>
        </w:rPr>
        <w:t>وجوب السّجدة فوري</w:t>
      </w:r>
      <w:bookmarkEnd w:id="46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وجوب السّجدة فوري، بل عن غير واحدٍ</w:t>
      </w:r>
      <w:r>
        <w:rPr>
          <w:rStyle w:val="FootnoteAnchor"/>
          <w:rtl w:val="true"/>
        </w:rPr>
        <w:footnoteReference w:id="106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bookmarkStart w:id="464" w:name="pg11800_97075"/>
    </w:p>
    <w:p>
      <w:pPr>
        <w:pStyle w:val="BookText"/>
        <w:rPr/>
      </w:pPr>
      <w:bookmarkEnd w:id="464"/>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تضمّن الأمر بالإيماء لو سَمع السّجدة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أنّ علّة المنع عن قراءة العزائم في الفريضة، أنّها تستلزم زيادة السّجود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تركها نسياناً أو عصياناً لا تسقط إجماعاً</w:t>
      </w:r>
      <w:r>
        <w:rPr>
          <w:rStyle w:val="FootnoteAnchor"/>
          <w:rtl w:val="true"/>
        </w:rPr>
        <w:footnoteReference w:id="1070"/>
      </w:r>
      <w:r>
        <w:rPr>
          <w:rFonts w:ascii="Amiri" w:hAnsi="Amiri" w:eastAsia="Amiri" w:cs="Amiri"/>
          <w:color w:val="111111"/>
          <w:sz w:val="28"/>
          <w:sz w:val="28"/>
          <w:szCs w:val="28"/>
          <w:rtl w:val="true"/>
          <w:lang w:bidi="ar-SA"/>
        </w:rPr>
        <w:t>، ويشهد له استصحاب الوجوب، وصحيح ابن مسلم،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إذا ذكر إذا كانت من العزائم</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وهو وإنْ كان مورده النسيان، إلّاأنّه يستفاد منه حكم صورة الترك عصياناً أيضاً، إذ المستفاد منه أنّ الفوريّة مطلوبة بالاستقلال، وليست من قيود المطلوب</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10478081_73709187"/>
      <w:bookmarkStart w:id="466" w:name="_Toc176"/>
      <w:bookmarkEnd w:id="465"/>
      <w:r>
        <w:rPr>
          <w:rtl w:val="true"/>
        </w:rPr>
        <w:t>من سمع السّجدة في الصَّلاة أومأ للسّجود</w:t>
      </w:r>
      <w:bookmarkEnd w:id="466"/>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السّجدة في الصَّلاة أومأ للسّجود، لخبر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صلاةٍ فيقرأ آخر السَّجدة‌؟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سمع شيئاً من العزائم، إلّاأن تكون في فريضة فيؤمي برأسه إيماءً‌</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تفصيل القول في ذلك في مبحث القراءة، في مسألة قراءة العزائم، فراجع</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 w:name="__RefHeading___Toc10478083_73709187"/>
      <w:bookmarkStart w:id="468" w:name="_Toc177"/>
      <w:bookmarkEnd w:id="467"/>
      <w:r>
        <w:rPr>
          <w:rtl w:val="true"/>
        </w:rPr>
        <w:t>ما يعتبر في سجود التّلاوة</w:t>
      </w:r>
      <w:bookmarkEnd w:id="468"/>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هذا السّجود اُمورٌ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لأنّه عبادة، فيدلّ على اعتبارها فيه ما دلّ على اعتبارها </w:t>
      </w:r>
    </w:p>
    <w:p>
      <w:pPr>
        <w:pStyle w:val="BookText"/>
        <w:rPr/>
      </w:pPr>
      <w:r>
        <w:rPr>
          <w:rFonts w:ascii="Amiri" w:hAnsi="Amiri" w:eastAsia="Amiri" w:cs="Amiri"/>
          <w:color w:val="111111"/>
          <w:sz w:val="28"/>
          <w:sz w:val="28"/>
          <w:szCs w:val="28"/>
          <w:rtl w:val="true"/>
          <w:lang w:bidi="ar-SA"/>
        </w:rPr>
        <w:t>فيها، كما عرفت في مبحث النيّة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المكان كسجدة الصَّلاة لوحدة المناط، وهو امتناع الأمر والنهي فيما كان التركيب بين المأمور به والمنهي عنه اتّحاديّاً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 لإطلاق قوله عليه السلام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لا يجوزُ إلّاعلى الأرض أو على ما أنبتت الأرض، إلّاما اُكل أو لُبس</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معهوديّة السّجود في الصَّلاة، وملحوظيّة خصوصيّة المسجد فيه في الشريعة صارفة للمطلقات إلى إرادته في سجود الصَّلاة،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عُلوّ المسجد بما يزيد من لَبِنة لإطلاق 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الذّكر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إذا قرأ العزائم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تكبيرٌ إذا سجدتَ‌، ولا إذا قمتَ‌، ولكن إذا سجدتَ قلت ما تقولُ في السّجود</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 في سجوده بما تيسّر من الدُّعاء</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وظاهرهما وجوب مطلق الذّكر، وعدم وجوب ذكرٍ مخصوص، فيُجمَع بينهما وبين ما تضمّن الأمر بأذكار خاصّةٍ‌، بحمله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ذكرناه يظهر ضعف ما ذكره بعض المحقّقين</w:t>
      </w:r>
      <w:r>
        <w:rPr>
          <w:rStyle w:val="FootnoteAnchor"/>
          <w:rtl w:val="true"/>
        </w:rPr>
        <w:footnoteReference w:id="1078"/>
      </w:r>
      <w:r>
        <w:rPr>
          <w:rFonts w:ascii="Amiri" w:hAnsi="Amiri" w:eastAsia="Amiri" w:cs="Amiri"/>
          <w:color w:val="111111"/>
          <w:sz w:val="28"/>
          <w:sz w:val="28"/>
          <w:szCs w:val="28"/>
          <w:rtl w:val="true"/>
          <w:lang w:bidi="ar-SA"/>
        </w:rPr>
        <w:t>من أنّ الأمر في جميع نصوص الباب يدور بين الحمل على الوجوب المقطوع بعدمه، والحمل على الوجوب التخييري البعيد جدّاً عن سياق كلّ واحد، فيتعيّن الحمل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للإجماع</w:t>
      </w:r>
      <w:r>
        <w:rPr>
          <w:rStyle w:val="FootnoteAnchor"/>
          <w:rtl w:val="true"/>
        </w:rPr>
        <w:footnoteReference w:id="1079"/>
      </w:r>
      <w:r>
        <w:rPr>
          <w:rFonts w:ascii="Amiri" w:hAnsi="Amiri" w:eastAsia="Amiri" w:cs="Amiri"/>
          <w:color w:val="111111"/>
          <w:sz w:val="28"/>
          <w:sz w:val="28"/>
          <w:szCs w:val="28"/>
          <w:rtl w:val="true"/>
          <w:lang w:bidi="ar-SA"/>
        </w:rPr>
        <w:t>على‌عدم وجوب الذّكر، يُحمل الخبران أيضاًعلى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جماعة من أصحابنا، لم يتعرّضوا في كتبهم للذِّكر والدُّعاء، كالنهاية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وجماعة منهم وقع في كلامهم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ما يعتبر في سجود الصَّلاة، غير ما مرّ للأصل، وصحيح 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السّجدة وهو على ظهر دابّته‌؟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حيث توجّهت به، فإنّ رسول اللّه صلى الله عليه و آله كان يُصلّي على ناقته وهو مستقبل المدينة،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يُشعِر باعتبار الاستقبال فيه، بقرينة التعليل، إلّاأنّه لا يستفاد منه بعد التأمّل أزيد من الرجحان، إذ يكفي في صحّة التعليل ذلك، فلاحظ</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جملةً من النصوص وإنْ كان ظاهرها اعتبار الطهارة من حَدَث الحيض، كصحيح عبد الرحمن،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هل تقرأ القرآن وتسجد سجدةً إذا سمعت السّجدة‌؟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ولا تسجد</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ولا تسجد</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يتعيّن حملها على الرّخصة في الترك، أو طرحها، لصراحة طائفة من النصوص في عدم اعتبارها، كخبر أبي بصير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فسمعتها فاسجد، وإنْ كنتَ على غير وضوءٍ‌، وإنْ كنتَ جُنُباً، وإنْ كانتِ المرأة لا تُصلّي</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والحائض تسجدُ إذا سمعت السّجدة</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إنْ أمكن الجمع بحملهما على الاستحباب فهو المتعيّن، وإلّا فحيث أنّ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الأشهريّة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للخبرين، فيقدّمان على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جملةٍ من النصوص، وجوب التكبير حين رفع الرأس من سجدتها، كصحيح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شيئاً من العزائم الّتي يُسجد فيها، فلا تكبّر قبل سجودك، ولكن تُكبّر حين ترفع رأسك</w:t>
      </w:r>
      <w:r>
        <w:rPr>
          <w:rFonts w:eastAsia="Amiri" w:cs="Amiri" w:ascii="Amiri" w:hAnsi="Amiri"/>
          <w:color w:val="111111"/>
          <w:sz w:val="28"/>
          <w:szCs w:val="28"/>
          <w:rtl w:val="true"/>
          <w:lang w:bidi="ar-SA"/>
        </w:rPr>
        <w:t>»</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يتعيّن حملها على الاستحباب، جمعاً بينهما وبين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أبو عبد اللّه عليه السلام عن الرّجل إذا قرأ العزائم،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تكبيرٌ إذا سجدتَ‌، ولا إذا قُمتَ‌، ولكن إذا سجدتَ قلت ما تقول في السّجود</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69" w:name="pg11800_97079"/>
    </w:p>
    <w:p>
      <w:pPr>
        <w:pStyle w:val="Heading5"/>
        <w:numPr>
          <w:ilvl w:val="4"/>
          <w:numId w:val="1"/>
        </w:numPr>
        <w:rPr/>
      </w:pPr>
      <w:bookmarkStart w:id="470" w:name="__RefHeading___Toc10478085_73709187"/>
      <w:bookmarkStart w:id="471" w:name="_Toc178"/>
      <w:bookmarkEnd w:id="469"/>
      <w:bookmarkEnd w:id="470"/>
      <w:r>
        <w:rPr>
          <w:rtl w:val="true"/>
        </w:rPr>
        <w:t>السابع</w:t>
      </w:r>
      <w:r>
        <w:rPr>
          <w:rtl w:val="true"/>
        </w:rPr>
        <w:t xml:space="preserve">: </w:t>
      </w:r>
      <w:r>
        <w:rPr>
          <w:rtl w:val="true"/>
        </w:rPr>
        <w:t>التشهّد</w:t>
      </w:r>
      <w:bookmarkEnd w:id="471"/>
    </w:p>
    <w:p>
      <w:pPr>
        <w:pStyle w:val="Heading6"/>
        <w:numPr>
          <w:ilvl w:val="5"/>
          <w:numId w:val="1"/>
        </w:numPr>
        <w:rPr/>
      </w:pPr>
      <w:bookmarkStart w:id="472" w:name="__RefHeading___Toc10478087_73709187"/>
      <w:bookmarkStart w:id="473" w:name="_Toc179"/>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في كلّ ثنائيّةٍ مرّة، وفي الثلاثيّة والرباعيّة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التشهّد</w:t>
      </w:r>
    </w:p>
    <w:p>
      <w:pPr>
        <w:pStyle w:val="BookText"/>
        <w:rPr/>
      </w:pP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كلّ ثنائيّةٍ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الرأس من السّجدة الثانية من الرّكعة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الثلاثية والرباعيّة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كما ذُكر، والثانية بعد رفع الرأس من الرّكعة الأخيرة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جماعةٍ كثيرة</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فعل النبيّ صلى الله عليه و آله في بيان الواجب، وأمره به، رواياتٌ كثيرة ستجيء في غضون هذا الباب،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جملةٍ من النصوص، عدم كونه من واجبات الصَّلاة، وكونه مستحبّاً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يُحدث بعدما يرفع رأسه من السّجود الأخير؟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وإنّما التشهّد سُنّة في الصَّلاة، فيتوضّأ ويجلس مكانه أو مكاناً نظيفاً فيتشهّد</w:t>
      </w:r>
      <w:r>
        <w:rPr>
          <w:rFonts w:eastAsia="Amiri" w:cs="Amiri" w:ascii="Amiri" w:hAnsi="Amiri"/>
          <w:color w:val="111111"/>
          <w:sz w:val="28"/>
          <w:szCs w:val="28"/>
          <w:rtl w:val="true"/>
          <w:lang w:bidi="ar-SA"/>
        </w:rPr>
        <w:t>»</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تدلّ عليه هذه النصوص، عدم قادحيّة الحَدَث في الصورة المفروضة، وهي صورة الاضطرار، لا عدم وجوبه، وسيأتي إنْ شاء اللّه تعالى في المبطلات التعرّض لهذه المسألة، فانتظر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74" w:name="pg11800_97081"/>
    </w:p>
    <w:p>
      <w:pPr>
        <w:pStyle w:val="BookText"/>
        <w:rPr/>
      </w:pPr>
      <w:bookmarkEnd w:id="474"/>
      <w:r>
        <w:rPr>
          <w:rFonts w:ascii="Amiri" w:hAnsi="Amiri" w:eastAsia="Amiri" w:cs="Amiri"/>
          <w:color w:val="111111"/>
          <w:sz w:val="28"/>
          <w:sz w:val="28"/>
          <w:szCs w:val="28"/>
          <w:rtl w:val="true"/>
          <w:lang w:bidi="ar-SA"/>
        </w:rPr>
        <w:t>ويجبُ فيه الجلوس بقدره والشّهادتان</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10478089_73709187"/>
      <w:bookmarkStart w:id="476" w:name="_Toc180"/>
      <w:bookmarkEnd w:id="475"/>
      <w:r>
        <w:rPr>
          <w:rtl w:val="true"/>
        </w:rPr>
        <w:t>واجبات التشهّد</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الجلوس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 متشاغلاً بالتشهّد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مستفيضه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التشهّد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مرّتين‌؟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شريك له، وأشهدُ أنّ محمّداً عبده ورسوله ثمّ تنصرف</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للإجماع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وغيرهما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09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كخبر سورة بن كلب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أدنى ما يجزي من التشهّد؟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وصحيح محمّد المتقدّم،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في التشهّد أن تقول الشهادتين، أو بسم اللّه وباللّه، ثمّ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بصحيح الفضلاء، عن أبي عبد اللّه عليه السلام في حديثٍ طويل حاكٍ لصلاة النبيّ صلى الله عليه و آله في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فألهمني اللّه تعالى أن قلتُ بسم اللّه وباللّه ولا إله إلّا اللّه، والأسماء الحسنى كلّها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عليك وعلى أهل بيتك</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يطابق الدّعوى، لإعراض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للاعتماد عليه، ومنه يظهر ما في خبر بكر 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يقولون واجباً على النّاس هلكوا، إنّما كان القوم يقولون أيسرَ ما يعلمون، إذا حَمَدتَ اللّه أجزأ عنك</w:t>
      </w:r>
      <w:r>
        <w:rPr>
          <w:rFonts w:eastAsia="Amiri" w:cs="Amiri" w:ascii="Amiri" w:hAnsi="Amiri"/>
          <w:color w:val="111111"/>
          <w:sz w:val="28"/>
          <w:szCs w:val="28"/>
          <w:rtl w:val="true"/>
          <w:lang w:bidi="ar-SA"/>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خبره الآخر</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حبيب الخَثْعمي</w:t>
      </w:r>
      <w:r>
        <w:rPr>
          <w:rStyle w:val="FootnoteAnchor"/>
          <w:rtl w:val="true"/>
        </w:rPr>
        <w:footnoteReference w:id="1104"/>
      </w:r>
      <w:r>
        <w:rPr>
          <w:rFonts w:ascii="Amiri" w:hAnsi="Amiri" w:eastAsia="Amiri" w:cs="Amiri"/>
          <w:color w:val="111111"/>
          <w:sz w:val="28"/>
          <w:sz w:val="28"/>
          <w:szCs w:val="28"/>
          <w:rtl w:val="true"/>
          <w:lang w:bidi="ar-SA"/>
        </w:rPr>
        <w:t>، مع احتمال ورودها لنفي وجوب التحيّات والأذكار والأدعية المقترنة بالشهادتين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بشهادة واحدة، واستدلّ له بصحيح زرارة،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والصَّلاة على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التشهّد في الركعتين الأولتين‌؟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أشهدُ أن لا إله إلّااللّه وحده لا شريك له، الحديث</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لعدم العمل به يُطرح، أو يُحمل على التقيّة، مع عدم مطابقته لدعواه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الإجماعات المنقولة المستفيضة</w:t>
      </w:r>
      <w:r>
        <w:rPr>
          <w:rStyle w:val="FootnoteAnchor"/>
          <w:rtl w:val="true"/>
        </w:rPr>
        <w:footnoteReference w:id="1106"/>
      </w:r>
      <w:r>
        <w:rPr>
          <w:rFonts w:ascii="IRNazanin" w:hAnsi="IRNazanin" w:eastAsia="IRNazanin"/>
          <w:color w:val="111111"/>
          <w:sz w:val="28"/>
          <w:sz w:val="28"/>
          <w:szCs w:val="28"/>
          <w:rtl w:val="true"/>
          <w:lang w:bidi="fa-IR"/>
        </w:rPr>
        <w:t>، بل الإجماع المحصّل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 بإسناده عن حمّاد بن عيسى‌، عن حريز، عن أبي بصير وزرارة جميعاً،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الصَّوم إعطاء الزّكاة، كما أنّ الصَّلاة على النبيّ صلى الله عليه و آله من تمام الصَّلاة، ومَنْ صام ولم يؤدّها فلا صوم له، إذا تركها متعمّداً، ومَنْ صلّى ولم يُصلِّ على النبيّ صلى الله عليه و آله وترك ذلك متعمّداً فلا صلاة له، إنّ اللّه تعالى بدأ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وَ ذَكَرَ اِسْمَ رَبِّهِ فَصَلّى </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التشبيه كون الحكم في المشبه به مفروغاً عنه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الحكم في المشبّه على المبالغة، بواسطة الروايات الدالّة على عدم بطلان الصوم بعدم إعطاء الزكاة، لا يوجب وهناً في دلالته على المدّعى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جملةٍ من المحقّقين</w:t>
      </w:r>
      <w:r>
        <w:rPr>
          <w:rStyle w:val="FootnoteAnchor"/>
          <w:rtl w:val="true"/>
        </w:rPr>
        <w:footnoteReference w:id="1108"/>
      </w:r>
      <w:r>
        <w:rPr>
          <w:rFonts w:ascii="Amiri" w:hAnsi="Amiri" w:eastAsia="Amiri" w:cs="Amiri"/>
          <w:color w:val="111111"/>
          <w:sz w:val="28"/>
          <w:sz w:val="28"/>
          <w:szCs w:val="28"/>
          <w:rtl w:val="true"/>
          <w:lang w:bidi="ar-SA"/>
        </w:rPr>
        <w:t>، من أنّه على خلاف المطلوب أدلّ‌، لأنّ مقتضى التشبيه عدم بطلان الصَّلاة بتركها،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أبي بصير، عن زرارة، عن الإمام الصادق عليه السلام، ولكنّهما إنّما يدلّان على وجوبها في الصَّلاة، لا وجوبها في كلٍّ من التشهّدين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بضميمة الإجماع على أنّها لو كانت واجبة في الصَّلاة، فموردها التشهّد، يدلّان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عبد الملك،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في الركعتين الأوّليتين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أشهد أن لا إله إلّااللّه وحده لا شريك له، وأشهدُ أن محمّداً عبده ورسوله، اللّهُمَّ صلِّ على محمّدٍ وآل محمّد، وتقبّل شفاعته وارفع درجته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واشتماله على التحميد والدُّعاء الأخير المستحبّين، بقرينة الأدلّة الاُخر، لا يوجب حمل الأمر بها أيضاً على الاستحباب، كما أنّ كونه في التشهّد الأوّل لا يضرّ بالاستدلال، لعدم الفصل بينه وبين التشهّد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روايات اُخرى تدلّ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المتقدّم في وجوب الجلوس في التشهّد،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الطائفتين، وإنْ كان يقتضي حمل النصوص الأُول على الاستحباب، إلّا أنّ عدم عمل الأصحاب بالثانية مانعٌ عن الاعتماد عليها، فلابدّ من تأويلها أو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الأحول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عدم الإجتزاء بالصّلاة على النبيّ صلى الله عليه و آله، ما لم ينضمّ إليه الصَّلاة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 تلك النصوص أنّ الاكتفاء بالصّلاة عليه، يوجب البُعد عن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تغلب، عن أبي جعفر،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ولم يُصلِّ على آلي، لم يجد ريح الجنّة، وريحها يوجد من مسيرة خمسمائة عام</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ذاتَ يومٍ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صَلّى عَليَّ ولم يَتْبَع بالصّلاة على أهل بيتي، كان بينها وبين السماوات سبعون حجاباً، ويقول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 ياملائكتي لا تُصعدوا دعاءه إنْ لم يلحق بالنبيّ عترته، فلا يزال محجوباً حتّى يلحق بي أهل بيتي</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77" w:name="pg11800_97086"/>
    </w:p>
    <w:p>
      <w:pPr>
        <w:pStyle w:val="BookText"/>
        <w:rPr/>
      </w:pPr>
      <w:bookmarkEnd w:id="477"/>
      <w:r>
        <w:rPr>
          <w:rFonts w:ascii="Amiri" w:hAnsi="Amiri" w:eastAsia="Amiri" w:cs="Amiri"/>
          <w:color w:val="111111"/>
          <w:sz w:val="28"/>
          <w:sz w:val="28"/>
          <w:szCs w:val="28"/>
          <w:rtl w:val="true"/>
          <w:lang w:bidi="ar-SA"/>
        </w:rPr>
        <w:t>وأقلّه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وأشهدُ أنّ محمّداً رسول اللّه</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0478091_73709187"/>
      <w:bookmarkStart w:id="479" w:name="_Toc181"/>
      <w:bookmarkEnd w:id="478"/>
      <w:r>
        <w:rPr>
          <w:rtl w:val="true"/>
        </w:rPr>
        <w:t>كيفيّة الشهادتين</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 ما يُجزي من الشهادتين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w:t>
      </w:r>
      <w:r>
        <w:rPr>
          <w:rStyle w:val="FootnoteAnchor"/>
          <w:rtl w:val="true"/>
        </w:rPr>
        <w:footnoteReference w:id="1115"/>
      </w:r>
      <w:r>
        <w:rPr>
          <w:rFonts w:ascii="IRNazanin" w:hAnsi="IRNazanin" w:eastAsia="IRNazanin"/>
          <w:color w:val="111111"/>
          <w:sz w:val="28"/>
          <w:sz w:val="28"/>
          <w:szCs w:val="28"/>
          <w:rtl w:val="true"/>
          <w:lang w:bidi="fa-IR"/>
        </w:rPr>
        <w:t>إلى المشهور أو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وتبديل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الجملة الاُولى في الاُولى‌، وتعيّن الثانية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القول الثاني، لصحيح محمّد من مسلم المتقدّم في وجوب الجلوس، وموثّق عبد الملك المتقدّم في وجوب الصَّلاة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الحسن بن الجهم،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الظهر والعصر، فأحدث حين جلس في الرابعة‌؟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وإنْ كان لم يتشهّد قبل أنْ يُحدث فليُعِد</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دلّ على الاكتفاء بالشهادتين، كخبر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أدنى ما يُجزي من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 المحكيّ عن بعض نسخه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إنّه متضمّنٌ لما لا نقول به، وهو صحّة الصَّلاة مع الحَدَث بعد الشهادتين قبل التسليم، والصَّلاة على النبيّ صلى الله عليه و آله و سلم، وبطلانها مع الحَدَث بعد السَّجدتين قبل الشهادتين، أو في أثنائهما، إذ هذا التفصيل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لكونه مسوقاً لبيان عدم البطلان مع الحَدَث بعد الشهادتين، لا يأبى عن حمله على أنّ المراد التلفّظ بمضمون هاتين الجملتين بالعبارة المتعارفة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 تلك النصوص إنّما هي في مقام بيان عدم وجوب ما زاد على الشهادتين، فلا إطلاق لها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الإطلاق تعيّن تقييده بصحيح ابن مسلم، وموثّق الأحول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ضعف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بالصيغة المذكورة في المتن،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صريح بعض وظاهر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الإجتزاء بكلّ ما يصدق عليه الصَّلاة على</w:t>
      </w:r>
      <w:r>
        <w:rPr>
          <w:rFonts w:eastAsia="Amiri" w:cs="Amiri" w:ascii="Amiri" w:hAnsi="Amiri"/>
          <w:color w:val="111111"/>
          <w:sz w:val="28"/>
          <w:szCs w:val="28"/>
          <w:rtl w:val="true"/>
          <w:lang w:bidi="ar-SA"/>
        </w:rPr>
        <w:t xml:space="preserve">). </w:t>
      </w:r>
      <w:bookmarkStart w:id="480" w:name="pg11800_97088"/>
    </w:p>
    <w:p>
      <w:pPr>
        <w:pStyle w:val="BookText"/>
        <w:rPr/>
      </w:pPr>
      <w:bookmarkEnd w:id="480"/>
      <w:r>
        <w:rPr>
          <w:rFonts w:ascii="Amiri" w:hAnsi="Amiri" w:eastAsia="Amiri" w:cs="Amiri"/>
          <w:color w:val="111111"/>
          <w:sz w:val="28"/>
          <w:sz w:val="28"/>
          <w:szCs w:val="28"/>
          <w:rtl w:val="true"/>
          <w:lang w:bidi="ar-SA"/>
        </w:rPr>
        <w:t>النبيّ وآله، ولو بمثل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لموثّق عبد الملك المتقدّم في وجوب الصَّلاة على النبيّ صلى الله عليه و آله، وقد عرفت أنّ اشتماله على بعض المستحبّات، لا ينافي دلالته على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تشهّد أحدكم في الصَّلاة،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ما دلَّ على وجوب الصَّلاة على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الموجود في حديث الفضلاء، الحاكي لصلاة رسول اللّه صلى الله عليه و آله في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 وعلى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الإطلاق، لابدَّ من تقييده بما تقدّم، مع أنّ للمنع عن الإطلاق مجالاً واسعاً، إذ النصوص المتضمّنة للأمر بها واردة في مقام بيان حكم آخر، فلا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يُذكر قبل الصَّلاة على النبيّ فيه التشهّد، فراجع</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1" w:name="__RefHeading___Toc10478093_73709187"/>
      <w:bookmarkStart w:id="482" w:name="_Toc182"/>
      <w:bookmarkEnd w:id="481"/>
      <w:r>
        <w:rPr>
          <w:rtl w:val="true"/>
        </w:rPr>
        <w:t>فروع</w:t>
      </w:r>
      <w:r>
        <w:rPr>
          <w:rtl w:val="true"/>
        </w:rPr>
        <w:t>:</w:t>
      </w:r>
      <w:bookmarkEnd w:id="48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1124"/>
      </w:r>
      <w:r>
        <w:rPr>
          <w:rFonts w:ascii="Amiri" w:hAnsi="Amiri" w:eastAsia="Amiri" w:cs="Amiri"/>
          <w:color w:val="111111"/>
          <w:sz w:val="28"/>
          <w:sz w:val="28"/>
          <w:szCs w:val="28"/>
          <w:rtl w:val="true"/>
          <w:lang w:bidi="ar-SA"/>
        </w:rPr>
        <w:t>استحباب الصَّلاة على النبيّ صلى الله عليه و آله وآله عليهم السلام عند ذكر اسمه الشريف للمتكلِّم والسامع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w:t>
      </w:r>
      <w:r>
        <w:rPr>
          <w:rStyle w:val="FootnoteAnchor"/>
          <w:rtl w:val="true"/>
        </w:rPr>
        <w:footnoteReference w:id="1126"/>
      </w:r>
      <w:r>
        <w:rPr>
          <w:rFonts w:ascii="IRNazanin" w:hAnsi="IRNazanin" w:eastAsia="IRNazanin"/>
          <w:color w:val="111111"/>
          <w:sz w:val="28"/>
          <w:sz w:val="28"/>
          <w:szCs w:val="28"/>
          <w:rtl w:val="true"/>
          <w:lang w:bidi="fa-IR"/>
        </w:rPr>
        <w:t>إلى وجوبها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فافصح بالألف والهاء، وصَلِّ على النبيّ كلّما ذكرته، أو ذكره ذاكرٌ في الأذان وغيره</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هارون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ولم يذكر النبيّ صلى الله عليه و آله في صلاته، يسلك بصلاته غير سبيل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ذُكِرْتُ‌عنده فلم يُصلِّ عَليَّ فدخل النار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الصّلاة عَليَّ خُطئ به طريق الجنّة</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محمّد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الباقر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عليكَ فأبعده اللّه، فقلت آمين</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حمل هذه النصوص على الاستحباب، إذ دعوى الإجماع عليه مستفيضة، مع أنّها لو كانت واجبة، لإشتهر وجوبها لعموم البلوى بها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خُلوّ الأدعية المأثورة، والقصص المنقولة عن المعصومين عليهم السلام عنها، وعدم تعليمها للمؤذّنين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إنّ هذه النصوص وإنْ اختصّت بالصّلاة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ضَمّ الصَّلاة على الآل إليها إنّما يكون لما دلَّ على أنّ الصَّلاة عليه صلى الله عليه و آله في كلّ موردٍ تكون موضوعاً لحكمٍ‌، يكون المراد منها الصَّلاة عليه وعلى آله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اختصاص الحكم بذكر اسمه المختصّ به صلى الله عليه و آله، بل يعمّ ذكره صلى الله عليه و آله بكنيته أو لقبه، أو الضمير الراجع إليه، كما عن المحدّث الكاشاني</w:t>
      </w:r>
      <w:r>
        <w:rPr>
          <w:rStyle w:val="FootnoteAnchor"/>
          <w:rtl w:val="true"/>
        </w:rPr>
        <w:footnoteReference w:id="1130"/>
      </w:r>
      <w:r>
        <w:rPr>
          <w:rFonts w:ascii="Amiri" w:hAnsi="Amiri" w:eastAsia="Amiri" w:cs="Amiri"/>
          <w:color w:val="111111"/>
          <w:sz w:val="28"/>
          <w:sz w:val="28"/>
          <w:szCs w:val="28"/>
          <w:rtl w:val="true"/>
          <w:lang w:bidi="ar-SA"/>
        </w:rPr>
        <w:t>التصريح به، 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ما إذا كان الذّكر بذكر اسمه المختصّ به، أو الصفات والكنى والألقاب المختصّة به،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شيخنا البهائي</w:t>
      </w:r>
      <w:r>
        <w:rPr>
          <w:rStyle w:val="FootnoteAnchor"/>
          <w:rtl w:val="true"/>
        </w:rPr>
        <w:footnoteReference w:id="1131"/>
      </w:r>
      <w:r>
        <w:rPr>
          <w:rFonts w:ascii="Amiri" w:hAnsi="Amiri" w:eastAsia="Amiri" w:cs="Amiri"/>
          <w:color w:val="111111"/>
          <w:sz w:val="28"/>
          <w:sz w:val="28"/>
          <w:szCs w:val="28"/>
          <w:rtl w:val="true"/>
          <w:lang w:bidi="ar-SA"/>
        </w:rPr>
        <w:t>، والمحقّق النائيني قدس سره من القول بالاختصاص،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لزوم تكرار الصَّلاة بتكرار الذّكر، سواءٌ صَلّى بعد كلّ ذكر أم لم يُصلِّ‌، لماتقدّم في وجه وجوب تكرار سجدة التلاوة عندتكرار موجبة، فراجع</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المحقّق النائيني من اختصاص التكرار بما إذا كُرّر الذّكر مع تَخلّل الصَّلاة،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والفتاوى، شمول الحكم لحال الصَّلاة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يُمتثل هذا الأمر بالصّلاة عليه وآله، بأيّة صيغةٍ كانت للإطلاق</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483" w:name="pg11800_97091"/>
    </w:p>
    <w:p>
      <w:pPr>
        <w:pStyle w:val="BookText"/>
        <w:rPr/>
      </w:pPr>
      <w:bookmarkEnd w:id="483"/>
      <w:r>
        <w:rPr>
          <w:rFonts w:ascii="Amiri" w:hAnsi="Amiri" w:eastAsia="Amiri" w:cs="Amiri"/>
          <w:color w:val="111111"/>
          <w:sz w:val="28"/>
          <w:sz w:val="28"/>
          <w:szCs w:val="28"/>
          <w:rtl w:val="true"/>
          <w:lang w:bidi="ar-SA"/>
        </w:rPr>
        <w:t>يستحبُّ أنْ يجلس فيه متورّكاً</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0478095_73709187"/>
      <w:bookmarkStart w:id="485" w:name="_Toc183"/>
      <w:bookmarkEnd w:id="484"/>
      <w:r>
        <w:rPr>
          <w:rtl w:val="true"/>
        </w:rPr>
        <w:t>مستحبّات التشهّد</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يجلس فيه متورّكاً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عن غير واحدٍ</w:t>
      </w:r>
      <w:r>
        <w:rPr>
          <w:rStyle w:val="FootnoteAnchor"/>
          <w:rtl w:val="true"/>
        </w:rPr>
        <w:footnoteReference w:id="113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قَعَد على فَخِذه الأيسر، قد وَضَع قدمه الأيمن على باطن قدمه الأيسر</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قَعَدت في تشهّدك، فألصق رُكبَتَيك بالأرض، وفرّج بينهما شيئاً، وليكن ظاهر قدمِك اليسرى على الأرض، وظاهر قدمِك اليمنى على باطن قدمك اليسرى‌، وإليتاكَ على الأرض، وأطراف إبهامك اليمنى على الأرض</w:t>
      </w:r>
      <w:r>
        <w:rPr>
          <w:rFonts w:eastAsia="Amiri" w:cs="Amiri" w:ascii="Amiri" w:hAnsi="Amiri"/>
          <w:color w:val="111111"/>
          <w:sz w:val="28"/>
          <w:szCs w:val="28"/>
          <w:rtl w:val="true"/>
          <w:lang w:bidi="ar-SA"/>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موثّق عبد الملك المتقدّم،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والحَمدُ للّه، وخَيرُ الأسماء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 أبي بصير</w:t>
      </w:r>
      <w:r>
        <w:rPr>
          <w:rStyle w:val="FootnoteAnchor"/>
          <w:rtl w:val="true"/>
        </w:rPr>
        <w:footnoteReference w:id="1136"/>
      </w:r>
      <w:r>
        <w:rPr>
          <w:rFonts w:ascii="Amiri" w:hAnsi="Amiri" w:eastAsia="Amiri" w:cs="Amiri"/>
          <w:color w:val="111111"/>
          <w:sz w:val="28"/>
          <w:sz w:val="28"/>
          <w:szCs w:val="28"/>
          <w:rtl w:val="true"/>
          <w:lang w:bidi="ar-SA"/>
        </w:rPr>
        <w:t>المتضمّن لجملةٍ من المستحبّات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يدعو بعد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يدعو بَعد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شَفَاعته وارفع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الأوّل كما في موثّق عبد الملك</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التشهّد الأوّل حين القيام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محمّد بن مسلم</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86" w:name="pg11800_97093"/>
    </w:p>
    <w:p>
      <w:pPr>
        <w:pStyle w:val="Heading6"/>
        <w:numPr>
          <w:ilvl w:val="5"/>
          <w:numId w:val="1"/>
        </w:numPr>
        <w:rPr/>
      </w:pPr>
      <w:bookmarkStart w:id="487" w:name="__RefHeading___Toc10478097_73709187"/>
      <w:bookmarkStart w:id="488" w:name="_Toc184"/>
      <w:bookmarkEnd w:id="486"/>
      <w:bookmarkEnd w:id="487"/>
      <w:r>
        <w:rPr>
          <w:rtl w:val="true"/>
        </w:rPr>
        <w:t>حكم من لا يُحسِنُ التشهّد</w:t>
      </w:r>
      <w:bookmarkEnd w:id="4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يقدر على التعلّم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يقدر على الإتيان بالملحون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يقدر على الترجمة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يقدر على الذّكر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التعلّم تحصيلاً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الإتيان بما يقدرُ عليه من الملحون،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خبر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 بن محمّدٍ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ترى من المُحرم من العجم لا يرادُ منه ما يُراد من العالم الفصيح، وكذلك الأخرس في القراءة في الصَّلاة والتشهّد، وما أشبه ذلك، فهذا بمنزلة العجم، والمُحرم لا يُراد منه ما يراد من العاقل المتكلِّم الفصيح</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الترجمة، كما صرّح به جماعة</w:t>
      </w:r>
      <w:r>
        <w:rPr>
          <w:rStyle w:val="FootnoteAnchor"/>
          <w:rtl w:val="true"/>
        </w:rPr>
        <w:footnoteReference w:id="1140"/>
      </w:r>
      <w:r>
        <w:rPr>
          <w:rFonts w:ascii="Amiri" w:hAnsi="Amiri" w:eastAsia="Amiri" w:cs="Amiri"/>
          <w:color w:val="111111"/>
          <w:sz w:val="28"/>
          <w:sz w:val="28"/>
          <w:szCs w:val="28"/>
          <w:rtl w:val="true"/>
          <w:lang w:bidi="ar-SA"/>
        </w:rPr>
        <w:t xml:space="preserve">، أم لا كما هو ظاهر آخرين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وغيره</w:t>
      </w:r>
      <w:r>
        <w:rPr>
          <w:rStyle w:val="FootnoteAnchor"/>
          <w:rtl w:val="true"/>
        </w:rPr>
        <w:footnoteReference w:id="114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ما دلَّ على وجوب التشهّد في الصَّلاة، إذ ما دلَّ على تقييده بالخصوص مختصٌّ بحال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يقتضيه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ما دلّ على التقييد، الشامل لحال العجز، المقدّم على إطلاق ما دلّ على وجوبه في الصَّلاة، هو إنّ المطلوب في حال العجز، ليس مطلق الشهادة بالتوحيد والرسالة، واستحالة التكليف بما لا يُطاق، لا تقتضي وجوب الترجمة، بل لازمها سقوط التكليف به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هذا الكتاب مراراً من عدم الدليل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سقوطه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منهم الشهيد رحمه الله</w:t>
      </w:r>
      <w:r>
        <w:rPr>
          <w:rStyle w:val="FootnoteAnchor"/>
          <w:rtl w:val="true"/>
        </w:rPr>
        <w:footnoteReference w:id="1143"/>
      </w:r>
      <w:r>
        <w:rPr>
          <w:rFonts w:ascii="Amiri" w:hAnsi="Amiri" w:eastAsia="Amiri" w:cs="Amiri"/>
          <w:color w:val="111111"/>
          <w:sz w:val="28"/>
          <w:sz w:val="28"/>
          <w:szCs w:val="28"/>
          <w:rtl w:val="true"/>
          <w:lang w:bidi="ar-SA"/>
        </w:rPr>
        <w:t>وجوب التحميد عليه بقدره،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حبيب الخثعمي،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الرّجل للتشهّد فحمد اللّه تعالى‌، أجزأه</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بكر بن حبيب،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التشهّد؟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يقولون واجباً على النّاس هلكوا، إنّما كان القوم يقولون أيسرَ ما يعملون، إذا حَمَدتَ اللّه تعالى أجزأ عنك</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أجزاء التحميد عن التحيّات والأذكار المقترنة بالتشهّد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من الصَّلاة الرّكوع والسّجود، ألا ترى لو أنّ رجلاً دخل في الإسلام لا يُحسِن أن يقرأ القرآن، أجزأه أن يُكبّر ويُسبِّح ويُصلّي</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بدعوى أنّه إذا وجب الذّكر بدلاً عن القراءة الّتي هي حكاية محضة، وجبَ بدلاً عن التشهّد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استحسانٌ لا يمكن جعله مدركاً للحكم، فالأقوى السقوط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وجوب شيءٍ عليه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الجلوس بقدر التشهّد في موارد سقوطه، كما صرّح به جماعة</w:t>
      </w:r>
      <w:r>
        <w:rPr>
          <w:rStyle w:val="FootnoteAnchor"/>
          <w:rtl w:val="true"/>
        </w:rPr>
        <w:footnoteReference w:id="1147"/>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الجلوس أحد الواجبين، فلا وجه لسقوطه بسقوط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أدلّته أنّ وجوبه قيدٌ للتشهّد، فلا محالة يسقط بسقوطه، لاسيّما مع عدم حجيّة قاعدة الميسور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89" w:name="pg11800_97096"/>
    </w:p>
    <w:p>
      <w:pPr>
        <w:pStyle w:val="Heading5"/>
        <w:numPr>
          <w:ilvl w:val="4"/>
          <w:numId w:val="1"/>
        </w:numPr>
        <w:rPr/>
      </w:pPr>
      <w:bookmarkStart w:id="490" w:name="__RefHeading___Toc10478099_73709187"/>
      <w:bookmarkStart w:id="491" w:name="_Toc185"/>
      <w:bookmarkEnd w:id="489"/>
      <w:bookmarkEnd w:id="490"/>
      <w:r>
        <w:rPr>
          <w:rtl w:val="true"/>
        </w:rPr>
        <w:t>الثامن</w:t>
      </w:r>
      <w:r>
        <w:rPr>
          <w:rtl w:val="true"/>
        </w:rPr>
        <w:t xml:space="preserve">: </w:t>
      </w:r>
      <w:r>
        <w:rPr>
          <w:rtl w:val="true"/>
        </w:rPr>
        <w:t>التسليم</w:t>
      </w:r>
      <w:bookmarkEnd w:id="491"/>
    </w:p>
    <w:p>
      <w:pPr>
        <w:pStyle w:val="Heading6"/>
        <w:numPr>
          <w:ilvl w:val="5"/>
          <w:numId w:val="1"/>
        </w:numPr>
        <w:rPr/>
      </w:pPr>
      <w:bookmarkStart w:id="492" w:name="__RefHeading___Toc10478101_73709187"/>
      <w:bookmarkStart w:id="493" w:name="_Toc186"/>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وفي وجوبه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التسليم</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الوجوب وفاقاً لكثيرٍ من الفقهاء القدماء والمتأخّرين</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هو الذي استقرّ عليه المذهب في عصرنا وما راهقه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جماعةٌ كثيرة،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إلى الاستحباب، ومستند القولين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القائلون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بطوائف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التحليل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كخبر القدّاح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الوضوء، وتحريمها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مرسلاً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الصَّلاة الوضوء، وتحريمها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بإسناده عن الفضل بن شاذان،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التسليم تحليل الصَّلاة، ولم يُجعل بدلها تكبيراً أو تسبيحاً أو ضرباً آخر، لأنّه لمّا كان الدخول في الصَّلاة تحريم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بسنده 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العلّة التي من أجلها وجبَ التسليم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تحليل الصَّلاة، الحديث</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الفضل بن شاذان، عن الرضا عليه السلام،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تقول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لأنّ تحليل الصَّلاة التسليم، فإذا قلتَ هذا فقد سَلّمت</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جعفر بن محمّد عليه السلام مثله، ولكن 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ورواية عبد اللّه بن الفضل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معنى التسليم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علامة الأمن، وتحليل الصَّلاة</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والمرسل المرويّ عن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تحريمها؟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تحليلها؟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الخدشة في سند هذه الروايات لإستفاضتها، واستدلال الأعاظم كالسيّد</w:t>
      </w:r>
      <w:r>
        <w:rPr>
          <w:rStyle w:val="FootnoteAnchor"/>
          <w:rtl w:val="true"/>
        </w:rPr>
        <w:footnoteReference w:id="1165"/>
      </w:r>
      <w:r>
        <w:rPr>
          <w:rFonts w:ascii="Amiri" w:hAnsi="Amiri" w:eastAsia="Amiri" w:cs="Amiri"/>
          <w:color w:val="111111"/>
          <w:sz w:val="28"/>
          <w:sz w:val="28"/>
          <w:szCs w:val="28"/>
          <w:rtl w:val="true"/>
          <w:lang w:bidi="ar-SA"/>
        </w:rPr>
        <w:t>وابن زُهرة</w:t>
      </w:r>
      <w:r>
        <w:rPr>
          <w:rStyle w:val="FootnoteAnchor"/>
          <w:rtl w:val="true"/>
        </w:rPr>
        <w:footnoteReference w:id="1166"/>
      </w:r>
      <w:r>
        <w:rPr>
          <w:rFonts w:ascii="Amiri" w:hAnsi="Amiri" w:eastAsia="Amiri" w:cs="Amiri"/>
          <w:color w:val="111111"/>
          <w:sz w:val="28"/>
          <w:sz w:val="28"/>
          <w:szCs w:val="28"/>
          <w:rtl w:val="true"/>
          <w:lang w:bidi="ar-SA"/>
        </w:rPr>
        <w:t xml:space="preserve">وأمثالهما بها، وكونها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يوجب الاطمئنان بصدور هذا المضمون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إنّما تدلّ على انحصار التحليل بالتسليم، لكونها مسوقة لبيان إمكان وقوع التحليل بأيّ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ولوقوع التسليم جواباً في المرسل الأخير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المصدر المضاف يفيد السريان والإطلاق، ولا يكون مهملاً ليصحّ أنْ يكون خبره أخصّ من وجه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لابدَّ وأن يكون خبره مساوياً أو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بعض الأخبار المتقدّمة صريحٌ في الحصر،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تَقابل التسليم مع التكبير يفيد الحصر، حيث إنّ التحريم منحصرٌ بالتكبير، ولازم التقابل انحصار التحليل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الحصر بأنّ تقديم الخبر يفيدُ الحصر، وهو مبنيٌّ على أنْ لا يكون إضافة المصدر إلى المعمول إضافة محضة، وهو خلاف ما ذهب إليه المحقّقون من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فظهور الأخبار في الحصر لا يُنكر، فيستفاد منها وجوب التسليم وجزئيّته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الحصر حرمة المنافيات قبله، وتوقّف جوازها وعدم بطلان الصَّلاة بها على الإتيان به، فيجبُ حفظاً للصلاة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 على الجزئيّة للصَّلاة، فلأنّها مقتضى الجمع بين هذه الأخبار، والأخبار الدالّة على حرمة المنافيات إذا وقعت في أثناء الصَّلاة، مضافاً إلى أنّ ظاهر كون التكبير تحريماً، والتسليم تحليلاً، أنّهما جزءان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آخر الصَّلاة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بسنده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رجلٍ صَلّى الصبح، فلما جَلَس في الركعتين قبل أنْ يتشهّد رَعُف،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فليخرج وليغسل أنفه، ثمّ ليرجع فليتمّ صلاته، فإنّ آخر الصَّلاة التسليم</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وظاهرها جزئيّته لها، وأنّه معتبر في ماهيّتها التي ورد الأمر بها، فتدلّ الرواية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94" w:name="pg11800_97100"/>
    </w:p>
    <w:p>
      <w:pPr>
        <w:pStyle w:val="BookText"/>
        <w:rPr/>
      </w:pPr>
      <w:bookmarkEnd w:id="494"/>
      <w:r>
        <w:rPr>
          <w:rFonts w:ascii="Amiri" w:hAnsi="Amiri" w:eastAsia="Amiri" w:cs="Amiri"/>
          <w:color w:val="111111"/>
          <w:sz w:val="28"/>
          <w:sz w:val="28"/>
          <w:szCs w:val="28"/>
          <w:rtl w:val="true"/>
          <w:lang w:bidi="ar-SA"/>
        </w:rPr>
        <w:t>على أنّه جزءٌ وجوبي لها، مضافاً إلى أنّ الأمر بالرجوع والإتمام في خبر أبي بصير، أمرٌ وجوبي لوقوع الرعاف قبل التشهّد، فتعليله بأنّ آخر الصَّلاة التسليم، يدلّ على وجوب الإتيان به، وإلّا لما صحَّ جعله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Style w:val="FootnoteAnchor"/>
          <w:rtl w:val="true"/>
        </w:rPr>
        <w:footnoteReference w:id="1168"/>
      </w:r>
      <w:r>
        <w:rPr>
          <w:rFonts w:ascii="Amiri" w:hAnsi="Amiri" w:eastAsia="Amiri" w:cs="Amiri"/>
          <w:color w:val="111111"/>
          <w:sz w:val="28"/>
          <w:sz w:val="28"/>
          <w:szCs w:val="28"/>
          <w:rtl w:val="true"/>
          <w:lang w:bidi="ar-SA"/>
        </w:rPr>
        <w:t>الآمرة به، الواردة فيمن يُصلّي خلف الإمام، والإمام يطيل تشهّده، وفي باب الخلل وغيرهما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على وجوب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الدالّة على فساد صلاة المسافر بالإتمام، معلّلاً بأنّه زيادة في الصَّلاة</w:t>
      </w:r>
      <w:r>
        <w:rPr>
          <w:rStyle w:val="FootnoteAnchor"/>
          <w:rtl w:val="true"/>
        </w:rPr>
        <w:footnoteReference w:id="1169"/>
      </w:r>
      <w:r>
        <w:rPr>
          <w:rFonts w:ascii="Amiri" w:hAnsi="Amiri" w:eastAsia="Amiri" w:cs="Amiri"/>
          <w:color w:val="111111"/>
          <w:sz w:val="28"/>
          <w:sz w:val="28"/>
          <w:szCs w:val="28"/>
          <w:rtl w:val="true"/>
          <w:lang w:bidi="ar-SA"/>
        </w:rPr>
        <w:t>، بتقريب إنّه لو لم يكن التسليم واجباً، لم يقدح الإتيان بالركعتين بعد التشهّد، لأنّ ما وقع بعد الصَّلاة لا يضرّ بها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صدق الزيادة في الصَّلاة كون التسليم جزءً وجوبيّاً، وعدم كون التشهّد آخر الأجزاء الواجبة، بل تَصْدق ما لو أتى بالزائد بعد الصَّلاة بقصد لحوقه بالمأتي به كالزيادة في الطواف، وعدم بطلان الصَّلاة بالإتيان بالزائد بعد التسليم،، إنّما هو لأجل الأخبار</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10478103_73709187"/>
      <w:bookmarkStart w:id="496" w:name="_Toc187"/>
      <w:bookmarkEnd w:id="495"/>
      <w:r>
        <w:rPr>
          <w:rtl w:val="true"/>
        </w:rPr>
        <w:t>أدلّة عدم وجوب التسليم</w:t>
      </w:r>
      <w:bookmarkEnd w:id="496"/>
    </w:p>
    <w:p>
      <w:pPr>
        <w:pStyle w:val="BookText"/>
        <w:rPr/>
      </w:pPr>
      <w:r>
        <w:rPr>
          <w:rFonts w:ascii="IRNazanin" w:hAnsi="IRNazanin" w:eastAsia="IRNazanin"/>
          <w:color w:val="111111"/>
          <w:sz w:val="28"/>
          <w:sz w:val="28"/>
          <w:szCs w:val="28"/>
          <w:rtl w:val="true"/>
          <w:lang w:bidi="fa-IR"/>
        </w:rPr>
        <w:t>واستدلّ القائلون</w:t>
      </w:r>
      <w:r>
        <w:rPr>
          <w:rStyle w:val="FootnoteAnchor"/>
          <w:rtl w:val="true"/>
        </w:rPr>
        <w:footnoteReference w:id="1170"/>
      </w:r>
      <w:r>
        <w:rPr>
          <w:rFonts w:ascii="Amiri" w:hAnsi="Amiri" w:eastAsia="Amiri" w:cs="Amiri"/>
          <w:color w:val="111111"/>
          <w:sz w:val="28"/>
          <w:sz w:val="28"/>
          <w:szCs w:val="28"/>
          <w:rtl w:val="true"/>
          <w:lang w:bidi="ar-SA"/>
        </w:rPr>
        <w:t>بالنّدب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بصحيحة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يُصلّي خلف الإمام، فيطول الإمام بالتشهّد، فيأخذ الرّجل البول، أو يتخوّف </w:t>
      </w:r>
    </w:p>
    <w:p>
      <w:pPr>
        <w:pStyle w:val="BookText"/>
        <w:rPr/>
      </w:pPr>
      <w:r>
        <w:rPr>
          <w:rFonts w:ascii="Amiri" w:hAnsi="Amiri" w:eastAsia="Amiri" w:cs="Amiri"/>
          <w:color w:val="111111"/>
          <w:sz w:val="28"/>
          <w:sz w:val="28"/>
          <w:szCs w:val="28"/>
          <w:rtl w:val="true"/>
          <w:lang w:bidi="ar-SA"/>
        </w:rPr>
        <w:t>على شيء يفوت، أو يعرض له وَجَعٌ‌،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هو وينصرف ويَدَع الإمام</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بضبط آخر وهو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تكون أدلّ على خلاف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الخصم لا يقول بجواز الانصراف بعد الشهادتين، فكما يقيّده بالصّلاة على النبيّ صلى الله عليه و آله يصحّ تقييده بالسّلام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الفضلاء،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الشهادتين، فقد مضت صلاته، فإنْ كان مستعجلاً في أمرٍ يخاف أن يفوته، فسَلّم وانصرف أجزأه</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 الصحيحة من أقوى ما يدلّ على وجوب التسليم، فإنّه يدلّ على وجوبه حتّى في حال الاستعجال، فيتعيّن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ينافي وجوب التسليم، كإرادة المُضيّ باعتبار عدم وجوب التحيّات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محمّد بن مسلم، عن الإمام جعفر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شريك له، وأشهدُ أنّ محمّداً عبده ورسوله ثمّ تنصرف</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خلوّه عن ذكر الصَّلاة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الانصراف فيه هو التسليم، بقرينة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فقد انصرفت</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انصرفتَ من الصَّلاة، فانصرف عن يمينك</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للأمر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جوابٌ آخر عن الاستدلال له بصحيح عليّ بن جعفر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بقومٍ صلاة، فقعدتُ للتشهّد، ثمّ قمت فنسيت أن اُسلِّم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تُسلّم وأنتَ جالس‌؟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عليك، ولو نسيت حين قالوا لك ذلك استقبلهم بوجهك،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بحال النسيان، وعدم وجوبه في تلك الحال لا يلازم عدم وجوبه مطلقاً، لعدم كونه جزءً رُكنيّاً، مع أنّ الظاهر منه نسيان السَّلام الأخير، فلا يدلّ على عدم وجوب الجامع بينه وبين السَّلام الثاني،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الدالّة على عدم بطلان الصَّلاة بوقوع الحَدَث والالتفات قبل التسليم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ثمّ يجلس، فيُحدِث قبل أنْ يُسلِّم‌؟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وإنْ كنتَ قد تشهّدت فلا تُعِد</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لا يختصّ بخصوص السَّلام، بل ثابتٌ في التشهّد أيضاً، بمقتضى الأخبار الاُخر، والفرق إنّما هو وجوب قضائه بعد الصَّلاة، وأمّا من حيث عدم بطلان الصَّلاة بوقوع الحَدَث، فهما مشتركان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لا تنافي وجوب التسليم والتشهّد، لاختصاصها بحال الاضطرار والسَّهو، وفي هذين الموردين حتّى ولو لم تكن الروايات الخاصّة موجودة، لكنا ملتزمين أيضاً بعدم بطلان الصَّلاة، وذلك لأنّ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نقصان الصَّلاة من حيث التشهّد والتسليم إنْ لم يكن عمديّاً غير موجبٍ للبطلان، بل الصَّلاة محكومة بالصحّة، وما نحن فيه كذلك، لأنّ المتروك لا يمكن تداركه، فتركه غير مستندٍ إلى العمد، فلا يوجب انفصاله عن الصَّلاة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المستثنى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إعادة الصَّلاة من ناحية الخمسة، الّتي منها الطهور، وبطلان الصَّلاة فيما نحن فيه ليس من هذه الجهة بل لوقوع الحَدَث في وسط الصَّلاة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المستثنى منه للتشهّد والتسليم، متوقّفٌ على عدم إمكان اتّصالها بالصّلاة، وخروج المصلّي عن الصَّلاة، وهما متوقّفان على وقوع المبطل كما لا يخفى، فوقوع المبطل متقدّمٌ رتبة على شمول المستثنى منه لهما بمرتبتين، ففي المرتبة السابقة على الحكم بأنّه لا تُعاد الصَّلاة من التشهّد والتسليم التي هي مرتبة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موضوع هذا الحكم، يحكم ببطلان الصَّلاة من جهة وقوع الحَدَث في وسط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وقوع المبطل متقدّمة على الخروج من الصَّلاة، ففي تلك المرتبة يكون الحَدَث واقعاً في وسط الصَّلاة، لا بعد الفراغ والخروج منها، فتكون محكومة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الحَدَث وأمثاله قواطع للصَّلاة، لا أنّ أعدامها مأخوذة فيها، بمعنى أنّها توجب عدم اتّصال الأجزاء اللّاحقة بالسابقة، فإنْ كان عدم اتّصالها ونقصان الصَّلاة منها موجباً للبطلان، بطلت الصَّلاة،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مقتضى المستثنى عدم اتّصال التشهّد والسَّلام بالأجزاء السابقة، وهذا لا يوجب البطلان، إذ بمقتضى المستثنى منه يسقط اعتبار اتّصالهما بها، ولا تبطل بنقصانهما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وسَلّمنا أنّها مبطلة لها في أنفسها، فلا يوجب الحَدَث في المقام البطلان، إذ موضوع البطلان وقوعه في أثناء الصَّلاة، فلابدّ من تحقّق الموضوع خارجاً ليترتّب عليه الحكم، وفي المقام الخروج عن الصَّلاة الذي هو موضوع عدم الإعادة والمبطل، يتحقّقان في الخارج في زمانٍ واحد، ففي زمان تحقّق الحَدَث يتحقّق الخروج عن الصَّلاة، وفي نفس ذلك الزمان يُحكم بعدم الإعادة، وسقوط جزئيّة التشهّد والسَّلام بنحو الاتّصال، فلا وجه للحكم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رتبة الحكم بعدم الإعادة متأخّر، لا يكفي في الحكم بالبطلان بل لابدّ من التأخّر الزماني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في ما لو وقع الحَدَث سهواً أو اضطراراً قبل التشهّد أو السَّلام، هو الحكم بصحّة الصَّلاة ومضيّها حتّى بناءً على القول </w:t>
      </w:r>
    </w:p>
    <w:p>
      <w:pPr>
        <w:pStyle w:val="BookText"/>
        <w:rPr/>
      </w:pPr>
      <w:r>
        <w:rPr>
          <w:rFonts w:ascii="Amiri" w:hAnsi="Amiri" w:eastAsia="Amiri" w:cs="Amiri"/>
          <w:color w:val="111111"/>
          <w:sz w:val="28"/>
          <w:sz w:val="28"/>
          <w:szCs w:val="28"/>
          <w:rtl w:val="true"/>
          <w:lang w:bidi="ar-SA"/>
        </w:rPr>
        <w:t>بوجوبهما وجزئيّتهما، فالروايات الخاصّة إنّما تكون موافقة للأصل، فلا تدلّ على عدم وجوب السَّلام، كما لا تدلّ على عدم وجوب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حقّقناه ظهر ما في كلام المحقّق الهمداني رحمه الله</w:t>
      </w:r>
      <w:r>
        <w:rPr>
          <w:rStyle w:val="FootnoteAnchor"/>
          <w:rtl w:val="true"/>
        </w:rPr>
        <w:footnoteReference w:id="1179"/>
      </w:r>
      <w:r>
        <w:rPr>
          <w:rFonts w:ascii="Amiri" w:hAnsi="Amiri" w:eastAsia="Amiri" w:cs="Amiri"/>
          <w:color w:val="111111"/>
          <w:sz w:val="28"/>
          <w:sz w:val="28"/>
          <w:szCs w:val="28"/>
          <w:rtl w:val="true"/>
          <w:lang w:bidi="ar-SA"/>
        </w:rPr>
        <w:t>من حمل الروايات على التقيّة، أو ارتكاب التأويل فيها، بدعوى أنّه لا يمكن الالتزام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من ما ذكرناه، عدم تماميّة ما ذكره بعض المحقّقين رحمه الله</w:t>
      </w:r>
      <w:r>
        <w:rPr>
          <w:rStyle w:val="FootnoteAnchor"/>
          <w:rtl w:val="true"/>
        </w:rPr>
        <w:footnoteReference w:id="1180"/>
      </w:r>
      <w:r>
        <w:rPr>
          <w:rFonts w:ascii="Amiri" w:hAnsi="Amiri" w:eastAsia="Amiri" w:cs="Amiri"/>
          <w:color w:val="111111"/>
          <w:sz w:val="28"/>
          <w:sz w:val="28"/>
          <w:szCs w:val="28"/>
          <w:rtl w:val="true"/>
          <w:lang w:bidi="ar-SA"/>
        </w:rPr>
        <w:t>من أنّ مقتضى الجمع بين الروايات الدالّة على عدم بطلان الصَّلاة بوقوع الحَدَث قبل السَّلام، وما يدلّ على وجوب التسليم، كونه واجباً خارجاً عن أجزاء الصَّلاة، لا واجباً نفسيّاً مستقلّاً، بل واجباً غيريّاً، ويكون جزء المركّب المأمور به، لا جزء الصَّلاة، فيكون المأمور به مركّباً من الصَّلاة، وما هو خارج عنها، فلو تركه عمداً لم يأت بالمأمور به، وقبله لا يجوز ارتكاب المحرّمات عمداً وسهواً، بالنسبة إلى بعضها، وأمّا ارتكاب بعضها سهواً، فليس بمبطل من جهة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بذلك يحصل الائتلاف بين ما يدلّ على وجوب التسليم وكونه محلّلاً، وما يدلّ على أنّ الحَدَث بعد التشهّد ليس مبطلاً للصَّلاة، وما يدلّ على أنّه فرغ من التشهّد تمّت الصَّلاة ومضت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على من تدبّر 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السَّلام للصَّلاة ووجوبه، وعدم تماميّة شيئاً ممّا استدلّ به على عدم الوجوب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97" w:name="pg11800_97106"/>
    </w:p>
    <w:p>
      <w:pPr>
        <w:pStyle w:val="BookText"/>
        <w:rPr/>
      </w:pPr>
      <w:bookmarkEnd w:id="497"/>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أو السَّلام عليكم ورحمة اللّه وبركاته</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0478105_73709187"/>
      <w:bookmarkStart w:id="499" w:name="_Toc188"/>
      <w:bookmarkEnd w:id="498"/>
      <w:r>
        <w:rPr>
          <w:rtl w:val="true"/>
        </w:rPr>
        <w:t>صورة التسليم</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التسليم الذي يتحقّق به الانصراف عن الصَّلاة،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 أو 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السَّلام على النبيّ صلى الله عليه و آله، فالمشهور عدم وجوبه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الجُعفي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صَلُّوا عَلَيْهِ وَ سَلِّمُوا تَسْلِيماً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بانضمام الإجماع على عدم وجوبه في غير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إرادة الانقياد من التسليم فيها، أنّ عدم وجوبه في غير حال الصَّلاة، لا يدلّ على وجوبه في حالها، لإمكان إرادة الندب من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ظهورها في الوجوب، تعيّن حملها على الاستحباب بقرينة ما دلّ على عدم وجوبه في الصَّلاة، كما سيمرّ عليك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وبالأمر به في خبر أبي بكر الحضرمي،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واحدة ولا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والسَّلام عليكم</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المتقدّم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الاستحباب، للإجماع على عدم وجوبه، ولما دلّ على عدم وجوب التسليم إلّاما يتحقّق به الانصراف، كصحيح الفضلاء المتقدّم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الصيغتان المتقدّمتان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فالمنسوب إلى المشهور</w:t>
      </w:r>
      <w:r>
        <w:rPr>
          <w:rStyle w:val="FootnoteAnchor"/>
          <w:rtl w:val="true"/>
        </w:rPr>
        <w:footnoteReference w:id="1187"/>
      </w:r>
      <w:r>
        <w:rPr>
          <w:rFonts w:ascii="Amiri" w:hAnsi="Amiri" w:eastAsia="Amiri" w:cs="Amiri"/>
          <w:color w:val="111111"/>
          <w:sz w:val="28"/>
          <w:sz w:val="28"/>
          <w:szCs w:val="28"/>
          <w:rtl w:val="true"/>
          <w:lang w:bidi="ar-SA"/>
        </w:rPr>
        <w:t>أنّ الواجب إحداهما على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 عدم وجوب الإتيان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جماعةٍ كثيرة</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سعيد</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طاووس</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الصَّلاة بالأولى، ومع ذلك يجبُ الإتيان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وتشهد لمحلّلية الاُولى جملةٌ من النصوص</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وجلّ 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والنبيّ صلى الله عليه و آله فهو من الصَّلاة،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فقد انصرفت</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كهمس،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الركعتين الأولتين إذا جلست فيهما للتشهّد، فقلت وأنا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النبيّ ورحمة اللّه وبركاته، إنصراف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فهو الانصراف</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بتعيّن الثانية للمحلّلية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لمحلّلية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بكر،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اُصلّي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واحدة ولا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السَّلام عليكم</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تسليم الإمام وهو مستقبل القبلة‌؟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الى إطلاقات التسليم، التي لو لم يكن المراد منها خصوص هذه الصيغة، فلا أقلّ من كونها مشمولة لها، فالقول بتعيّن الاُولى للمحلّلية ضعيف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في وجه محلّلية كلّ واحدةٍ منهما، ظهر أنّ القول بلزوم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 بينهما أيضاً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فيما اختاره السيّد ابن طاووس</w:t>
      </w:r>
      <w:r>
        <w:rPr>
          <w:rStyle w:val="FootnoteAnchor"/>
          <w:rtl w:val="true"/>
        </w:rPr>
        <w:footnoteReference w:id="1196"/>
      </w:r>
      <w:r>
        <w:rPr>
          <w:rFonts w:ascii="Amiri" w:hAnsi="Amiri" w:eastAsia="Amiri" w:cs="Amiri"/>
          <w:color w:val="111111"/>
          <w:sz w:val="28"/>
          <w:sz w:val="28"/>
          <w:szCs w:val="28"/>
          <w:rtl w:val="true"/>
          <w:lang w:bidi="ar-SA"/>
        </w:rPr>
        <w:t>وبعض المتأخّرين</w:t>
      </w:r>
      <w:r>
        <w:rPr>
          <w:rStyle w:val="FootnoteAnchor"/>
          <w:rtl w:val="true"/>
        </w:rPr>
        <w:footnoteReference w:id="1197"/>
      </w:r>
      <w:r>
        <w:rPr>
          <w:rFonts w:ascii="Amiri" w:hAnsi="Amiri" w:eastAsia="Amiri" w:cs="Amiri"/>
          <w:color w:val="111111"/>
          <w:sz w:val="28"/>
          <w:sz w:val="28"/>
          <w:szCs w:val="28"/>
          <w:rtl w:val="true"/>
          <w:lang w:bidi="ar-SA"/>
        </w:rPr>
        <w:t>من حصول الانصراف بالأُولى‌، ووجوب الإتيان بالثانية، 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رواه ابن اُذينة وغيره عن الإمام الصادق عليه السلام في وصف صلاة النبيّ صلى الله عليه و آله في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صَلّى أمره اللّه أن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مسلم المتقدّم في أدلّة وجوب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الشهادتين، فَقَد مضت صلاته، وإنْ كان مستعجلاً في أمرٍ يخاف أن يفوته، فَسَلّم وانصرفَ أجزأه</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نسيان التشهّد، الذي تضمّن الأمر بالتسليم، بعد تماميّة الصَّلاة، الظاهر في إرادة الثانية، كصحيح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يذكر حتّى يركع، فليتمّ الصَّلاة، حتّى إذا فرغ فليُسلّم وليسجد سجدتي السَّهو</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لم يذكر في خبر المعراج الاُولى، فإنّ وجوب الثانية في هذا الفرض لا يلازم وجوبها مطلقاً، وظاهر صحيح ابن مسلم أنّ المراد من التسليم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والانصراف فيه شيءٌ واحد، لا أنّ المراد من التسليم الصيغة الاُولى، ومن الانصراف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وإنْ تحقّق الإنصراف بالأُولى للروايات، إلّاأنّه لا يحلّ المنافيات إلّا بعد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الدالّة على تحقّق الانصراف بالأُولى ظاهرة في أنّه لا شيء عليه بعده، ويمضي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 أبي عبد اللّه عليه السلام في خبر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في التشهّد الأوّل السَّلام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تحليل الصَّلاة هو التسليم، فإذا قلت هذا، فقد سلّمت</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8303</w:t>
      </w:r>
      <w:r>
        <w:rPr>
          <w:rFonts w:ascii="Amiri" w:hAnsi="Amiri" w:eastAsia="Amiri" w:cs="Amiri"/>
          <w:color w:val="111111"/>
          <w:sz w:val="28"/>
          <w:sz w:val="28"/>
          <w:szCs w:val="28"/>
          <w:rtl w:val="true"/>
          <w:lang w:bidi="ar-SA"/>
        </w:rPr>
        <w:t>،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وتعليل الإمام الرضا عليه السلام في ما كتبه إلى المأمون، للمنع عن الاُولى في التشهّد الأوّل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 الصَّلاة التسليم، فإذا قلتَ هذا فقد سَلّمت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صريحان في أنّ تحقّق الخروج بالصيغة الاُولى‌، إنّما هو لكونها مصداقاً للتحليل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بتحقّق الانصراف بالأُولى‌، وكون الثانية تحليلاً،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حصول الانصراف بالأُولى‌، وكونها تحليلاً، ومع ذلك يجب الإتيان بالثانية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خبر 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المشتمل على أنّ علّة وجوب التسليم في الصَّلاة، أنّه تحليل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الروايات الظاهرة في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الشارع لم يوجب تسليماً، غير ما جعله تحليلاً للصَّلاة، عدم وجوب التسليم الثاني، مع فرض حصول التحليل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الصيغة الثانية بعد الاُولى ضعيفٌ‌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الجمع بين الأخبار ما اخترناه من أنّ كلّاً منهما واجبٌ تخييري</w:t>
      </w:r>
      <w:r>
        <w:rPr>
          <w:rFonts w:eastAsia="Amiri" w:cs="Amiri" w:ascii="Amiri" w:hAnsi="Amiri"/>
          <w:color w:val="111111"/>
          <w:sz w:val="28"/>
          <w:szCs w:val="28"/>
          <w:rtl w:val="true"/>
          <w:lang w:bidi="ar-SA"/>
        </w:rPr>
        <w:t>.</w:t>
      </w:r>
      <w:bookmarkStart w:id="500" w:name="pg11800_97112"/>
    </w:p>
    <w:p>
      <w:pPr>
        <w:pStyle w:val="Heading6"/>
        <w:numPr>
          <w:ilvl w:val="5"/>
          <w:numId w:val="1"/>
        </w:numPr>
        <w:rPr/>
      </w:pPr>
      <w:bookmarkStart w:id="501" w:name="__RefHeading___Toc10478107_73709187"/>
      <w:bookmarkStart w:id="502" w:name="_Toc189"/>
      <w:bookmarkEnd w:id="500"/>
      <w:bookmarkEnd w:id="501"/>
      <w:r>
        <w:rPr>
          <w:rtl w:val="true"/>
        </w:rPr>
        <w:t>مسائل باب التسليم</w:t>
      </w:r>
      <w:bookmarkEnd w:id="502"/>
    </w:p>
    <w:p>
      <w:pPr>
        <w:pStyle w:val="Heading6"/>
        <w:numPr>
          <w:ilvl w:val="5"/>
          <w:numId w:val="1"/>
        </w:numPr>
        <w:rPr/>
      </w:pPr>
      <w:bookmarkStart w:id="503" w:name="__RefHeading___Toc10478109_73709187"/>
      <w:bookmarkStart w:id="504" w:name="_Toc190"/>
      <w:bookmarkEnd w:id="503"/>
      <w:r>
        <w:rPr>
          <w:rtl w:val="true"/>
        </w:rPr>
        <w:t>يستحبّ إذا اختار الاُولى‌، الإتيان بالثانية</w:t>
      </w:r>
      <w:bookmarkEnd w:id="504"/>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إذا اختار الاُولى‌، الإتيان بالثانية، لما تضمّن الأمر بها، المحمول على الاستحباب، بقرينة ما تقدّم، مضافاً إلى ورود الجمع بينهما بهذه الكيفيّة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تكون الثانية حينئذٍ من الأجزاء المستحبّة‌؟</w:t>
      </w:r>
    </w:p>
    <w:p>
      <w:pPr>
        <w:pStyle w:val="BookText"/>
        <w:rPr/>
      </w:pPr>
      <w:r>
        <w:rPr>
          <w:rFonts w:ascii="Amiri" w:hAnsi="Amiri" w:eastAsia="Amiri" w:cs="Amiri"/>
          <w:color w:val="111111"/>
          <w:sz w:val="28"/>
          <w:sz w:val="28"/>
          <w:szCs w:val="28"/>
          <w:rtl w:val="true"/>
          <w:lang w:bidi="ar-SA"/>
        </w:rPr>
        <w:t>أو تكون من المستحبّات المستقلّة عقيب الصَّلاة‌؟</w:t>
      </w:r>
    </w:p>
    <w:p>
      <w:pPr>
        <w:pStyle w:val="BookText"/>
        <w:rPr/>
      </w:pPr>
      <w:r>
        <w:rPr>
          <w:rFonts w:ascii="Amiri" w:hAnsi="Amiri" w:eastAsia="Amiri" w:cs="Amiri"/>
          <w:color w:val="111111"/>
          <w:sz w:val="28"/>
          <w:sz w:val="28"/>
          <w:szCs w:val="28"/>
          <w:rtl w:val="true"/>
          <w:lang w:bidi="ar-SA"/>
        </w:rPr>
        <w:t>وعلى فرض كونها من الأجزاء، هل تكون جزء المحلّل، بمعنى أنّ المجموع يقع محلّلاً؟</w:t>
      </w:r>
    </w:p>
    <w:p>
      <w:pPr>
        <w:pStyle w:val="BookText"/>
        <w:rPr/>
      </w:pPr>
      <w:r>
        <w:rPr>
          <w:rFonts w:ascii="Amiri" w:hAnsi="Amiri" w:eastAsia="Amiri" w:cs="Amiri"/>
          <w:color w:val="111111"/>
          <w:sz w:val="28"/>
          <w:sz w:val="28"/>
          <w:szCs w:val="28"/>
          <w:rtl w:val="true"/>
          <w:lang w:bidi="ar-SA"/>
        </w:rPr>
        <w:t>أو جزءً للصَّلاة مع فرض كون الاُولى محلّلة‌؟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تدفع القول بأنّها جزءً للصَّلاة مع كون الاُولى محلّلة، الأخبار الواردة في الاُولى الدالّة على أنّه تنقطع الصَّلاة بالإتيان بها، وهو ينافي بقاء جزءٍ 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بكون الثانية جزء المحلّل، يدفعه أنّ ظاهر الأخبار حصول التحليل بالأولى، ومعه لا يبقى محلّ لتأثير الثانية في الحليّة، اللّهُمَّ إلّاأنْ يلتزم بأنّها من مكمّلات الاُولى‌، إلّاأنّه تدفعه أيضاً بعض الأخبار الآمرة بها، بعد الحكم بحصول الانقطاع بالأُولى‌، كخبر أبي بصير، فلا يمكن الالتزام بجزئيّتها للصَّلاة، فتكون من الاُمور الخارجة عنها؛ المستحبّة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اختار الثانية، فإستحباب الإتيان بالأُولى محلّ تأمّل، إذ لم يدلّ عليه دليل</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0478111_73709187"/>
      <w:bookmarkStart w:id="506" w:name="_Toc191"/>
      <w:bookmarkEnd w:id="505"/>
      <w:r>
        <w:rPr>
          <w:rtl w:val="true"/>
        </w:rPr>
        <w:t>يكفي في الصيغة الثانية</w:t>
      </w:r>
      <w:r>
        <w:rPr>
          <w:rtl w:val="true"/>
        </w:rPr>
        <w:t xml:space="preserve">: </w:t>
      </w:r>
      <w:r>
        <w:rPr>
          <w:rtl w:val="true"/>
        </w:rPr>
        <w:t>السَّلام عليكم</w:t>
      </w:r>
      <w:bookmarkEnd w:id="50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الصيغة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نُسِب إلى الأكثر</w:t>
      </w:r>
      <w:r>
        <w:rPr>
          <w:rStyle w:val="FootnoteAnchor"/>
          <w:rtl w:val="true"/>
        </w:rPr>
        <w:footnoteReference w:id="1202"/>
      </w:r>
      <w:r>
        <w:rPr>
          <w:rFonts w:ascii="Amiri" w:hAnsi="Amiri" w:eastAsia="Amiri" w:cs="Amiri"/>
          <w:color w:val="111111"/>
          <w:sz w:val="28"/>
          <w:sz w:val="28"/>
          <w:szCs w:val="28"/>
          <w:rtl w:val="true"/>
          <w:lang w:bidi="ar-SA"/>
        </w:rPr>
        <w:t>، لرواية الحضرمي، عن الإمام الصادق عليه السلام، قال</w:t>
      </w:r>
      <w:r>
        <w:rPr>
          <w:rFonts w:eastAsia="Amiri" w:cs="Amiri" w:ascii="Amiri" w:hAnsi="Amiri"/>
          <w:color w:val="111111"/>
          <w:sz w:val="28"/>
          <w:szCs w:val="28"/>
          <w:rtl w:val="true"/>
          <w:lang w:bidi="ar-SA"/>
        </w:rPr>
        <w:t xml:space="preserve">: </w:t>
      </w:r>
      <w:bookmarkStart w:id="507" w:name="pg11800_97113"/>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اُصلّي بقومٍ؟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واحدة ولا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السَّلام عليكم</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اللّه 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تسليم الإمام وهو مستقبل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لزوم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بصحيحة عليّ بن جعفر الحاكية لصلاة الإمام الكاظم عليه السلام</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اُذينة، الحاكي لصلاة النبيّ صلى الله عليه و آله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يستفاد منهما سوى الرّجحان، لأعميّة الفعل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ذيل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السَّلام عليكم ورحمة اللّه</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 فلا يعتمد عليه لضعف 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207"/>
      </w:r>
      <w:r>
        <w:rPr>
          <w:rFonts w:ascii="Amiri" w:hAnsi="Amiri" w:eastAsia="Amiri" w:cs="Amiri"/>
          <w:color w:val="111111"/>
          <w:sz w:val="28"/>
          <w:sz w:val="28"/>
          <w:szCs w:val="28"/>
          <w:rtl w:val="true"/>
          <w:lang w:bidi="ar-SA"/>
        </w:rPr>
        <w:t xml:space="preserve">أنّ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يكون للاكتفاء بذكر البعض عن ذكر الكلّ‌، مندفعة بأنّها خالية عن الشاهد</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0478113_73709187"/>
      <w:bookmarkStart w:id="509" w:name="_Toc192"/>
      <w:bookmarkEnd w:id="508"/>
      <w:r>
        <w:rPr>
          <w:rtl w:val="true"/>
        </w:rPr>
        <w:t>لا يعتبر نيّة الخروج</w:t>
      </w:r>
      <w:bookmarkEnd w:id="50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السَّلام المُخْرِج نيّة الخروج من الصَّلاة، ولا عدم قصد عدم الخروج، لإطلاق الأدلّة، ولأنّ ظاهر جملةٍ من النصوص أنّ الخروج والتحليل من أحكام السَّلام بما هو، مثل ما ورد في كتاب الإمام الرضا عليه السلام </w:t>
      </w:r>
    </w:p>
    <w:p>
      <w:pPr>
        <w:pStyle w:val="BookText"/>
        <w:rPr/>
      </w:pPr>
      <w:r>
        <w:rPr>
          <w:rFonts w:ascii="IRNazanin" w:hAnsi="IRNazanin" w:eastAsia="IRNazanin"/>
          <w:color w:val="111111"/>
          <w:sz w:val="28"/>
          <w:sz w:val="28"/>
          <w:szCs w:val="28"/>
          <w:rtl w:val="true"/>
          <w:lang w:bidi="fa-IR"/>
        </w:rPr>
        <w:t>إلى المأمون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تقول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لأنّ تحليل الصَّلاة التسليم، فإذا قلتَ هذا فقد سَلّمت</w:t>
      </w:r>
      <w:r>
        <w:rPr>
          <w:rFonts w:eastAsia="Amiri" w:cs="Amiri" w:ascii="Amiri" w:hAnsi="Amiri"/>
          <w:color w:val="111111"/>
          <w:sz w:val="28"/>
          <w:szCs w:val="28"/>
          <w:rtl w:val="true"/>
          <w:lang w:bidi="ar-SA"/>
        </w:rPr>
        <w:t>»</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اعتبار قصد الخروج، بأنّه مناقضٌ للصَّلاة، لأنّه كلام آدمي، فلو لم يقترن به ما يصرفه إلى التحليل، كان مناقضاً لها،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وقع في الأثناء، يكون مناقضاً لها مطلقاً، وأمّا لو وقع في محلّه، فهو تحليلٌ بحكم الشارع ولو لم يقصد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يختلف الحكم في عدّة فروع، باعتبار قصد الخروج وعدم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بالثانية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المختار يخرج عن الصَّلاة بالأُولى‌، وأمّا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قَصَد أمرها، إلّاأنّه جهلا بالحكم قصد بها الخروج، فقد امتثل أمرها، ويكون قصده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يقصد أمرها، بأن يقصد خصوص الصيغة الّتي جُعِلت مُخْرِجةً عن الصَّلاة بعد الاُولى‌، فحيثُ أنّ ما قصده لا واقع له، وما له واقع لم يقصده، فلا تقع امتثالاً لأمرها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بناءً على اعتبار قصد الخروج</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فبناءً على تعيّن الاُولى للخروج، تبطل الصَّلاة في الفرض، لزيادة الاُولى‌، لأنّه لم يأت بها مع ما يعتبر فيها وهو قصد الخروج، فتقع زائدة، وزيادة الثانية أيضاً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بناءً على تعيّن الثانية للخروج، فتصحّ الصَّلاة، لأنّ ما يعتبر فيه قصد الخروج قد قُصِد، وما لم يُقصَد الخروج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معتبراً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بناءً على التخيير، ومشروعيّة الاُخرى‌، فالصلاة صحيحة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عدم مشروعيّة الاُخرى‌، فتبطل من جهة الزيادة، كما لايخفى 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الخروج بالأولى‌، وأتى بالثانية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المختار تصحّ الصَّلاة، لأنّ قصد الخروج ليس بمضرّ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لزوم قصد الخروج، فبناءً على تعيّن الاُولى للخروج أو التخيير، فصحّة الصَّلاة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تعيّن الثانية للخروج، فالصلاة باطلة لزيادة الاُولى، إنْ كان قصده الخروج بالأولى مضرّاً بقصد امتثال أمرها، وإلّا فتصحّ الصَّلاة كما تقدّم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ظهر حكم ما لو نوى الخروج بهما، أو لم ينو الخروج بشيٍ منهما، فلا نطيل الكلام في بيان حكمهما</w:t>
      </w:r>
      <w:r>
        <w:rPr>
          <w:rFonts w:eastAsia="Amiri" w:cs="Amiri" w:ascii="Amiri" w:hAnsi="Amiri"/>
          <w:color w:val="111111"/>
          <w:sz w:val="28"/>
          <w:szCs w:val="28"/>
          <w:rtl w:val="true"/>
          <w:lang w:bidi="ar-SA"/>
        </w:rPr>
        <w:t>.</w:t>
      </w:r>
      <w:bookmarkStart w:id="510" w:name="pg11800_97116"/>
    </w:p>
    <w:p>
      <w:pPr>
        <w:pStyle w:val="BookText"/>
        <w:rPr/>
      </w:pPr>
      <w:bookmarkEnd w:id="510"/>
      <w:r>
        <w:rPr>
          <w:rFonts w:ascii="Amiri" w:hAnsi="Amiri" w:eastAsia="Amiri" w:cs="Amiri"/>
          <w:color w:val="111111"/>
          <w:sz w:val="28"/>
          <w:sz w:val="28"/>
          <w:szCs w:val="28"/>
          <w:rtl w:val="true"/>
          <w:lang w:bidi="ar-SA"/>
        </w:rPr>
        <w:t>ويستحبّ أن يسلّم المنفرد إلى القبلة ويؤمي بمؤخّر عينيه إلى يمينه</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0478115_73709187"/>
      <w:bookmarkStart w:id="512" w:name="_Toc193"/>
      <w:bookmarkEnd w:id="511"/>
      <w:r>
        <w:rPr>
          <w:rtl w:val="true"/>
        </w:rPr>
        <w:t>مستحبّات التَّسليم</w:t>
      </w:r>
      <w:bookmarkEnd w:id="51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يُسلِّم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القبلة، ويؤمي بمؤخّر عينيه إلى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استحباب تسليمة واحدة إلى القبلة، فهو المشهور بين الأصحاب</w:t>
      </w:r>
      <w:r>
        <w:rPr>
          <w:rStyle w:val="FootnoteAnchor"/>
          <w:rtl w:val="true"/>
        </w:rPr>
        <w:footnoteReference w:id="1209"/>
      </w:r>
      <w:r>
        <w:rPr>
          <w:rFonts w:ascii="Amiri" w:hAnsi="Amiri" w:eastAsia="Amiri" w:cs="Amiri"/>
          <w:color w:val="111111"/>
          <w:sz w:val="28"/>
          <w:sz w:val="28"/>
          <w:szCs w:val="28"/>
          <w:rtl w:val="true"/>
          <w:lang w:bidi="ar-SA"/>
        </w:rPr>
        <w:t>، ويدلّ عليه، قول أبي عبد اللّه عليه السلام في صحيحة عبد الحيمد بن عواض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تؤمُّ قوماً أجزأك تسليمة واحدة عن يمينك، وإنْ كنتَ مع إمامٍ فتسليمتين، وإنْ كنت وحدك فواحدة مستقبل القبلة</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إخوتي موسى وإسحاق ومحمّد بني جعفر يُسلِّمون في الصَّلاة عن اليمين وعن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والسَّلام عليكم ورحمة اللّه</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حملها على رؤيته لهم في حال كونهم مأمومين لا منفردين،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ينافيه خبر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وحدك، فسلّم تسليمة واحدة عن يمينك</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ويمكن الجمع بينهما بحملهما على التخيير، وعلى فرض التعارض تقدّم صحيحة عبد الحميد لأصحيّة سندها وأشهريّتها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والإمام بصفحة وجهه، والمأموم عن يمينه ويساره إنْ كان على يساره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فاستحباب تسليمة واحدة للمنفرد، مستقبل القبلة، بحسب الأدلّة لاينبغي التشكيك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 أن يؤمي بمؤخّر عينيه إلى يمينه، فتشهد له الشهرة بين العلماء، ولعلّها تكفي في إثبات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تسليمة واحدة، ويؤمي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بصفحة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عبد الحميد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عدّة من الروايات</w:t>
      </w:r>
      <w:r>
        <w:rPr>
          <w:rStyle w:val="FootnoteAnchor"/>
          <w:rtl w:val="true"/>
        </w:rPr>
        <w:footnoteReference w:id="1213"/>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يُسلّم تسليمة واحدة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ينافيها، إذ تُحمل الصحيحة على الالتفات اليسير غير المنافي لصدق الاستفبال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بصفحة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يمينه ويساره إنْ كان على يساره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لطائفة من الأخبار مثل مارواه الكليني في الصحيح،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صفٍ فسلّم تسليمةً عن يمينك، وتسليمةً عن يسارك، لأنّ عن يسارك من يُسلّم عليك</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بعض الروايات من أنّه يُسلّم تسليمتين</w:t>
      </w:r>
      <w:r>
        <w:rPr>
          <w:rStyle w:val="FootnoteAnchor"/>
          <w:rtl w:val="true"/>
        </w:rPr>
        <w:footnoteReference w:id="1215"/>
      </w:r>
      <w:r>
        <w:rPr>
          <w:rFonts w:ascii="Amiri" w:hAnsi="Amiri" w:eastAsia="Amiri" w:cs="Amiri"/>
          <w:color w:val="111111"/>
          <w:sz w:val="28"/>
          <w:sz w:val="28"/>
          <w:szCs w:val="28"/>
          <w:rtl w:val="true"/>
          <w:lang w:bidi="ar-SA"/>
        </w:rPr>
        <w:t>بلا تقييدٍ، يُحمل على صورة كون أحدٍ على اليسار، لعدم الإطلاق له من هذه الجهة، مضافاً إلى الروايات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المصرّحة بأنّه إنْ لم يكن على يساره أحدٌ، عليه أن يُسلِّم واحدة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بعض الروايات الاُخر من أنّ وظيفته ليست إلّاتسليمة واحدة، كقوله عليه السلام في صحيحة زرارة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تسليمة واحدة إماماً كان أو غيره</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فيُحمل على نفي تأكّد الاستحباب، أو يُحمل على غير المأموم، أي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الأحكام مختصّة بالتسليمة الأخيرة، كما هو المشهور بين الأصحاب</w:t>
      </w:r>
      <w:r>
        <w:rPr>
          <w:rStyle w:val="FootnoteAnchor"/>
          <w:rtl w:val="true"/>
        </w:rPr>
        <w:footnoteReference w:id="1217"/>
      </w:r>
      <w:r>
        <w:rPr>
          <w:rFonts w:ascii="Amiri" w:hAnsi="Amiri" w:eastAsia="Amiri" w:cs="Amiri"/>
          <w:color w:val="111111"/>
          <w:sz w:val="28"/>
          <w:sz w:val="28"/>
          <w:szCs w:val="28"/>
          <w:rtl w:val="true"/>
          <w:lang w:bidi="ar-SA"/>
        </w:rPr>
        <w:t>، ولا يخفى وجهه على من أمعن النظر في روايات الباب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13" w:name="pg11800_97119"/>
    </w:p>
    <w:p>
      <w:pPr>
        <w:pStyle w:val="Heading4"/>
        <w:numPr>
          <w:ilvl w:val="3"/>
          <w:numId w:val="1"/>
        </w:numPr>
        <w:rPr/>
      </w:pPr>
      <w:bookmarkStart w:id="514" w:name="__RefHeading___Toc10478117_73709187"/>
      <w:bookmarkStart w:id="515" w:name="_Toc194"/>
      <w:bookmarkEnd w:id="513"/>
      <w:bookmarkEnd w:id="514"/>
      <w:r>
        <w:rPr>
          <w:rtl w:val="true"/>
        </w:rPr>
        <w:t>الفصل الثاني</w:t>
      </w:r>
      <w:r>
        <w:rPr>
          <w:rtl w:val="true"/>
        </w:rPr>
        <w:t xml:space="preserve">: </w:t>
      </w:r>
      <w:r>
        <w:rPr>
          <w:rtl w:val="true"/>
        </w:rPr>
        <w:t>في مندوبات الصَّلاة</w:t>
      </w:r>
      <w:bookmarkEnd w:id="515"/>
    </w:p>
    <w:p>
      <w:pPr>
        <w:pStyle w:val="Heading5"/>
        <w:numPr>
          <w:ilvl w:val="4"/>
          <w:numId w:val="1"/>
        </w:numPr>
        <w:rPr/>
      </w:pPr>
      <w:bookmarkStart w:id="516" w:name="__RefHeading___Toc10478119_73709187"/>
      <w:bookmarkStart w:id="517" w:name="_Toc195"/>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مندوبات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بسبع تكبيرات بينها ثلاثة 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مندوبات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مندوبات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سمعته في المواضع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ذكر المصنّف رحمه الله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0478121_73709187"/>
      <w:bookmarkStart w:id="519" w:name="_Toc196"/>
      <w:bookmarkEnd w:id="518"/>
      <w:r>
        <w:rPr>
          <w:rtl w:val="true"/>
        </w:rPr>
        <w:t>الأوّل</w:t>
      </w:r>
      <w:r>
        <w:rPr>
          <w:rtl w:val="true"/>
        </w:rPr>
        <w:t xml:space="preserve">: </w:t>
      </w:r>
      <w:r>
        <w:rPr>
          <w:rtl w:val="true"/>
        </w:rPr>
        <w:t>التوجّه بسبع تكبيرات بينهما ثلاثة أدعية</w:t>
      </w:r>
      <w:bookmarkEnd w:id="519"/>
    </w:p>
    <w:p>
      <w:pPr>
        <w:pStyle w:val="Heading6"/>
        <w:numPr>
          <w:ilvl w:val="5"/>
          <w:numId w:val="1"/>
        </w:numPr>
        <w:rPr/>
      </w:pPr>
      <w:bookmarkStart w:id="520" w:name="__RefHeading___Toc10478123_73709187"/>
      <w:bookmarkStart w:id="521" w:name="_Toc197"/>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بسبع تكبيرات بينهما ثلاثة 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يُكبّر ثلاثاً ثمّ يدعو، ثمّ يكبّر اثنين ثمّ يدعو، ثمّ يكبر اثنين ثمّ يدعو، لقول الإمام الصادق عليه السلام في حسنة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فارفع يديك ثمّ ابسطهما، ثمّ كبّر ثلاث تكبيرات، ثمّ قُل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المَلِكُ الحقّ لا إله إلّاأنتَ‌، سُبحانك إنّي ظلمتُ نفسي فاغفر لي ذنبي إنّه لا يغفر الذنوب إلّاأنتَ‌، ثمّ كبّر تكبيرتين،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والخَير في يديك، والشَّر ليس إليك، المهديُّ مَن هَدَيت، لا مَلْجأ منك إلّاإليك، سُبحانك وحَنانيك، تباركتَ وتعاليتْ‌، سُبحانك ربّ البيت، ثمّ كبّر تكبيرتين،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والأرض، عالمُ الغيب والشهادة، حنيفاً مُسلماً، وما أنا من المشركين، إنَّ صلاتي ونُسُكي ومحياي ومماتي للّه ربِّ العالمين، لا شريك له، وبذلك أُمرتُ وأنا من المسلمين</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bookmarkStart w:id="522" w:name="pg11800_97120"/>
    </w:p>
    <w:p>
      <w:pPr>
        <w:pStyle w:val="BookText"/>
        <w:rPr/>
      </w:pPr>
      <w:bookmarkEnd w:id="522"/>
      <w:r>
        <w:rPr>
          <w:rFonts w:ascii="Amiri" w:hAnsi="Amiri" w:eastAsia="Amiri" w:cs="Amiri"/>
          <w:color w:val="111111"/>
          <w:sz w:val="28"/>
          <w:sz w:val="28"/>
          <w:szCs w:val="28"/>
          <w:rtl w:val="true"/>
          <w:lang w:bidi="ar-SA"/>
        </w:rPr>
        <w:t xml:space="preserve">وفي 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النفليّة</w:t>
      </w:r>
      <w:r>
        <w:rPr>
          <w:rFonts w:eastAsia="Amiri" w:cs="Amiri" w:ascii="Amiri" w:hAnsi="Amiri"/>
          <w:color w:val="111111"/>
          <w:sz w:val="28"/>
          <w:szCs w:val="28"/>
          <w:rtl w:val="true"/>
          <w:lang w:bidi="ar-SA"/>
        </w:rPr>
        <w:t>»</w:t>
      </w:r>
      <w:r>
        <w:rPr>
          <w:rStyle w:val="FootnoteAnchor"/>
          <w:rtl w:val="true"/>
        </w:rPr>
        <w:footnoteReference w:id="1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عقيب السادسة يا محسنُ قد أتاكَ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الإتيان بالتكبيرات السَّبع على النهج المزبور، إنّما هو مستحبّ‌، ولايجب أزيد من تكبيرة واحدة للإحرام، كما هو صريح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التكبيرة في التوجّه إلى الصَّلاة، تكبيرة واحدة، ثلاث تكبيرات وخمس، وسبع أفضل</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وكبّر إنْ شئت فواحدة، وإنْ شئتَ ثلاثاً، وإنْ شئتَ خمساً، وإنْ شئتَ سبعاً، كلّ ذلك مجزٍ عنك</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تُجزيك، قلت فالسَّبع‌؟ قال ذلك الفضل</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تدلّ على عدم وجوب أزيد من تكبيرة واحدة، وأفضليّة السّبع، وإنّ منها تكبيرة الإحرام، وهذا لا كلام فيه، إنّما الكلام يقع في موردين</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0478125_73709187"/>
      <w:bookmarkStart w:id="524" w:name="_Toc198"/>
      <w:bookmarkEnd w:id="523"/>
      <w:r>
        <w:rPr>
          <w:rtl w:val="true"/>
        </w:rPr>
        <w:t>ما به الإفتتاح من التكبيرات</w:t>
      </w:r>
      <w:bookmarkEnd w:id="52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الافتتاح هل يحصل بمجموع ما يختاره من التكبيرات، أو </w:t>
      </w:r>
    </w:p>
    <w:p>
      <w:pPr>
        <w:pStyle w:val="BookText"/>
        <w:rPr/>
      </w:pPr>
      <w:r>
        <w:rPr>
          <w:rFonts w:ascii="Amiri" w:hAnsi="Amiri" w:eastAsia="Amiri" w:cs="Amiri"/>
          <w:color w:val="111111"/>
          <w:sz w:val="28"/>
          <w:sz w:val="28"/>
          <w:szCs w:val="28"/>
          <w:rtl w:val="true"/>
          <w:lang w:bidi="ar-SA"/>
        </w:rPr>
        <w:t>أنّ الذي تُفتتح به الصَّلاة تكبيرة واحدة، والبقيّة خارجة عن الواجب المطلوبة بطلب ندبي‌؟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ظاهر عدّة من روايات الباب، أنّ الإفتتاح يحصل بمجموع ما يختاره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أفتى به والد المجلسي رحمه الله</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صحيحة زيد الشّحام المتقدّمة، ورواية ابن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تُجزيه تكبيرة واحدة، وتُجزيك ثلاثاً مترسّلاً إذا كنت وحدك</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بصير المتقدّم، 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ينبغي رفع اليد عن هذا الظهور، لا لما قيل من عدم تصوّر التخيير بين الأقلّ والأكثر، خصوصاً إذا كان الأقلّ وجوده منحازاً في الخارج عمّا يلحقه من الأجزاء الاُخر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يندفع بأنّ التخيير بين الأقلّ والأكثر ممكن بأخذ الأقلّ بشرط لا، كما حقّقناه في الاُصول</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الوجه في رفع اليد عن ظهور الأخبار، عدم معروفيّة هذا القول بين الأصحاب، بل المعروف خلافه، ولا يُبعد دعوى شهادة بعض الأخبار لما ذهب إليه الأصحاب، كصحيحة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 إماماً يُجزيك أن تُكبّر واحدة، تجهر فيها وتُسِرّ ستّاً</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لإشعارها أو دلالتها على أنّ ما يُجهر به هو بالخصوص تكبيرة الافتتاح دون ما عداها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25" w:name="pg11800_97122"/>
    </w:p>
    <w:p>
      <w:pPr>
        <w:pStyle w:val="BookText"/>
        <w:rPr/>
      </w:pPr>
      <w:bookmarkEnd w:id="525"/>
      <w:r>
        <w:rPr>
          <w:rFonts w:ascii="Amiri" w:hAnsi="Amiri" w:eastAsia="Amiri" w:cs="Amiri"/>
          <w:color w:val="111111"/>
          <w:sz w:val="28"/>
          <w:sz w:val="28"/>
          <w:szCs w:val="28"/>
          <w:rtl w:val="true"/>
          <w:lang w:bidi="ar-SA"/>
        </w:rPr>
        <w:t>وعليه، فما ذهب إليه المشهور</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واحدة منها تكبيرة الإحرام هو المتّبع</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10478127_73709187"/>
      <w:bookmarkStart w:id="527" w:name="_Toc199"/>
      <w:bookmarkEnd w:id="526"/>
      <w:r>
        <w:rPr>
          <w:rtl w:val="true"/>
        </w:rPr>
        <w:t>هل يتعيّن أن يَجعل الأُولى افتتاحاً أو الأخيرة</w:t>
      </w:r>
      <w:bookmarkEnd w:id="527"/>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يتعيّن أن يَجعل الأُولى افتتاحاً، كما عن جماعة من المتأخّرين</w:t>
      </w:r>
      <w:r>
        <w:rPr>
          <w:rStyle w:val="FootnoteAnchor"/>
          <w:rtl w:val="true"/>
        </w:rPr>
        <w:footnoteReference w:id="12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الأخيرة، كما هو ظاهر جماعةٍ من القدماء</w:t>
      </w:r>
      <w:r>
        <w:rPr>
          <w:rStyle w:val="FootnoteAnchor"/>
          <w:rtl w:val="true"/>
        </w:rPr>
        <w:footnoteReference w:id="12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يتخيّر في السبع أيّتها شاء جَعَلها تكبيرة الإفتتاح</w:t>
      </w:r>
      <w:r>
        <w:rPr>
          <w:rStyle w:val="FootnoteAnchor"/>
          <w:rtl w:val="true"/>
        </w:rPr>
        <w:footnoteReference w:id="1231"/>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بروايتين واردتين في سبب زيادة سِتّ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في الصّلاة وإلى جانبه الحسين بن عليّ‌، فكبّر رسول اللّه صلى الله عليه و آله فلم يحر الحسين عليه السلام بالتكبير، ثمّ كبّر رسول اللّه صلى الله عليه و آله فلم يحرالحسين التكبير، فلم يزل رسول اللّه صلى الله عليه و آله يُكبِّر ويعالج الحسين حتّى كمل سبع تكبيرات، فأحار الحسين التكبير 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سُنّة</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فافتتح رسول اللّه صلى الله عليه و آله الصَّلاة فكبّر الحسين عليه السلام، فلمّا سَمع رسول اللّه صلى الله عليه و آله تكبيره عاد فكبّر، فكبّر الحسين عليه السلام حتّى كبّر </w:t>
      </w:r>
    </w:p>
    <w:p>
      <w:pPr>
        <w:pStyle w:val="BookText"/>
        <w:rPr/>
      </w:pPr>
      <w:r>
        <w:rPr>
          <w:rFonts w:ascii="Amiri" w:hAnsi="Amiri" w:eastAsia="Amiri" w:cs="Amiri"/>
          <w:color w:val="111111"/>
          <w:sz w:val="28"/>
          <w:sz w:val="28"/>
          <w:szCs w:val="28"/>
          <w:rtl w:val="true"/>
          <w:lang w:bidi="ar-SA"/>
        </w:rPr>
        <w:t>رسول اللّه صلى الله عليه و آله سَبع تكبيرات، وكبّر الحسين عليه السلام، فَجَرَت السُنّة بذلك</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كبّره صلى الله عليه و آله أوّلاً هو تكبيرة الإحرام، والتكبيرات الاُخرى إنّما صدرت لتمرين الحسين عليه السلام على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افتتاح الصَّلاة بالأُولى إنّما كان قبل تشريع السَّبع، وأمّا بعدما شُرّع فهل يتعيّن جعلها تكبيرة الإحرام فهو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بعض المحقّقين</w:t>
      </w:r>
      <w:r>
        <w:rPr>
          <w:rStyle w:val="FootnoteAnchor"/>
          <w:rtl w:val="true"/>
        </w:rPr>
        <w:footnoteReference w:id="1234"/>
      </w:r>
      <w:r>
        <w:rPr>
          <w:rFonts w:ascii="Amiri" w:hAnsi="Amiri" w:eastAsia="Amiri" w:cs="Amiri"/>
          <w:color w:val="111111"/>
          <w:sz w:val="28"/>
          <w:sz w:val="28"/>
          <w:szCs w:val="28"/>
          <w:rtl w:val="true"/>
          <w:lang w:bidi="ar-SA"/>
        </w:rPr>
        <w:t>على تعيّن الاُولى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الإطلاق، بعد الإجماع على حصول الافتتاح بواحدة منها، عدم اعتبار خصوصيّة زائدة عن طبيعة التكبيرة المأتي بها للافتتاح، فلابدّ وأن يحصل الافتتاح بالأُولى، لأنّه ما دام لم يوجد المسمّى في الخارج، وجب إيجاد المسمّى‌، فمتى وُجِد سقط الوجوب، فيتّصف بعده سائر الأفراد بالاستحباب، إذ الأمر الوجوبي والاستحبابي لا يتنجّزان معاً إذا كان متعلّقهما طبيعة واحدة بلحاظ أفرادها المتعدّدة، فلا محالة ما يوجد في الخارج أوّلاً يتّصف بالوجوب، وما زاد عليه بالاستحباب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تعلّق أمرٌ وجوبي واستحبابي بطبيعة واحدة، فكما يكون إيجاد المسمّى بإيجاد فردٍ منها واجباً، كذلك إيجادها بإيجاد فردٍ آخر منها مستحبّ‌، فما يقع في الخارج أوّلاً كما يصلح لأن يكون مصداقاً لما هو واجبٌ‌، كذلك يصلُح لأنْ يكون مصداقاً لما هو مستحبّ‌، فحيث لا يمكن صيرورة فردٍ واحدٍ امتثالاً لهما معاً، ووقوعه امتثالاً لأحدهما دون الآخر ترجيحٌ بلا مرجّح، فلا محالة في أنّ وقوعه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امتثالاً لأحدهما يحتاج إلى القصد والتعيين، كما هو الحال في كلّ فعلٍ يكون قابلاً لأن يقع امتثالاً لأمرين، كالركعتين القابلتين للوقوع مصداقاً لفريضة الصبح ونافلتها، ولذا ترى تسالم الفقهاء على لزوم تمييز تكبيرة الإحرام بالقصد، وليس الوجه في ذلك مغايرة تكبيرة الإحرام لغيرها من التكبيرات السبع، ولها خصوصيّة زائدة، كما عن بعض المحقّقين رحمه الله</w:t>
      </w:r>
      <w:r>
        <w:rPr>
          <w:rStyle w:val="FootnoteAnchor"/>
          <w:rtl w:val="true"/>
        </w:rPr>
        <w:footnoteReference w:id="1235"/>
      </w:r>
      <w:r>
        <w:rPr>
          <w:rFonts w:ascii="Amiri" w:hAnsi="Amiri" w:eastAsia="Amiri" w:cs="Amiri"/>
          <w:color w:val="111111"/>
          <w:sz w:val="28"/>
          <w:sz w:val="28"/>
          <w:szCs w:val="28"/>
          <w:rtl w:val="true"/>
          <w:lang w:bidi="ar-SA"/>
        </w:rPr>
        <w:t>فإنّه يكفي في دفعه الإطلاقات، بل الوجه فيه ما ذكرناه، فتعيّن الاُولى للافتتاح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لتعيّن الأخيرة للافتتاح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برواية أبي بصير المتقدّمة، وفيها بعد ذكر الدُّعاء بعد التكبيرات الثلاث،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والدُّعاء عقيب الاثنتين،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وعقيب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محسن قد أتاك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تكبّر للإحرام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السابعة هي الفريضة، وهي تكبيرة للافتتاح، وبها تحريم الصَّلاة</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ودلالتهما على ما ادّعي من كون الأخيرة تكبيرة الإحرأم لا تُنكر، إلّاأنّه لا يُعتمد عليهما، لضعف سنديهما، اللّهُمَّ إلّاأنْ يُقال بانجباره بعمل القدماء من الأصحاب</w:t>
      </w:r>
      <w:r>
        <w:rPr>
          <w:rStyle w:val="FootnoteAnchor"/>
          <w:rtl w:val="true"/>
        </w:rPr>
        <w:footnoteReference w:id="1237"/>
      </w:r>
      <w:r>
        <w:rPr>
          <w:rFonts w:ascii="Amiri" w:hAnsi="Amiri" w:eastAsia="Amiri" w:cs="Amiri"/>
          <w:color w:val="111111"/>
          <w:sz w:val="28"/>
          <w:sz w:val="28"/>
          <w:szCs w:val="28"/>
          <w:rtl w:val="true"/>
          <w:lang w:bidi="ar-SA"/>
        </w:rPr>
        <w:t xml:space="preserve">بهما، بل وقد ادّعي الإجماع على تعيّنها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تعيّن الاُولى أو الأخيرة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للافتتاح لا يتمّ‌، فالأقوى هو التخيير في جعل أيّتها شاء تكبيرة الافتتاح، بل لا يبعدُ القول بالإكتفاء بالقصد الإجمالي بواحدةٍ من السّبع، وإنْ كان الأحوط جعلها الأخيرة، كما لا يخفى وجهه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كثيرٍ من النصوص والفتاوى، عدم اختصاص استحباب الاستفتاح بسبع تكبيرات بالفرائض، بل يعمّ النوافل أيضاً</w:t>
      </w:r>
      <w:r>
        <w:rPr>
          <w:rFonts w:eastAsia="Amiri" w:cs="Amiri" w:ascii="Amiri" w:hAnsi="Amiri"/>
          <w:color w:val="111111"/>
          <w:sz w:val="28"/>
          <w:szCs w:val="28"/>
          <w:rtl w:val="true"/>
          <w:lang w:bidi="ar-SA"/>
        </w:rPr>
        <w:t>.</w:t>
      </w:r>
      <w:bookmarkStart w:id="528" w:name="pg11800_97126"/>
    </w:p>
    <w:p>
      <w:pPr>
        <w:pStyle w:val="Heading5"/>
        <w:numPr>
          <w:ilvl w:val="4"/>
          <w:numId w:val="1"/>
        </w:numPr>
        <w:rPr/>
      </w:pPr>
      <w:bookmarkStart w:id="529" w:name="__RefHeading___Toc10478129_73709187"/>
      <w:bookmarkStart w:id="530" w:name="_Toc200"/>
      <w:bookmarkEnd w:id="528"/>
      <w:bookmarkEnd w:id="529"/>
      <w:r>
        <w:rPr>
          <w:rtl w:val="true"/>
        </w:rPr>
        <w:t>الثاني</w:t>
      </w:r>
      <w:r>
        <w:rPr>
          <w:rtl w:val="true"/>
        </w:rPr>
        <w:t xml:space="preserve">: </w:t>
      </w:r>
      <w:r>
        <w:rPr>
          <w:rtl w:val="true"/>
        </w:rPr>
        <w:t>القنوت</w:t>
      </w:r>
      <w:bookmarkEnd w:id="530"/>
    </w:p>
    <w:p>
      <w:pPr>
        <w:pStyle w:val="Heading6"/>
        <w:numPr>
          <w:ilvl w:val="5"/>
          <w:numId w:val="1"/>
        </w:numPr>
        <w:rPr/>
      </w:pPr>
      <w:bookmarkStart w:id="531" w:name="__RefHeading___Toc10478131_73709187"/>
      <w:bookmarkStart w:id="532" w:name="_Toc201"/>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الدُّعاء المشتمل للثناء على اللّه تعالى بالتسبيح والتهليل في الموضع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ولا خلاف في مشروعيّته،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المسلمين في مشروعيّته في الصَّلاة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الأصحاب اختلفوا في أنّه مستحبٌّ أو واجب‌؟</w:t>
      </w:r>
    </w:p>
    <w:p>
      <w:pPr>
        <w:pStyle w:val="BookText"/>
        <w:rPr/>
      </w:pPr>
      <w:r>
        <w:rPr>
          <w:rFonts w:ascii="Amiri" w:hAnsi="Amiri" w:eastAsia="Amiri" w:cs="Amiri"/>
          <w:color w:val="111111"/>
          <w:sz w:val="28"/>
          <w:sz w:val="28"/>
          <w:szCs w:val="28"/>
          <w:rtl w:val="true"/>
          <w:lang w:bidi="ar-SA"/>
        </w:rPr>
        <w:t xml:space="preserve">والمشهور أو الأشهر هو الأوّل، بل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2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في الفرائض الجهريّة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في جميع الصّلوات،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من النصوص المتضمّنة للأمر به، والنافية للصَّلاة بدونه، 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الحارث بن المغيرة،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في كلّ ركعتين فريضة أو نافلة قبل الرّكوع</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حمل هذه النصوص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بقرينة صحيح البزنطي،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فاقنت، وإنْ شئتَ فلا تَقنُت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التقيّة فلا تقنت، وأنا أتقلّد هذا</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الصحيح بطريق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بالاستدلال، لاحتمال تعدّد الحديث، مع أنّه أيضاً بضميمة عدم الفصل بين الفجر وغيرها، يدلّ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الآتي بعضها الدالّة على أنّه لا قنوت في غير الجهريّة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 عدم الوجوب، صحيح وهب،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الجمعة والعشاء والعُتَمة والوِتر والغَداة، فَمَن تركَ القنوت رغبةً عنه فلا صلاة له</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الظاهر من تعليق نفي الصَّلاة على تركه رغبةً عنه، أنّه لابأس بتركه من حيث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وبالآية الشريفة وَ قُومُوا لِلّهِ قانِتِينَ‌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ليس القنوت المصطلح، كما يظهر لمن تدبّر فيها، وفي الروايات الواردة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بوجوبه في الجهريّة، فقد استدلّوا له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وهب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القنوت، هل يُقنت في الصّلوات كلّها أم فيما يُجهر فيه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القنوت إلّافي الغداة والجمعة والوِتر والمَغرب</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محمولة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البزنطي المتقدّم، الدالّ على عدم وجوبه في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الجمعة في الرّكعة الاُولى قبل الرّكوع، وفي الثانية بعد الرّكوع‌؟</w:t>
      </w:r>
    </w:p>
    <w:p>
      <w:pPr>
        <w:pStyle w:val="BookText"/>
        <w:rPr/>
      </w:pPr>
      <w:r>
        <w:rPr>
          <w:rFonts w:ascii="Amiri" w:hAnsi="Amiri" w:eastAsia="Amiri" w:cs="Amiri"/>
          <w:color w:val="111111"/>
          <w:sz w:val="28"/>
          <w:sz w:val="28"/>
          <w:szCs w:val="28"/>
          <w:rtl w:val="true"/>
          <w:lang w:bidi="ar-SA"/>
        </w:rPr>
        <w:t>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ولا بعد</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احتمال الفصل بين الفجر والجمعة وغيرهما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القنوت في أيّ الصلوات أقنتُ؟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تقنت إلّافي الفجر</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استحبابه في جميع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من المحقّقين</w:t>
      </w:r>
      <w:r>
        <w:rPr>
          <w:rStyle w:val="FootnoteAnchor"/>
          <w:rtl w:val="true"/>
        </w:rPr>
        <w:footnoteReference w:id="1253"/>
      </w:r>
      <w:r>
        <w:rPr>
          <w:rFonts w:ascii="Amiri" w:hAnsi="Amiri" w:eastAsia="Amiri" w:cs="Amiri"/>
          <w:color w:val="111111"/>
          <w:sz w:val="28"/>
          <w:sz w:val="28"/>
          <w:szCs w:val="28"/>
          <w:rtl w:val="true"/>
          <w:lang w:bidi="ar-SA"/>
        </w:rPr>
        <w:t>كالمصنّف رحمه الله</w:t>
      </w:r>
      <w:r>
        <w:rPr>
          <w:rStyle w:val="FootnoteAnchor"/>
          <w:rtl w:val="true"/>
        </w:rPr>
        <w:footnoteReference w:id="1254"/>
      </w:r>
      <w:r>
        <w:rPr>
          <w:rFonts w:ascii="Amiri" w:hAnsi="Amiri" w:eastAsia="Amiri" w:cs="Amiri"/>
          <w:color w:val="111111"/>
          <w:sz w:val="28"/>
          <w:sz w:val="28"/>
          <w:szCs w:val="28"/>
          <w:rtl w:val="true"/>
          <w:lang w:bidi="ar-SA"/>
        </w:rPr>
        <w:t>والشيخ</w:t>
      </w:r>
      <w:r>
        <w:rPr>
          <w:rStyle w:val="FootnoteAnchor"/>
          <w:rtl w:val="true"/>
        </w:rPr>
        <w:footnoteReference w:id="1255"/>
      </w:r>
      <w:r>
        <w:rPr>
          <w:rFonts w:ascii="Amiri" w:hAnsi="Amiri" w:eastAsia="Amiri" w:cs="Amiri"/>
          <w:color w:val="111111"/>
          <w:sz w:val="28"/>
          <w:sz w:val="28"/>
          <w:szCs w:val="28"/>
          <w:rtl w:val="true"/>
          <w:lang w:bidi="ar-SA"/>
        </w:rPr>
        <w:t>والشهيدين</w:t>
      </w:r>
      <w:r>
        <w:rPr>
          <w:rStyle w:val="FootnoteAnchor"/>
          <w:rtl w:val="true"/>
        </w:rPr>
        <w:footnoteReference w:id="1256"/>
      </w:r>
      <w:r>
        <w:rPr>
          <w:rFonts w:ascii="Amiri" w:hAnsi="Amiri" w:eastAsia="Amiri" w:cs="Amiri"/>
          <w:color w:val="111111"/>
          <w:sz w:val="28"/>
          <w:sz w:val="28"/>
          <w:szCs w:val="28"/>
          <w:rtl w:val="true"/>
          <w:lang w:bidi="ar-SA"/>
        </w:rPr>
        <w:t>وغيرهم</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يتأكّد في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المتقدّم بعضها المتضمّنة للأمر به، وثبوته في خصوص الجهريّة المحمولة على تأكّد الاستحباب، بقرينة ما دلّ على استحبابه في جميع الصَّلوات، وعدم وجوبه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من النصوص تدلّ على أنّ التخصيص بالجهريّة إنّما يكون لأجل التقيّة، كموثّق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يُجهر فيه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ذلك، فقال لي في الخَمس كلّها؟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إنّ أصحاب أبي أتوه فسألوه فأخبرهم بالحقّ‌، ثمّ أتوني شكّاكاً فأفتيتهم بالتقيّة</w:t>
      </w:r>
      <w:r>
        <w:rPr>
          <w:rFonts w:eastAsia="Amiri" w:cs="Amiri" w:ascii="Amiri" w:hAnsi="Amiri"/>
          <w:color w:val="111111"/>
          <w:sz w:val="28"/>
          <w:szCs w:val="28"/>
          <w:rtl w:val="true"/>
          <w:lang w:bidi="ar-SA"/>
        </w:rPr>
        <w:t>»</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33" w:name="pg11800_97130"/>
    </w:p>
    <w:p>
      <w:pPr>
        <w:pStyle w:val="BookText"/>
        <w:rPr/>
      </w:pPr>
      <w:bookmarkEnd w:id="533"/>
      <w:r>
        <w:rPr>
          <w:rFonts w:ascii="Amiri" w:hAnsi="Amiri" w:eastAsia="Amiri" w:cs="Amiri"/>
          <w:color w:val="111111"/>
          <w:sz w:val="28"/>
          <w:sz w:val="28"/>
          <w:szCs w:val="28"/>
          <w:rtl w:val="true"/>
          <w:lang w:bidi="ar-SA"/>
        </w:rPr>
        <w:t>وهو في كلّ ثنائيّة قبل الرّكوع وبعد القراءة</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0478133_73709187"/>
      <w:bookmarkStart w:id="535" w:name="_Toc202"/>
      <w:bookmarkEnd w:id="534"/>
      <w:r>
        <w:rPr>
          <w:rtl w:val="true"/>
        </w:rPr>
        <w:t>محلّ القنوت</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مرّة واحدة، في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ثنائيّة قبل الرّكوع وبعد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قنوتاً إلّا قبل الرّكوع</w:t>
      </w:r>
      <w:r>
        <w:rPr>
          <w:rFonts w:eastAsia="Amiri" w:cs="Amiri" w:ascii="Amiri" w:hAnsi="Amiri"/>
          <w:color w:val="111111"/>
          <w:sz w:val="28"/>
          <w:szCs w:val="28"/>
          <w:rtl w:val="true"/>
          <w:lang w:bidi="ar-SA"/>
        </w:rPr>
        <w:t>»</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1265"/>
      </w:r>
      <w:r>
        <w:rPr>
          <w:rFonts w:ascii="Amiri" w:hAnsi="Amiri" w:eastAsia="Amiri" w:cs="Amiri"/>
          <w:color w:val="111111"/>
          <w:sz w:val="28"/>
          <w:sz w:val="28"/>
          <w:szCs w:val="28"/>
          <w:rtl w:val="true"/>
          <w:lang w:bidi="ar-SA"/>
        </w:rPr>
        <w:t>والشهيد الثاني</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قبل الرّكوع وبعده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بما رواه معمّر بن يحيى‌،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القنوت قبل الرّكوع، </w:t>
      </w:r>
      <w:bookmarkStart w:id="536" w:name="pg11800_97131"/>
    </w:p>
    <w:p>
      <w:pPr>
        <w:pStyle w:val="BookText"/>
        <w:rPr/>
      </w:pPr>
      <w:bookmarkEnd w:id="536"/>
      <w:r>
        <w:rPr>
          <w:rFonts w:ascii="IRNazanin" w:hAnsi="IRNazanin" w:eastAsia="IRNazanin"/>
          <w:color w:val="111111"/>
          <w:sz w:val="28"/>
          <w:sz w:val="28"/>
          <w:szCs w:val="28"/>
          <w:rtl w:val="true"/>
          <w:lang w:bidi="fa-IR"/>
        </w:rPr>
        <w:t>وإنْ شئت بعده</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بالروايات المتقدّمة، الدالّة على أنّ مورده قبل الرّكوع، وهي تقدّم لوجوهٍ لا تخفى‌، ويُحمل الخبر على التقيّة، كما عن الشيخ قدس سره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الأول والخبر، يقتضي حملها على الأفضليّة، ومعه لا وجه لحمله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المزبور بالنسبة إلى صحيح معاوية بعيدٌ جدّاً، فلاحظ</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0478135_73709187"/>
      <w:bookmarkStart w:id="538" w:name="_Toc203"/>
      <w:bookmarkEnd w:id="537"/>
      <w:r>
        <w:rPr>
          <w:rtl w:val="true"/>
        </w:rPr>
        <w:t>ما يُعتبر في القنوت</w:t>
      </w:r>
      <w:bookmarkEnd w:id="5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دخوله في مفهوم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الفقيه أسأله عن القنوت‌؟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ضرورة شديدة فلا ترفع اليدين، وقل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تعليق جواز تركه على الضرورة الشديدة، يدلّ على اعتباره فيه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أقنتَ وخلفي مخالفون‌؟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يديك يُجزي، يعني رفعهما كأنّك تركع</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الاجتزاء في مقام التقيَّة، يناسب كونه من مقوّمات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يكون الرفع به تلقاء وجهه، مبسوطتين، يستقبل ببطونهما السّماء، كما هو المتعارف لدى المتشرّعة، ويشهد له مضافاً إلى السيرة القطعيّة،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 يديك حيال وجهك، وإنْ شئتَ تحت ثوبك، وتتلقّى ببطونهما السّماء</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الإتيان بشيءٍ من الذّكر والدُّعاء والمناجاة، ولا يعتبر فيه ذِكرٌ مخصوص، ويشهد لهما صحيح إسماعيل بن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القنوت، وما يُقال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على لسانك، ولا أعلم فيه شيئاً موقّتاً</w:t>
      </w:r>
      <w:r>
        <w:rPr>
          <w:rFonts w:eastAsia="Amiri" w:cs="Amiri" w:ascii="Amiri" w:hAnsi="Amiri"/>
          <w:color w:val="111111"/>
          <w:sz w:val="28"/>
          <w:szCs w:val="28"/>
          <w:rtl w:val="true"/>
          <w:lang w:bidi="ar-SA"/>
        </w:rPr>
        <w:t>»</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يكون أقلّ من ثلاث تسبيحات، لخبر ابن أبي سمّاك، عن أبي عبد اللّه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القنوت ثلاث تسبيحات</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وأولى منه أنْ لا يكون أقلّ من خمس تسبيحات، لما في 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أدنى القنوت‌؟ قال خمس تسبيحات</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منه أن يقرأ الأدعية الواردة عن المعصومين عليهم السلام، والأفضل كلمات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39" w:name="pg11800_97133"/>
    </w:p>
    <w:p>
      <w:pPr>
        <w:pStyle w:val="Heading6"/>
        <w:numPr>
          <w:ilvl w:val="5"/>
          <w:numId w:val="1"/>
        </w:numPr>
        <w:rPr/>
      </w:pPr>
      <w:bookmarkStart w:id="540" w:name="__RefHeading___Toc10478137_73709187"/>
      <w:bookmarkStart w:id="541" w:name="_Toc204"/>
      <w:bookmarkEnd w:id="539"/>
      <w:bookmarkEnd w:id="540"/>
      <w:r>
        <w:rPr>
          <w:rtl w:val="true"/>
        </w:rPr>
        <w:t>حكم القنوت بغير العربيّة</w:t>
      </w:r>
      <w:bookmarkEnd w:id="541"/>
    </w:p>
    <w:p>
      <w:pPr>
        <w:pStyle w:val="BookText"/>
        <w:rPr/>
      </w:pPr>
      <w:r>
        <w:rPr>
          <w:rFonts w:ascii="Amiri" w:hAnsi="Amiri" w:eastAsia="Amiri" w:cs="Amiri"/>
          <w:color w:val="111111"/>
          <w:sz w:val="28"/>
          <w:sz w:val="28"/>
          <w:szCs w:val="28"/>
          <w:rtl w:val="true"/>
          <w:lang w:bidi="ar-SA"/>
        </w:rPr>
        <w:t>ولا يخفى أنّه اختلف الأصحاب في جواز القنوت بغير العربيّة، وتحقّق وظيفة القنوت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 القدماء</w:t>
      </w:r>
      <w:r>
        <w:rPr>
          <w:rStyle w:val="FootnoteAnchor"/>
          <w:rtl w:val="true"/>
        </w:rPr>
        <w:footnoteReference w:id="1276"/>
      </w:r>
      <w:r>
        <w:rPr>
          <w:rFonts w:ascii="IRNazanin" w:hAnsi="IRNazanin" w:eastAsia="IRNazanin"/>
          <w:color w:val="111111"/>
          <w:sz w:val="28"/>
          <w:sz w:val="28"/>
          <w:szCs w:val="28"/>
          <w:rtl w:val="true"/>
          <w:lang w:bidi="fa-IR"/>
        </w:rPr>
        <w:t xml:space="preserve">الجواز،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قائلاً بالمنع سوى سعد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جواز الدُّعاء بكلّ ما يُناجي العبد به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ورد من أنّ كلّ ما يُذكر به اللّه تعالى والنبيّ صلى الله عليه و آله فهو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المروي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كلّمت به في صلاة الفريضة فلا بأس</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وجَلّ به والنبيّ صلى الله عليه و آله فهو من الصَّلاة</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نفي التوقيت في القنوت</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البراءة من المانعيّة في جوازه بها، بعد عدم شمول ما دلّ على قادحيّة الكلام عمداً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بقرينة كون الأقوال الصَّلاتيّة عربيّة، تكون تلك النصوص منصرفة الى خصوص العربيّة، ولا تشمل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يكون الدُّعاء بغير العربيّة، بعد انصراف الدُّعاء في النصوص الى العربي داخلاً في الكلام الذي دلّ الدليل على قادحيّته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بلا خلافٍ‌، ويشهدُ له موثّق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ينسى القنوت في الوتر أو غير الوتر؟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وإنْ ذكره وقد أهوى إلى الرّكوع قبل أنْ يضع يديه على الرّكبتين، فليرجع قائماً وليقنت ثمّ ليركع</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وَيَقضِيَهُ لو نَسي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ويقضي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نَسيه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تذكّر بعد الدخول فيه، بلا خلافٍ‌</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جعفر عليه السلام عن الرّجل ينسى القنوت حتّى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بَعد الرّكوع، فإنْ لم يذكر فلا شيء عليه</w:t>
      </w:r>
      <w:r>
        <w:rPr>
          <w:rFonts w:eastAsia="Amiri" w:cs="Amiri" w:ascii="Amiri" w:hAnsi="Amiri"/>
          <w:color w:val="111111"/>
          <w:sz w:val="28"/>
          <w:szCs w:val="28"/>
          <w:rtl w:val="true"/>
          <w:lang w:bidi="ar-SA"/>
        </w:rPr>
        <w:t>»</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 عبيد</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يعارضهما صحيح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القنوت حتّى يركع، أيقنت‌؟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 لتعيّن حمله على نفي الوجوب، أو تأكّد الاستحباب، أو شيءٍ آخر ممّا لا ينافي ما سبق، أو يُطرح،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تذكّر قبل الوصول إلى حَدّ الرّكوع رَجَع إلى القيام، وأتى به لموثّق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تذكّر بعد الدخول في السّجود، أو بعد الصَّلاة، قضاه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يذكر عند أبي عبد اللّه عليه السلام، قال في الرّجل إذا سهى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بعدما ينصرف وهو جالس</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القنوت، فَذَكَر وهو في بعض الطريق‌؟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ليستقبل القبلة ثمّ ليقله</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42" w:name="pg11800_97136"/>
    </w:p>
    <w:p>
      <w:pPr>
        <w:pStyle w:val="Heading5"/>
        <w:numPr>
          <w:ilvl w:val="4"/>
          <w:numId w:val="1"/>
        </w:numPr>
        <w:rPr/>
      </w:pPr>
      <w:bookmarkStart w:id="543" w:name="__RefHeading___Toc10478139_73709187"/>
      <w:bookmarkStart w:id="544" w:name="_Toc205"/>
      <w:bookmarkEnd w:id="542"/>
      <w:bookmarkEnd w:id="543"/>
      <w:r>
        <w:rPr>
          <w:rtl w:val="true"/>
        </w:rPr>
        <w:t>الثالث</w:t>
      </w:r>
      <w:r>
        <w:rPr>
          <w:rtl w:val="true"/>
        </w:rPr>
        <w:t xml:space="preserve">: </w:t>
      </w:r>
      <w:r>
        <w:rPr>
          <w:rtl w:val="true"/>
        </w:rPr>
        <w:t>نظره في حال قيامه إلى موضع سجوده</w:t>
      </w:r>
      <w:bookmarkEnd w:id="54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في حال قيامه إلى موضع سجوده، وفي حال قنوته إلى باطن كفّيه، وفي ركوعه إلى بين رجليه،</w:t>
      </w:r>
    </w:p>
    <w:p>
      <w:pPr>
        <w:pStyle w:val="BookText"/>
        <w:rPr/>
      </w:pPr>
      <w:r>
        <w:rPr>
          <w:rFonts w:ascii="Amiri" w:hAnsi="Amiri" w:eastAsia="Amiri" w:cs="Amiri"/>
          <w:color w:val="111111"/>
          <w:sz w:val="28"/>
          <w:sz w:val="28"/>
          <w:szCs w:val="28"/>
          <w:rtl w:val="true"/>
          <w:lang w:bidi="ar-SA"/>
        </w:rPr>
        <w:t>مندوبات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مندوبات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 في حال قيامه إلى موضع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أو حسنه،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استقبلتَ القبلةَ بوجهك، فلا تُقلّب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واخشع ببصرك، ولا ترفعه إلى السّماء، وليكن حِذاء وجهك في موضع سجودك</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حال قنوته إلى باطن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كراهة النظر إلى غير موضع السّجود، كخبر غياث، عن جعفر، عن أبيه عليهما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بطَرْفك في الصَّلاة موضع سجودك</w:t>
      </w:r>
      <w:r>
        <w:rPr>
          <w:rFonts w:eastAsia="Amiri" w:cs="Amiri" w:ascii="Amiri" w:hAnsi="Amiri"/>
          <w:color w:val="111111"/>
          <w:sz w:val="28"/>
          <w:szCs w:val="28"/>
          <w:rtl w:val="true"/>
          <w:lang w:bidi="ar-SA"/>
        </w:rPr>
        <w:t>»</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كراهة التغميض، كخبر مسمع، عن أبي عبداللّه عليه السلام،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نهى أن يغمض الرّجل عينيه في الصَّلاة</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فإنّ مقتضى الجمع بين هذين الدليلين استحباب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ركوعه إلى بين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عليه السلام في صحيحة زرارة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إلى ما بين قَدَميك</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545" w:name="pg11800_97137"/>
    </w:p>
    <w:p>
      <w:pPr>
        <w:pStyle w:val="BookText"/>
        <w:rPr/>
      </w:pPr>
      <w:bookmarkEnd w:id="545"/>
      <w:r>
        <w:rPr>
          <w:rFonts w:ascii="Amiri" w:hAnsi="Amiri" w:eastAsia="Amiri" w:cs="Amiri"/>
          <w:color w:val="111111"/>
          <w:sz w:val="28"/>
          <w:sz w:val="28"/>
          <w:szCs w:val="28"/>
          <w:rtl w:val="true"/>
          <w:lang w:bidi="ar-SA"/>
        </w:rPr>
        <w:t>وفي سجوده إلى طرف أنفه، وفي حال جلوسه إلى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قائماً على فَخِذيه بحذاء رُكبتيه، وقانتاً تِلْقاءَ وجهه، وراكعاً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وساجداً بحذاء اُذنيه،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حال سجوده إلى طرف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بَصرُك في وقت سجودك إلى أنفك، وبين السَّجدتين في حِجرك، وكذلك في وقت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سنده منجبرٌ بعمل الأصحاب به، مضافاً إلى كفايته في أمثال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 أنّه يستحبّ أنْ يكون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جلوسه إلى حِجره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0478141_73709187"/>
      <w:bookmarkStart w:id="547" w:name="_Toc206"/>
      <w:bookmarkEnd w:id="546"/>
      <w:r>
        <w:rPr>
          <w:rtl w:val="true"/>
        </w:rPr>
        <w:t>الرابع</w:t>
      </w:r>
      <w:r>
        <w:rPr>
          <w:rtl w:val="true"/>
        </w:rPr>
        <w:t xml:space="preserve">: </w:t>
      </w:r>
      <w:r>
        <w:rPr>
          <w:rtl w:val="true"/>
        </w:rPr>
        <w:t>وضع اليدين قائماً على فَخِذيه بحذاء رُكبتيه</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مستحبّات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اليدين قائماً على فَخِذيه بحذاء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يديك، ولا تشبّك أصابعك، وليكونا على فَخِذيك قبالة رُكبتيك</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وقانتاً تِلْقاء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تحقيقه في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وراكعاً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تحقيقه في الرّكوع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وساجداً بحذاء اُذُنيه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تلزق كفّيك </w:t>
      </w:r>
      <w:bookmarkStart w:id="548" w:name="pg11800_97138"/>
    </w:p>
    <w:p>
      <w:pPr>
        <w:pStyle w:val="BookText"/>
        <w:rPr/>
      </w:pPr>
      <w:bookmarkEnd w:id="548"/>
      <w:r>
        <w:rPr>
          <w:rFonts w:ascii="Amiri" w:hAnsi="Amiri" w:eastAsia="Amiri" w:cs="Amiri"/>
          <w:color w:val="111111"/>
          <w:sz w:val="28"/>
          <w:sz w:val="28"/>
          <w:szCs w:val="28"/>
          <w:rtl w:val="true"/>
          <w:lang w:bidi="ar-SA"/>
        </w:rPr>
        <w:t>وجالساً على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وأقلّه تسبيح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برُكبتيك، ولا تُدنهما من وجهك بين ذلك حيال منكبيك، ولا تجعلهما بين يدي رُكبتيك، ولكن تحرّفهما عن ذلك شيئاً</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وجالساً على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إذا قعد يدعو، يضع يده اليمنى على فخذه اليمنى‌، ويَده اليسرى على فخذه اليسرى‌</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0478143_73709187"/>
      <w:bookmarkStart w:id="550" w:name="_Toc207"/>
      <w:bookmarkEnd w:id="549"/>
      <w:r>
        <w:rPr>
          <w:rtl w:val="true"/>
        </w:rPr>
        <w:t>الخامس</w:t>
      </w:r>
      <w:r>
        <w:rPr>
          <w:rtl w:val="true"/>
        </w:rPr>
        <w:t xml:space="preserve">: </w:t>
      </w:r>
      <w:r>
        <w:rPr>
          <w:rtl w:val="true"/>
        </w:rPr>
        <w:t>التعقيب</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مندوبات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أجمع العلماء</w:t>
      </w:r>
      <w:r>
        <w:rPr>
          <w:rStyle w:val="FootnoteAnchor"/>
          <w:rtl w:val="true"/>
        </w:rPr>
        <w:footnoteReference w:id="1297"/>
      </w:r>
      <w:r>
        <w:rPr>
          <w:rFonts w:ascii="Amiri" w:hAnsi="Amiri" w:eastAsia="Amiri" w:cs="Amiri"/>
          <w:color w:val="111111"/>
          <w:sz w:val="28"/>
          <w:sz w:val="28"/>
          <w:szCs w:val="28"/>
          <w:rtl w:val="true"/>
          <w:lang w:bidi="ar-SA"/>
        </w:rPr>
        <w:t xml:space="preserve">على استحبابه، وتدلّ عليه روايات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ينبغي تركه لتأكّد استحبابه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كلمات الأصحاب</w:t>
      </w:r>
      <w:r>
        <w:rPr>
          <w:rStyle w:val="FootnoteAnchor"/>
          <w:rtl w:val="true"/>
        </w:rPr>
        <w:footnoteReference w:id="1298"/>
      </w:r>
      <w:r>
        <w:rPr>
          <w:rFonts w:ascii="Amiri" w:hAnsi="Amiri" w:eastAsia="Amiri" w:cs="Amiri"/>
          <w:color w:val="111111"/>
          <w:sz w:val="28"/>
          <w:sz w:val="28"/>
          <w:szCs w:val="28"/>
          <w:rtl w:val="true"/>
          <w:lang w:bidi="ar-SA"/>
        </w:rPr>
        <w:t>أنّ أفضليّته مفروغٌ عنها لديهم، والأخبار الدالّة عليها كثيرة، كخبر صالح بن عقبة، عن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من التحميد أفضل من تسبيح فاطمة عليها السلام، ولو كان شيءٌ أفضل منه لنحله رسول اللّه صلى الله عليه و آله فاطمة عليها السلام</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الكثيرة الدالّة على أفضليّته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حَصْر لأكثره، ويستحبُّ أن يأتي فيه بالمنقول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حَصر لأكثره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الدُّعاء لأمر الدُّنيا والآخرة بما أمكن، كما يدلّ عليه قوله عليه السلام في خبر مسعدة،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قضيتَ الصَّلاة بعد أنْ تُسلّم، وأنتَ جالس، فانصب في الدُّعاء من أمر الدُّنيا والآخرة</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الواردة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يأتي فيه بالمنقول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غاية الكثرة، كما يظهر لمن راجع الكتب المعدّة لذلك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51" w:name="pg11800_97140"/>
    </w:p>
    <w:p>
      <w:pPr>
        <w:pStyle w:val="Heading4"/>
        <w:numPr>
          <w:ilvl w:val="3"/>
          <w:numId w:val="1"/>
        </w:numPr>
        <w:rPr/>
      </w:pPr>
      <w:bookmarkStart w:id="552" w:name="__RefHeading___Toc10478145_73709187"/>
      <w:bookmarkStart w:id="553" w:name="_Toc208"/>
      <w:bookmarkEnd w:id="551"/>
      <w:bookmarkEnd w:id="552"/>
      <w:r>
        <w:rPr>
          <w:rtl w:val="true"/>
        </w:rPr>
        <w:t>الفصل الثالث</w:t>
      </w:r>
      <w:r>
        <w:rPr>
          <w:rtl w:val="true"/>
        </w:rPr>
        <w:t xml:space="preserve">: </w:t>
      </w:r>
      <w:r>
        <w:rPr>
          <w:rtl w:val="true"/>
        </w:rPr>
        <w:t>في قواطع الصَّلاة</w:t>
      </w:r>
      <w:bookmarkEnd w:id="553"/>
    </w:p>
    <w:p>
      <w:pPr>
        <w:pStyle w:val="Heading5"/>
        <w:numPr>
          <w:ilvl w:val="4"/>
          <w:numId w:val="1"/>
        </w:numPr>
        <w:rPr/>
      </w:pPr>
      <w:bookmarkStart w:id="554" w:name="__RefHeading___Toc10478147_73709187"/>
      <w:bookmarkStart w:id="555" w:name="_Toc209"/>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ويُبطلها كلّ نواقِض الطّهارة وإنْ كان سهواً</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0478149_73709187"/>
      <w:bookmarkStart w:id="557" w:name="_Toc210"/>
      <w:bookmarkEnd w:id="556"/>
      <w:r>
        <w:rPr>
          <w:rtl w:val="true"/>
        </w:rPr>
        <w:t>القواطع</w:t>
      </w:r>
      <w:bookmarkEnd w:id="557"/>
    </w:p>
    <w:p>
      <w:pPr>
        <w:pStyle w:val="Heading6"/>
        <w:numPr>
          <w:ilvl w:val="5"/>
          <w:numId w:val="1"/>
        </w:numPr>
        <w:rPr/>
      </w:pPr>
      <w:bookmarkStart w:id="558" w:name="__RefHeading___Toc10478151_73709187"/>
      <w:bookmarkStart w:id="559" w:name="_Toc211"/>
      <w:bookmarkEnd w:id="558"/>
      <w:r>
        <w:rPr>
          <w:rtl w:val="true"/>
        </w:rPr>
        <w:t>البحث عن نواقض الطّهارة</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وينقضها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يبطلها كلّ نواقض الطهارة وإنْ كان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حال العمد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3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وغيرها</w:t>
      </w:r>
      <w:r>
        <w:rPr>
          <w:rStyle w:val="FootnoteAnchor"/>
          <w:rtl w:val="true"/>
        </w:rPr>
        <w:footnoteReference w:id="130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فالنصوص</w:t>
      </w:r>
      <w:r>
        <w:rPr>
          <w:rStyle w:val="FootnoteAnchor"/>
          <w:rtl w:val="true"/>
        </w:rPr>
        <w:footnoteReference w:id="1305"/>
      </w:r>
      <w:r>
        <w:rPr>
          <w:rFonts w:ascii="Amiri" w:hAnsi="Amiri" w:eastAsia="Amiri" w:cs="Amiri"/>
          <w:color w:val="111111"/>
          <w:sz w:val="28"/>
          <w:sz w:val="28"/>
          <w:szCs w:val="28"/>
          <w:rtl w:val="true"/>
          <w:lang w:bidi="ar-SA"/>
        </w:rPr>
        <w:t>الورادة في عدم قادحيّة الحَدَث تُحمل على التقيَّة، لإعراض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وقع الخلاف في الحَدَث الواقع بعد السّجدة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إنّه يُبطل الصَّلاة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306"/>
      </w:r>
      <w:r>
        <w:rPr>
          <w:rFonts w:ascii="Amiri" w:hAnsi="Amiri" w:eastAsia="Amiri" w:cs="Amiri"/>
          <w:color w:val="111111"/>
          <w:sz w:val="28"/>
          <w:sz w:val="28"/>
          <w:szCs w:val="28"/>
          <w:rtl w:val="true"/>
          <w:lang w:bidi="ar-SA"/>
        </w:rPr>
        <w:t>والمجلسي</w:t>
      </w:r>
      <w:r>
        <w:rPr>
          <w:rStyle w:val="FootnoteAnchor"/>
          <w:rtl w:val="true"/>
        </w:rPr>
        <w:footnoteReference w:id="1307"/>
      </w:r>
      <w:r>
        <w:rPr>
          <w:rFonts w:ascii="Amiri" w:hAnsi="Amiri" w:eastAsia="Amiri" w:cs="Amiri"/>
          <w:color w:val="111111"/>
          <w:sz w:val="28"/>
          <w:sz w:val="28"/>
          <w:szCs w:val="28"/>
          <w:rtl w:val="true"/>
          <w:lang w:bidi="ar-SA"/>
        </w:rPr>
        <w:t>عدم مبطليّته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أو حسنه،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يُحدث بعد أنْ يرفع رأسه من السّجدة الأخيرة، وقبل أنْ يتشهّد؟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ويتوضّأ، فإنْ شاء رجع إلى المسجد، وإنْ شاءَ ففي بيته، وإنْ شاءَ حيث شاء قَعَد فيتشهّدثمّ يُسلِّم، وإنْ كان الحَدَث بعد الشهادتين فقد مضت صلاته</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بعدما يرفع رأسه من السّجود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إنّما التشهّد سُنّة في الصَّلاة، فليتوضّأ ويجلس مكانه أو مكاناً نظيفاً فيتشهّد</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الروايات الواردة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لو تمّت دلالتها على أنّ الحَدَث بعد السّجدة الأخيرة ولو كان عمديّاً لا يُبطل الصَّلاة، فبما إنّها أخصّ من ما يدلّ على مبطليّة الحَدَث فتُقدّم، ولأجلها يُحمل الأمر بالإعادة في خبر ابن الجهم على الاستحباب، فينحصر الجواب بإعراض الأصحاب عنها، وموافقتها للتقيّة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دعوى اختصاصها بصورة عدم كون الحَدَث عمديّاً، إمّا لظهورها فيها، أو لحملها عليها، للإجماع على مبطليّة الحَدَث إذا كان عمديّاً ولو بعد السَّجدة الأخيرة، فتنطبق الروايات على القاعدة التي ذكرناها في التسليم، من عدم مبطليّة الحَدَث الواقع بعد السّجدة الأخيرة إنْ لم يكن عمديّاً، فلا وجه حينئذٍ لحملها على التقيّة أو القول بردّ علمها إلى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الحَدَث الواقع في أثناء الصَّلاة قبل السَّجدتين الأخيرتين، في غير حال العمد، فلا خلاف في مبطليّته للصَّلاة، إذا كان الناقض ممّا يوجبُ الغُسل، وأمّا ما يوجب الوضوء ففيه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w:t>
      </w:r>
      <w:r>
        <w:rPr>
          <w:rStyle w:val="FootnoteAnchor"/>
          <w:rtl w:val="true"/>
        </w:rPr>
        <w:footnoteReference w:id="1310"/>
      </w:r>
      <w:r>
        <w:rPr>
          <w:rFonts w:ascii="Amiri" w:hAnsi="Amiri" w:eastAsia="Amiri" w:cs="Amiri"/>
          <w:color w:val="111111"/>
          <w:sz w:val="28"/>
          <w:sz w:val="28"/>
          <w:szCs w:val="28"/>
          <w:rtl w:val="true"/>
          <w:lang w:bidi="ar-SA"/>
        </w:rPr>
        <w:t>إنّه كالعمد مبطلٌ للصَّلاة، وقع سهواً أو بغير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311"/>
      </w:r>
      <w:r>
        <w:rPr>
          <w:rFonts w:ascii="Amiri" w:hAnsi="Amiri" w:eastAsia="Amiri" w:cs="Amiri"/>
          <w:color w:val="111111"/>
          <w:sz w:val="28"/>
          <w:sz w:val="28"/>
          <w:szCs w:val="28"/>
          <w:rtl w:val="true"/>
          <w:lang w:bidi="ar-SA"/>
        </w:rPr>
        <w:t>والشيخ</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أحدث بما يوجبُ الوضوء سهواً، تطهّر وبنى على ما مضى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السَّهو في كلامهما غير الاختيار، لا السَّهو عن كونه في الصَّلاة مع اختياريّة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فالأقوى ما هو المشهور، وهو مبطليّته في غير حال العمد والاختيار مطلقاً، وتدلّ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يكون في صلاته، فيخرج منه حَبّ القرع،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خَرَج نظيفاً من العَذَرة، فليس عليه شيءٌ‌، ولم ينقض وضوءه، وإنْ خرج متلطّخاً بالعَذَرة، فعليه أن يُعيد الوضوء، وإنْ كان في صلاته قطع الصَّلاة، وأعاد الوضوء والصَّلاة</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الإمام موسى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الصَّلاة، فيعلم أنّ ريحاً قد خرجت، فلا يجد ريحها ولا يسمع صوتها؟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والصَّلاة، ولا يعتدّ بشيءٍ ممّا صَلّى إذا علم ذلك يقيناً</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حمّاد،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 الرّجل أنّ بثوبه بللاً وهو يُصلّي، فليأخذ ذكره بطرف ثوبه، فليمسّه بفخذه، وإنْ كان بللاً يُعرف، فليتوضّأ وليعد الصَّلاة، وإنْ لم يكن بللاً، فذلك من الشيطان</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اختصاص هذه النصوص بغير حال العمد،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بعدم البطلان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بصحيحة الفضل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الصَّلاة فأجد غَمْزاً في بطني أو أذىً أو ضرباناً؟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ثمّ توضّأ وابنِ على ما مضى من صلاتك، ما لم تنقض الصَّلاة بالكلام متعمّداً، وإنْ تكلَّمت ناسياً فلا شيء عليك، فهو بمنزلة مَنْ تكلّم في الصَّلاة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وجهه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قلبَ وجهه عن القبلة</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أنّ المراد الانصراف لقضاء الحاجة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يسأل أبا عبد اللّه عليه السلام عن رجلٍ وَجَد غَمْزاً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بطنه أو أذىً أو عصراً من البول، وهو في صلاة المكتوبة، في الرّكعة الاُولى أو الثانية أو الثالثة أو الرابعة‌؟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شيئاً من ذلك، فلا بأس بأن يخرج لحاجته تلك، فيتوضّأ ثمّ ينصرف إلى مصلّاه الذي كان يُصلّي فيه، فيبني على صلاته من الموضع الذي خَرَج منه لحاجته، ما لم ينقض الصَّلاة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التفتَ يميناً وشمالاً أو ولّى عن القبلة‌؟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واسعٌ‌، إنّما هو بمنزلة رجلٍ سهى فانصرف في ركعةٍ أو ركعتين أو ثلاثة من المكتوبة، فإنّما عليه أن يبني على صلاته، ثمّ ذكر سهو النبيّ صلى الله عليه و آله</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ظاهرهما عدم مبطليّة الحَدَث في حال العمد، فيتعيّن حملهما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اشتمال الثاني على سهو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ظهورهما في عدم مبطليّة الحَدَث في غير حال العمد، يكونان معارضين لما تقدّم، وهو يقدّم لوجوه غير 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المتيمّم الذي يُصيب الماء أثناء صلاته، بعد أنْ صار مُحدِثاً؛ كصحيح زرارة ومحمّد بن مسلم،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دخل في الصَّلاة وهو متيمّم، فصلّى ركعة، ثمّ أحدَثَ فأصاب الماء؟</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ويتوضّأ، ثمّ يبني على ما مضى من صلاته الّتي صلّيبالتيمّم</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المحقّق</w:t>
      </w:r>
      <w:r>
        <w:rPr>
          <w:rStyle w:val="FootnoteAnchor"/>
          <w:rtl w:val="true"/>
        </w:rPr>
        <w:footnoteReference w:id="1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متكرّرة في الكتب بأسانيد مختلفة، وأصلها محمّد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مختصٌّ بالمتيمّم، ومع احتمال اختصاصه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المفيد</w:t>
      </w:r>
      <w:r>
        <w:rPr>
          <w:rStyle w:val="FootnoteAnchor"/>
          <w:rtl w:val="true"/>
        </w:rPr>
        <w:footnoteReference w:id="1321"/>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23"/>
      </w:r>
      <w:r>
        <w:rPr>
          <w:rFonts w:ascii="Amiri" w:hAnsi="Amiri" w:eastAsia="Amiri" w:cs="Amiri"/>
          <w:color w:val="111111"/>
          <w:sz w:val="28"/>
          <w:sz w:val="28"/>
          <w:szCs w:val="28"/>
          <w:rtl w:val="true"/>
          <w:lang w:bidi="ar-SA"/>
        </w:rPr>
        <w:t>، وابن أبي عقيل</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للتعدّي عنه إلى المتوضّئ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التعدّي، يتعيّن طرحه، لمعارضته للنصوص المتقدّمة، وهي تقدّم لوجوهٍ لا تخفى‌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عدم مبطليّة الحَدَث الواقع بعد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عدم مبطليّة ما وقع بعد السَّجدة الأخيرة، في غير حال العمد، ممّا تقتضيه القاعدة، فلا وجه للتعدّي إلى ما قبل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كون الحَدَث مبطلٌ للصَّلاة مطلقاً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60" w:name="pg11800_97146"/>
    </w:p>
    <w:p>
      <w:pPr>
        <w:pStyle w:val="BookText"/>
        <w:rPr/>
      </w:pPr>
      <w:bookmarkEnd w:id="560"/>
      <w:r>
        <w:rPr>
          <w:rFonts w:ascii="Amiri" w:hAnsi="Amiri" w:eastAsia="Amiri" w:cs="Amiri"/>
          <w:color w:val="111111"/>
          <w:sz w:val="28"/>
          <w:sz w:val="28"/>
          <w:szCs w:val="28"/>
          <w:rtl w:val="true"/>
          <w:lang w:bidi="ar-SA"/>
        </w:rPr>
        <w:t>وتَعمُّدِ الإلتفات إلى ما ورائه</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10478153_73709187"/>
      <w:bookmarkStart w:id="562" w:name="_Toc212"/>
      <w:bookmarkEnd w:id="561"/>
      <w:r>
        <w:rPr>
          <w:rtl w:val="true"/>
        </w:rPr>
        <w:t>تعمّد الإلتفات عن القبلة</w:t>
      </w:r>
      <w:bookmarkEnd w:id="562"/>
    </w:p>
    <w:p>
      <w:pPr>
        <w:pStyle w:val="Heading6"/>
        <w:numPr>
          <w:ilvl w:val="5"/>
          <w:numId w:val="1"/>
        </w:numPr>
        <w:rPr/>
      </w:pPr>
      <w:bookmarkStart w:id="563" w:name="__RefHeading___Toc10478155_73709187"/>
      <w:bookmarkStart w:id="564" w:name="_Toc213"/>
      <w:bookmarkEnd w:id="563"/>
      <w:r>
        <w:rPr>
          <w:rtl w:val="true"/>
        </w:rPr>
        <w:t>اشارة</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قواطع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الالتفات إلى ما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وعن غير واحدٍ</w:t>
      </w:r>
      <w:r>
        <w:rPr>
          <w:rStyle w:val="FootnoteAnchor"/>
          <w:rtl w:val="true"/>
        </w:rPr>
        <w:footnoteReference w:id="132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جعل القاطعيّة والمانعيّة له، مع كون الاستقبال شرطاً، إذ جعل أحد الضدّين مانعاً مع كون الاخر شرطاً لغو، لأنّه في فرض وجود المانع حينئذٍ، يكون الشرط مفقوداً، فلا محالة يستند عدم المعلول إلى عدم الشرط، فلا يوجد موردٌ يستند عدم المعلول إلى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شرطيّة الاستقبال لا تقتضي بطلان الصَّلاة في صورة الانحراف عن القبلة في الآنات المتخلّلة، لما عرفت من أنّ ظاهر أدلّة اعتباره، اعتباره في حال الاشتغال بأفعال الصَّلاة، وهذا بخلاف جعل القاطعيّة للانحراف عن القبلة، فإنّها تقتضي بطلانها في صورة الانحراف في الآنات، فلا يلزم لغويّة جعل القاطعيّة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إلى ما بين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إلى الوراء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التقادير الثلاثة</w:t>
      </w:r>
      <w:r>
        <w:rPr>
          <w:rFonts w:eastAsia="Amiri" w:cs="Amiri" w:ascii="Amiri" w:hAnsi="Amiri"/>
          <w:color w:val="111111"/>
          <w:sz w:val="28"/>
          <w:szCs w:val="28"/>
          <w:rtl w:val="true"/>
          <w:lang w:bidi="ar-SA"/>
        </w:rPr>
        <w:t xml:space="preserve">: </w:t>
      </w:r>
      <w:bookmarkStart w:id="565" w:name="pg11800_97147"/>
    </w:p>
    <w:p>
      <w:pPr>
        <w:pStyle w:val="BookText"/>
        <w:rPr/>
      </w:pPr>
      <w:bookmarkEnd w:id="565"/>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عمدي أو سهوي</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0478157_73709187"/>
      <w:bookmarkStart w:id="567" w:name="_Toc214"/>
      <w:bookmarkEnd w:id="566"/>
      <w:r>
        <w:rPr>
          <w:rtl w:val="true"/>
        </w:rPr>
        <w:t>الإلتفات بتمام البدن</w:t>
      </w:r>
      <w:bookmarkEnd w:id="5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الالتفات بتمام البدن، إنْ كان عمديّاً يوجبُ البطلان مطلقاً، كما هو المشهور بين الأصحاب</w:t>
      </w:r>
      <w:r>
        <w:rPr>
          <w:rStyle w:val="FootnoteAnchor"/>
          <w:rtl w:val="true"/>
        </w:rPr>
        <w:footnoteReference w:id="1326"/>
      </w:r>
      <w:r>
        <w:rPr>
          <w:rFonts w:ascii="Amiri" w:hAnsi="Amiri" w:eastAsia="Amiri" w:cs="Amiri"/>
          <w:color w:val="111111"/>
          <w:sz w:val="28"/>
          <w:sz w:val="28"/>
          <w:szCs w:val="28"/>
          <w:rtl w:val="true"/>
          <w:lang w:bidi="ar-SA"/>
        </w:rPr>
        <w:t>، بل عن غير واحدٍ</w:t>
      </w:r>
      <w:r>
        <w:rPr>
          <w:rStyle w:val="FootnoteAnchor"/>
          <w:rtl w:val="true"/>
        </w:rPr>
        <w:footnoteReference w:id="132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يلتفت في صلاته‌؟ قال عليه السلام لا</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تكلّمت أو صرفت وجهك عن القبلة فأعِدْ الصَّلاة</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يعارضها خبر عبدالملك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الالتفات في الصَّلاة، أيقطع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أحبُّ أن يُفعل</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لقصوره عن المكافئة، فلابدّ وأن يُطرح أو يُحمل على ما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القاطعيّة بما إذا كان إلى الخلف،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بالخبر الذي رواه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يلتفت في صلاته، هل قطع ذلك صلاته‌؟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والتفت إلى خلفه، فقد قطع صلاته، فيُعيد ما صَلّى‌، ولا يتعدّ به، وإنْ كانت نافلة لا يقطع ذلك صلاته</w:t>
      </w:r>
      <w:r>
        <w:rPr>
          <w:rFonts w:eastAsia="Amiri" w:cs="Amiri" w:ascii="Amiri" w:hAnsi="Amiri"/>
          <w:color w:val="111111"/>
          <w:sz w:val="28"/>
          <w:szCs w:val="28"/>
          <w:rtl w:val="true"/>
          <w:lang w:bidi="ar-SA"/>
        </w:rPr>
        <w:t>»</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الشرطيّة في الخبرين، بقرينة ما في ذيلها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مسوقةً لبيان الفرق بين الفريضة والنافلة، لا لبيان الفرق بين الالتفات إلى الخلف وغيره، حتّى تدلّ على أنّه إنْ لم يكن الالتفات إلى الخلف، فلا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وبمصحّح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بدعوى أنّ مفهومه عدم قاطعيّة الالتفات اليسير، وهو ما إذا كان إلى ما بين النقطتين أو إليهما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الالتفات الفاحش ما ذُكر، كما يمكن أن يكون الالتفات بمقاديم البدن، ويمكن أيضاً أن يكون الالتفات الموجب لخروج المُصلّي عن كونه مستقبلاً عرفاً، في مقابل الالتفات اليسير، غير الموجب لذلك، ومع تطرّق هذه الاحتمالات فيه، وعدم ظهوره في الأوّل، لو لم ندّع ظهوره في الأخير، لا وجه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الالتفات السَّهوي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الالتفات بتمام البدن سهويّاً، فالمشهور بين الأصحاب</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إنْ كان إلى ما بين المشرق والمغرب،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إليهما، أعاد في الوقت دون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إلى الخلف أعاد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المبطليّة بصورة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أختاره هو لزوم الإعادة في جميع صور السّهو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النصوص المتقدّمة، لا سيّما صحيح زرارة، فإنّها ظاهرة في أنّ الالتفات يكون من القواطع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رجلٍ دخل مع الإمام في صلاته، وقد سبقه الإمام بركعةٍ‌، فلمّا فرغ الإمام خَرَج مع النّاس، ثمّ ذكر أنّه فاتته ركعة‌؟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ركعةً واحدة، يجوز له ذلك إذا لم يُحوّل وجهه، فإذا حوّل وجهه عن القبلة استقبل الصَّلاة استقبالاً</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الرواية، مبطليّة الانحراف عن القبلة، ولو مع عدم الإتيان بشيءٍ من الأفعال في حال السَّهو والنسيان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والمغرب قبلة</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الحاكم على المطلقات الواردة في هذا الباب، عدم لزوم الإعادة في الصورة الاُولى، كما أنّ مقتضى ما دلّ على التفصيل بين الوقت وخارجه، من النصوص الواردة في باب القبلة</w:t>
      </w:r>
      <w:r>
        <w:rPr>
          <w:rStyle w:val="FootnoteAnchor"/>
          <w:rtl w:val="true"/>
        </w:rPr>
        <w:footnoteReference w:id="1337"/>
      </w:r>
      <w:r>
        <w:rPr>
          <w:rFonts w:ascii="Amiri" w:hAnsi="Amiri" w:eastAsia="Amiri" w:cs="Amiri"/>
          <w:color w:val="111111"/>
          <w:sz w:val="28"/>
          <w:sz w:val="28"/>
          <w:szCs w:val="28"/>
          <w:rtl w:val="true"/>
          <w:lang w:bidi="ar-SA"/>
        </w:rPr>
        <w:t>، وجوب الإعادة في الأوّل، وعدم وجوب القضاء في الثاني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تلك المسألة من اختصاص تلك النصوص بصورة التحرّي، وانصرافها عن صورة السَّهو والنسيان، فراجع</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رفع الخطاء والنسيان والسَّهو</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خبر ابن مسلم لأخصيّته يقدّم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هذا الكتاب غير مرّة من أنّ حديث الرفع لا يرفع التكليف المتعلّق بالجزء أو الشرط أو المانع، لو نسي المكلّف فتَرَك الجزء أو الشرط، أو أوجد المانع في الفرد، لعدم تعلّق النسيان بما تعلّق به التكليف، إذ متعلّق التكليف ليس هو الفرد الذي شُرّع فيه بل هو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يتمُّ في الأجزاء والشرائط، ولا يتمّ في الموانع، إذ يمكن أن يقال فيها إنّه لو نسي المكلّف، والتفتَ في الصَّلاة عن القبلة، فإنّ مقتضى حديث الرفع أنّ هذا الالتفات ليس بالتفاتٍ شرعاً، فلا يكون مبطلاً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حديث الرفع لو كان رفع ما تعلّق به النسيان بعنوانه الأوّلي، كان ذلك تامّاً، ولكن بما أنّ لسانه رفع الشيء بعنوانه الثانوي الطارئ كالنسيان،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68" w:name="pg11800_97151"/>
    </w:p>
    <w:p>
      <w:pPr>
        <w:pStyle w:val="BookText"/>
        <w:rPr/>
      </w:pPr>
      <w:bookmarkEnd w:id="568"/>
      <w:r>
        <w:rPr>
          <w:rFonts w:ascii="Amiri" w:hAnsi="Amiri" w:eastAsia="Amiri" w:cs="Amiri"/>
          <w:color w:val="111111"/>
          <w:sz w:val="28"/>
          <w:sz w:val="28"/>
          <w:szCs w:val="28"/>
          <w:rtl w:val="true"/>
          <w:lang w:bidi="ar-SA"/>
        </w:rPr>
        <w:t xml:space="preserve">فلا مناص عن الالتزام بأنّ المرفوع هو الفعل المعنون بهذا العنوان في عالم التشريع، ومعنى ذلك هو رفع الحكم الثابت له بعنوانه الأوّلي وليس هو إلّاالتكليف الضمني، الذي يكون رفعه برفع الحكم المتعلّق بما يكون منشأ انتزاعه، وهو المركّب، فتكون النتيجة عدم كون المجموع متعلّقاً للتكليف، وحيثُ لا دليل على ثبوته في الأجزاء الباقية، كي يُجتزى بها، ولا يكون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للنسيان كي يرتفع التكليف رأساً، فلا مناص عن الحكم بلزوم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حكم الالتفات القهري، وأنّه يوجب البطلان مطلقاً، إلّا إذا كان الإكراه عليه، أو الاضطرار به مستوعباً للوقت، كما لا يخفى على مَن تدبّر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الالتفات بكلّ البدن</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0478159_73709187"/>
      <w:bookmarkStart w:id="570" w:name="_Toc215"/>
      <w:bookmarkEnd w:id="569"/>
      <w:r>
        <w:rPr>
          <w:rtl w:val="true"/>
        </w:rPr>
        <w:t>الإلتفات بالوجه</w:t>
      </w:r>
      <w:bookmarkEnd w:id="570"/>
    </w:p>
    <w:p>
      <w:pPr>
        <w:pStyle w:val="BookText"/>
        <w:rPr/>
      </w:pPr>
      <w:r>
        <w:rPr>
          <w:rFonts w:ascii="Amiri" w:hAnsi="Amiri" w:eastAsia="Amiri" w:cs="Amiri"/>
          <w:color w:val="111111"/>
          <w:sz w:val="28"/>
          <w:sz w:val="28"/>
          <w:szCs w:val="28"/>
          <w:rtl w:val="true"/>
          <w:lang w:bidi="ar-SA"/>
        </w:rPr>
        <w:t>وأمّا إنْ كان الالتفات بالوجه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أنّه إنْ كان إلى ما بين المشرق والمغرب، أو إليهما، فلا يجب عليه الإعادة، عمديّاً كان أو سهويّاً، نعم يُكره ذلك في 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إلى الخلف، وجب الإعادة في الوقت، والقضاء خارجه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المشهور من أنّ الالتفات بالوجه إلى النقطتين، أو إلى ما بينهما، لا يكون قاطعاً هو الأقوى‌، لعدم الدليل على قاطعيّته، بل الخبر الصحيح </w:t>
      </w:r>
    </w:p>
    <w:p>
      <w:pPr>
        <w:pStyle w:val="BookText"/>
        <w:rPr/>
      </w:pPr>
      <w:r>
        <w:rPr>
          <w:rFonts w:ascii="Amiri" w:hAnsi="Amiri" w:eastAsia="Amiri" w:cs="Amiri"/>
          <w:color w:val="111111"/>
          <w:sz w:val="28"/>
          <w:sz w:val="28"/>
          <w:szCs w:val="28"/>
          <w:rtl w:val="true"/>
          <w:lang w:bidi="ar-SA"/>
        </w:rPr>
        <w:t>الذي رواه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صلاته، فيظنّ أنّ ثوبه قد انخرق أو أصابه شيء، هل يصلح له أن ينظر فيه أو يمسّه‌؟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مقدّم ثوبه أو جانبيه فلا بأس، وإنْ كان في مؤخّره فلايلتفت، فإنّه لا يصلح</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يدلّ على عدم قادحيّته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الفخر</w:t>
      </w:r>
      <w:r>
        <w:rPr>
          <w:rStyle w:val="FootnoteAnchor"/>
          <w:rtl w:val="true"/>
        </w:rPr>
        <w:footnoteReference w:id="13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ما دلّ على اعتبار الاستقبال</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دلّ على أنّ الالتفات عن القبلة من القواطع</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تكلّمت أو صرفت وجهك عن القبلة، فأعد الصَّلاة</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وفي معناه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المتبادر منه الاستقبال بمقاديم البدن، مع أنّه يدلّ على اعتبار الاستقبال في الأفعال الصَّلاتيّة، لا الأكوان المتخلّلة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يقيّد بما دلّ على قدحه، إذا كان بكلّ البدن، كصحيح زرارة المتقدّم، مع أنّ تلك النصوص منصرفة إلى ما إذا كان الالتفات بتمام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هو المراد من الوجه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وهو مقاديم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قاطعيّة الالتفات في الصورتين، وأمّا كراهته فالظاهر اتّفاق العلماء عليها، ولكن لا دليل عليها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الالتفات بالوجه إلى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امتناع وقوعه، وعلى فرض إمكانه، فإنّ الأقوى جوازه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عليّبن جعفرالمتقدّم، وقد عرفت انصرافه إلى الالتفات بمقاديم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مؤخّره فلا يلتفت، فإنّه 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لما عرفت من امتناع الالتفات بالوجه إلى الخلف، يدلّ على قاطعيّة الالتفات إذا كان بمقاديم البدن لا بالوجه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المشهور التزموا بالمنع، لأجل أنّ الالتفات بالوجه إلى الخلف، لايمكن إلّامع الانحراف عن القبلة بمقاديم البدن، وعليه فيكون المنع في محلّه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71" w:name="pg11800_97154"/>
    </w:p>
    <w:p>
      <w:pPr>
        <w:pStyle w:val="BookText"/>
        <w:rPr/>
      </w:pPr>
      <w:bookmarkEnd w:id="571"/>
      <w:r>
        <w:rPr>
          <w:rFonts w:ascii="Amiri" w:hAnsi="Amiri" w:eastAsia="Amiri" w:cs="Amiri"/>
          <w:color w:val="111111"/>
          <w:sz w:val="28"/>
          <w:sz w:val="28"/>
          <w:szCs w:val="28"/>
          <w:rtl w:val="true"/>
          <w:lang w:bidi="ar-SA"/>
        </w:rPr>
        <w:t>والكلام بحرفين فصاعداً</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0478161_73709187"/>
      <w:bookmarkStart w:id="573" w:name="_Toc216"/>
      <w:bookmarkEnd w:id="572"/>
      <w:r>
        <w:rPr>
          <w:rtl w:val="true"/>
        </w:rPr>
        <w:t>تعمّد الكلام في الصَّلاة</w:t>
      </w:r>
      <w:bookmarkEnd w:id="573"/>
    </w:p>
    <w:p>
      <w:pPr>
        <w:pStyle w:val="Heading6"/>
        <w:numPr>
          <w:ilvl w:val="5"/>
          <w:numId w:val="1"/>
        </w:numPr>
        <w:rPr/>
      </w:pPr>
      <w:bookmarkStart w:id="574" w:name="__RefHeading___Toc10478163_73709187"/>
      <w:bookmarkStart w:id="575" w:name="_Toc217"/>
      <w:bookmarkEnd w:id="574"/>
      <w:r>
        <w:rPr>
          <w:rtl w:val="true"/>
        </w:rPr>
        <w:t>اشارة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قواطع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بل عن غير واحدٍ</w:t>
      </w:r>
      <w:r>
        <w:rPr>
          <w:rStyle w:val="FootnoteAnchor"/>
          <w:rtl w:val="true"/>
        </w:rPr>
        <w:footnoteReference w:id="135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يأخذه الرّعاف أو القي في الصَّلاة،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ينفتل فيغسل أنفه ويعود في الصَّلاة، وإنْ تكلّم فليعد</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تكلّمت أو صرفت وجهك عن القبلة فأعد الصَّلاة</w:t>
      </w:r>
      <w:r>
        <w:rPr>
          <w:rFonts w:eastAsia="Amiri" w:cs="Amiri" w:ascii="Amiri" w:hAnsi="Amiri"/>
          <w:color w:val="111111"/>
          <w:sz w:val="28"/>
          <w:szCs w:val="28"/>
          <w:rtl w:val="true"/>
          <w:lang w:bidi="ar-SA"/>
        </w:rPr>
        <w:t>»</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تشخيص الموضوع، فالظاهر تحقّقه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مهملين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353"/>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35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bookmarkStart w:id="576" w:name="pg11800_97155"/>
    </w:p>
    <w:p>
      <w:pPr>
        <w:pStyle w:val="BookText"/>
        <w:rPr/>
      </w:pPr>
      <w:bookmarkEnd w:id="576"/>
      <w:r>
        <w:rPr>
          <w:rFonts w:ascii="Amiri" w:hAnsi="Amiri" w:eastAsia="Amiri" w:cs="Amiri"/>
          <w:color w:val="111111"/>
          <w:sz w:val="28"/>
          <w:sz w:val="28"/>
          <w:szCs w:val="28"/>
          <w:rtl w:val="true"/>
          <w:lang w:bidi="ar-SA"/>
        </w:rPr>
        <w:t>أو بحرفٍ واحدٍ إنْ كان مُفهِماً للمعنى‌، كما عن الشهيد</w:t>
      </w:r>
      <w:r>
        <w:rPr>
          <w:rStyle w:val="FootnoteAnchor"/>
          <w:rtl w:val="true"/>
        </w:rPr>
        <w:footnoteReference w:id="1355"/>
      </w:r>
      <w:r>
        <w:rPr>
          <w:rFonts w:ascii="Amiri" w:hAnsi="Amiri" w:eastAsia="Amiri" w:cs="Amiri"/>
          <w:color w:val="111111"/>
          <w:sz w:val="28"/>
          <w:sz w:val="28"/>
          <w:szCs w:val="28"/>
          <w:rtl w:val="true"/>
          <w:lang w:bidi="ar-SA"/>
        </w:rPr>
        <w:t>وجماعة من المتأخّرين عنه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لتحقّقه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صدق الكلام بذلك عرفاً ولغةً‌،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حيث أنّ الظاهر منه أنّ المدار على الصدق مطلق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مُفهِماً للمعنى يقوم مقام الحرف الآخر، فيصدق عليه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361"/>
      </w:r>
      <w:r>
        <w:rPr>
          <w:rFonts w:ascii="Amiri" w:hAnsi="Amiri" w:eastAsia="Amiri" w:cs="Amiri"/>
          <w:color w:val="111111"/>
          <w:sz w:val="28"/>
          <w:sz w:val="28"/>
          <w:szCs w:val="28"/>
          <w:rtl w:val="true"/>
          <w:lang w:bidi="ar-SA"/>
        </w:rPr>
        <w:t>من التردّد في مبطليّته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الحرف الواحد غير المفهم، فلا يكون مصداقاً للكلام بلا خلاف، ولا يكون مبطلاً إجماعاً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7" w:name="__RefHeading___Toc10478165_73709187"/>
      <w:bookmarkStart w:id="578" w:name="_Toc218"/>
      <w:bookmarkEnd w:id="577"/>
      <w:r>
        <w:rPr>
          <w:rtl w:val="true"/>
        </w:rPr>
        <w:t>مسائل</w:t>
      </w:r>
      <w:r>
        <w:rPr>
          <w:rtl w:val="true"/>
        </w:rPr>
        <w:t>:</w:t>
      </w:r>
      <w:bookmarkEnd w:id="57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w:t>
      </w:r>
      <w:r>
        <w:rPr>
          <w:rStyle w:val="FootnoteAnchor"/>
          <w:rtl w:val="true"/>
        </w:rPr>
        <w:footnoteReference w:id="1363"/>
      </w:r>
      <w:r>
        <w:rPr>
          <w:rFonts w:ascii="Amiri" w:hAnsi="Amiri" w:eastAsia="Amiri" w:cs="Amiri"/>
          <w:color w:val="111111"/>
          <w:sz w:val="28"/>
          <w:sz w:val="28"/>
          <w:szCs w:val="28"/>
          <w:rtl w:val="true"/>
          <w:lang w:bidi="ar-SA"/>
        </w:rPr>
        <w:t xml:space="preserve">في اختصاص مبطليّة الكلام بما ليس </w:t>
      </w:r>
    </w:p>
    <w:p>
      <w:pPr>
        <w:pStyle w:val="BookText"/>
        <w:rPr/>
      </w:pPr>
      <w:r>
        <w:rPr>
          <w:rFonts w:ascii="Amiri" w:hAnsi="Amiri" w:eastAsia="Amiri" w:cs="Amiri"/>
          <w:color w:val="111111"/>
          <w:sz w:val="28"/>
          <w:sz w:val="28"/>
          <w:szCs w:val="28"/>
          <w:rtl w:val="true"/>
          <w:lang w:bidi="ar-SA"/>
        </w:rPr>
        <w:t>بدعاءٍ ولا قرآنٍ ولا ذِكر، فلا بأس بالذِّكر والدُّعاء وقراءة القرآن في جميع أحوال الصَّلاة، سواءٌ قصد بها التقرّب فقط، أو أتى بها لغرضٍ يترتّب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عن مولانا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يتكلّم في صلاة الفريضة بكلّ شيء يُناجي رَبّه عَزّ وجَلّ؟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الإمام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صلاته وإلى جنبه رجلٌ راقدٌ، فيُريد أن يوقظه فيسبِّح ويرفع صوته، لا يريد إلّاليستيقظ الرّجل، هل يقطع ذلك صلاته، وما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ذلك صلاته، ولا شيء عليه</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فيستأذن إنسانٌ على الباب، فيسبِّح ويَرفعُ صوته، ويُسمِع جاريته فتأتيه، فيُريها بيده أنّ على الباب إنساناً، هل يقطع ذلك صلاته، وما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لا يقطع بذلك صلاته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الجملة ممّا لا كلام فيه ولا إشكال، إنّما الكلام في أنّه هل يعتبر في استثناء تلك الاُمور أنْ لا تكون محرّمة أم لا؟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367"/>
      </w:r>
      <w:r>
        <w:rPr>
          <w:rFonts w:ascii="Amiri" w:hAnsi="Amiri" w:eastAsia="Amiri" w:cs="Amiri"/>
          <w:color w:val="111111"/>
          <w:sz w:val="28"/>
          <w:sz w:val="28"/>
          <w:szCs w:val="28"/>
          <w:rtl w:val="true"/>
          <w:lang w:bidi="ar-SA"/>
        </w:rPr>
        <w:t>اعتبار ذلك، وهو الأقوى‌، إذ مقتضى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 ما دلّ على مبطليّة التكلّم، مبطليّة كلّ ما يصدق عليه الكلام، ولو كان دعاءً أو قرآناً أو ذِكراً، وإنّما خرجت عنه الثلاثة المزبورة إذا كانت غير محرّمة، لاختصاص دليل خروجها بهذه الصورة، فالمحرّمة منها داخلة في المستثنى، فلا محالة تكون باقية تحت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خروجها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لسانه جواز الذّكر أو الدُّعاء أو قراءة القرآن في الصَّلاة، كصحيح ابن مهزيار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لسانه نفي الكلام عنها،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ناجيت به ربّك في الصَّلاة فليس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القسم الأوّل بغير المحرّمة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فالظاهر شموله للمحرّمة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له من هذه الجهة، ليتمسّك به لإثبات عدم مبطليّة ما أتى به على وجهٍ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منصرفٌ إلى ما يكون مباحاً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368"/>
      </w:r>
      <w:r>
        <w:rPr>
          <w:rFonts w:ascii="Amiri" w:hAnsi="Amiri" w:eastAsia="Amiri" w:cs="Amiri"/>
          <w:color w:val="111111"/>
          <w:sz w:val="28"/>
          <w:sz w:val="28"/>
          <w:szCs w:val="28"/>
          <w:rtl w:val="true"/>
          <w:lang w:bidi="ar-SA"/>
        </w:rPr>
        <w:t>انصراف ما دلّ على قاطعيّة الكلام إلى كلام الآدميّين المغاير بالنّوع لأذكار الصَّلاة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دعوى لا شاهد لها، ولذا لو لم يكن دليلٌ على خروج الثلاثة المذكورة عن تحت العام، لحكمنا بمبطليّتها، والشاهد له عدم استدلال أحدٍ من العلماء على جوازها بالإنصراف، وإنّما يستدلّون عليه بالأدلّة المجوّزة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مبطليّة الكلام مطلقاً، وإنّما خرج عنه القرآن والذّكر والدُّعاء السائغة، ويبقى غيرها تحت العام، فيُحكم بمبطليّته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ذكرناه من جواز قراءة القرآن أو الذّكر لغرضٍ يترتّب عليه، إنّما هو فيما إذا استُعمِل الذّكر أو القرآن في معناه، لكن يكون داعيه في الاستعمال ذلك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استعمله فيما هو مقصوده، فالأقوى عدم جوازه، لخروجه عن اسم الذّكر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خروجه عن الأوّل فواضح، وأمّا عن الثاني فلأنّ القرآن اسمٌ للكلام المعهود المُعرِب عمّا أراده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 في الصَّلاة ساهياً، فالمشهور</w:t>
      </w:r>
      <w:r>
        <w:rPr>
          <w:rStyle w:val="FootnoteAnchor"/>
          <w:rtl w:val="true"/>
        </w:rPr>
        <w:footnoteReference w:id="1369"/>
      </w:r>
      <w:r>
        <w:rPr>
          <w:rFonts w:ascii="Amiri" w:hAnsi="Amiri" w:eastAsia="Amiri" w:cs="Amiri"/>
          <w:color w:val="111111"/>
          <w:sz w:val="28"/>
          <w:sz w:val="28"/>
          <w:szCs w:val="28"/>
          <w:rtl w:val="true"/>
          <w:lang w:bidi="ar-SA"/>
        </w:rPr>
        <w:t xml:space="preserve">عدم بطلان الصَّلاة به،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يسهو في الرّكعتين ويتكلّم،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صلاته، تكلّم أو لم يتكلّم، ولا شيء عليه</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التكلّم في الصَّلاة، أو اضطرّ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تبطل الصَّلاة مطلقاً، أو لا تبطل كذلك‌؟</w:t>
      </w:r>
    </w:p>
    <w:p>
      <w:pPr>
        <w:pStyle w:val="BookText"/>
        <w:rPr/>
      </w:pPr>
      <w:r>
        <w:rPr>
          <w:rFonts w:ascii="Amiri" w:hAnsi="Amiri" w:eastAsia="Amiri" w:cs="Amiri"/>
          <w:color w:val="111111"/>
          <w:sz w:val="28"/>
          <w:sz w:val="28"/>
          <w:szCs w:val="28"/>
          <w:rtl w:val="true"/>
          <w:lang w:bidi="ar-SA"/>
        </w:rPr>
        <w:t>أو يفصل بين ما لو كان الإكراه أو الاضطرار مستوعباً للوقت فلا تبطل، وبين ما لم يكن كذلك فتبطل‌؟</w:t>
      </w:r>
    </w:p>
    <w:p>
      <w:pPr>
        <w:pStyle w:val="BookText"/>
        <w:rPr/>
      </w:pPr>
      <w:r>
        <w:rPr>
          <w:rFonts w:ascii="Amiri" w:hAnsi="Amiri" w:eastAsia="Amiri" w:cs="Amiri"/>
          <w:color w:val="111111"/>
          <w:sz w:val="28"/>
          <w:sz w:val="28"/>
          <w:szCs w:val="28"/>
          <w:rtl w:val="true"/>
          <w:lang w:bidi="ar-SA"/>
        </w:rPr>
        <w:t>وجوهٌ‌، أقواها الأخير، لما حقّقناه في محلّه من أنّ حديث الرفع يشمل الاضطرار والإكراه المتعلّقين بإيجاد المانع، إذا كانا مستوعبين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القول الثاني، إذ لا دليل عليه سوى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الأدلّة، لا سيّما بضميمة التفصيل بين التكلّم ناسياً وعامداً، أنّ التكلّم عمداً منافٍ بالذات للصَّلاة ولو كان بغير الاختيار، وإليه يرجع ما ذكره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دليلاً عليه، بأنّ التكلّم منافٍ للصَّلاة، فيستوي فيه الاختيار وعدمه كالحَدَث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حاكمٌ على عمومات أدلّة التكاليف وإطلاقاتها، فيقدّم على جميعها، ومنها ما دلّ على قاطعيّة التكلّم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9" w:name="pg11800_97160"/>
    </w:p>
    <w:p>
      <w:pPr>
        <w:pStyle w:val="BookText"/>
        <w:rPr/>
      </w:pPr>
      <w:bookmarkEnd w:id="579"/>
      <w:r>
        <w:rPr>
          <w:rFonts w:ascii="Amiri" w:hAnsi="Amiri" w:eastAsia="Amiri" w:cs="Amiri"/>
          <w:color w:val="111111"/>
          <w:sz w:val="28"/>
          <w:sz w:val="28"/>
          <w:szCs w:val="28"/>
          <w:rtl w:val="true"/>
          <w:lang w:bidi="ar-SA"/>
        </w:rPr>
        <w:t>والقهقهة</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10478167_73709187"/>
      <w:bookmarkStart w:id="581" w:name="_Toc219"/>
      <w:bookmarkEnd w:id="580"/>
      <w:r>
        <w:rPr>
          <w:rtl w:val="true"/>
        </w:rPr>
        <w:t>القهقهة في الصَّلاة</w:t>
      </w:r>
      <w:bookmarkEnd w:id="581"/>
    </w:p>
    <w:p>
      <w:pPr>
        <w:pStyle w:val="Heading6"/>
        <w:numPr>
          <w:ilvl w:val="5"/>
          <w:numId w:val="1"/>
        </w:numPr>
        <w:rPr/>
      </w:pPr>
      <w:bookmarkStart w:id="582" w:name="__RefHeading___Toc10478169_73709187"/>
      <w:bookmarkStart w:id="583" w:name="_Toc220"/>
      <w:bookmarkEnd w:id="582"/>
      <w:r>
        <w:rPr>
          <w:rtl w:val="true"/>
        </w:rPr>
        <w:t>اشارة</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قواطع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فيه في الجملة،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374"/>
      </w:r>
      <w:r>
        <w:rPr>
          <w:rFonts w:ascii="Amiri" w:hAnsi="Amiri" w:eastAsia="Amiri" w:cs="Amiri"/>
          <w:color w:val="111111"/>
          <w:sz w:val="28"/>
          <w:sz w:val="28"/>
          <w:szCs w:val="28"/>
          <w:rtl w:val="true"/>
          <w:lang w:bidi="ar-SA"/>
        </w:rPr>
        <w:t>وغيرهما</w:t>
      </w:r>
      <w:r>
        <w:rPr>
          <w:rStyle w:val="FootnoteAnchor"/>
          <w:rtl w:val="true"/>
        </w:rPr>
        <w:footnoteReference w:id="137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أو حسنه،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لا تُنقض الوضوء وتُنقض الصَّلاة</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 ابن أبي عمير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رهطٍ سمعوه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التبسّم في الصَّلاة لا يُنقض الصَّلاة، ولا يُنقض الوضوء، إنّما يقطع الضحك الذي فيه القهقهة</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فسّره أكثر اللّغويّين</w:t>
      </w:r>
      <w:r>
        <w:rPr>
          <w:rStyle w:val="FootnoteAnchor"/>
          <w:rtl w:val="true"/>
        </w:rPr>
        <w:footnoteReference w:id="1378"/>
      </w:r>
      <w:r>
        <w:rPr>
          <w:rFonts w:ascii="Amiri" w:hAnsi="Amiri" w:eastAsia="Amiri" w:cs="Amiri"/>
          <w:color w:val="111111"/>
          <w:sz w:val="28"/>
          <w:sz w:val="28"/>
          <w:szCs w:val="28"/>
          <w:rtl w:val="true"/>
          <w:lang w:bidi="ar-SA"/>
        </w:rPr>
        <w:t>، هو الترجيع في الضحك وشدّته، أو الإغراق والمبالغة فيه، ويناسبه لفظ القهقهة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فسّره بعضهم بالضّحك المشتمل على الصوت، وإنْلم يكن فيه ترجيعٌ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فسّره بالضحك، ظنّاً منه أنّ التبسّم ليس من أفراد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يثبت بكلام بعض اللّغويّين المعنى الأعمّ‌، لجواز أنْ يكون تفسيراً بالأعمّ‌، كما يصدر كثيراً من اللّغويّين، فلا يعارض ذلك كلام من عداه ممّن صرّح بأنّها للأخصّ‌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فاستفادة قاطعيّة الضحك المشتمل على الصوت، إنْ لم يكن فيه ترجيعٌ وشدّة، من النصوص الدالّة على قاطعيّة القهقهة، في غاية الإشكال، فمقتضى الأصل عدم كونه قاطعاً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جماعةٌ من المحقّقين</w:t>
      </w:r>
      <w:r>
        <w:rPr>
          <w:rStyle w:val="FootnoteAnchor"/>
          <w:rtl w:val="true"/>
        </w:rPr>
        <w:footnoteReference w:id="1379"/>
      </w:r>
      <w:r>
        <w:rPr>
          <w:rFonts w:ascii="Amiri" w:hAnsi="Amiri" w:eastAsia="Amiri" w:cs="Amiri"/>
          <w:color w:val="111111"/>
          <w:sz w:val="28"/>
          <w:sz w:val="28"/>
          <w:szCs w:val="28"/>
          <w:rtl w:val="true"/>
          <w:lang w:bidi="ar-SA"/>
        </w:rPr>
        <w:t>على مبطليّة الضحك الذي فيه صوتٌ بلا ترجيع، بموثّق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الضحك هل يقطع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التبسّم فلا يقطع الصَّلاة، وأمّا القهقهة فهي تقطع الصَّلاة</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أنّه ظاهرٌ في كونه في مقام بيان تمام أفراد الضحك، وعليه فإمّا أنْ يكون المراد من التبسّم ما يقابل القهقهة، سواءٌ أكان مع الصوت أو بدونه، أو يكون المراد بها ما يقابل التبسّم، وحيثُ أنّ استعمال القهقهة فيما عدا التبسّم أقرب إلى الحقيقة من استعماله فيما عداها، فيصبح هو 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84" w:name="pg11800_97162"/>
    </w:p>
    <w:p>
      <w:pPr>
        <w:pStyle w:val="BookText"/>
        <w:rPr/>
      </w:pPr>
      <w:bookmarkEnd w:id="58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الأوّل أقربُ إلى الحقيقة، لا يوجب ظهور القهقهة في الأعمّ‌، كي يخرج عن الأصل</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0478171_73709187"/>
      <w:bookmarkStart w:id="586" w:name="_Toc221"/>
      <w:bookmarkEnd w:id="585"/>
      <w:r>
        <w:rPr>
          <w:rtl w:val="true"/>
        </w:rPr>
        <w:t>فروع</w:t>
      </w:r>
      <w:r>
        <w:rPr>
          <w:rtl w:val="true"/>
        </w:rPr>
        <w:t>:</w:t>
      </w:r>
      <w:bookmarkEnd w:id="58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ممّا ذكرناه أنّه لو منع نفسه عن إظهار الضحك، وإنْ امتلأ جوفه ضحكاً بحيث اِحمرَّ وجهه وارتعش جسمه لا تبطل صلاته، لاختصاص القاطعيّة بخصوص القهقهة دون مجرّد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القهقهة، سواءٌ أكان مختاراً في إيجاد مقدّماتها، أم لو يكن تبطل الصَّلاة بها؛ لأنّ الضحك قهراً من أوضح أفراد القهقهة، وهو القَدَر المتيقّن من أدلّة قاطعيّتها، ولأنّها غالباً تحدُث من التعجّب العارض للنفس، من غير أن يسبقه عزمٌ وإرادة، فالغالب أنّها تحدثُ قهراً، فلا يمكن تخصيص الأخبار بغير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عدم صحّة التمسّك بحديث الرفع، للحكم بعدم قاطعيّة هذا الفرد من القهقهة، حتّى بناءً على عموم الحديث لأمثال المورد، لأنّ الأدلّة الدالّة على القاطعيّة تكون بحكم الأخصّ من الحديث، فيخصّص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ذكره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قاطعيّة القهقهة حتّى القهري منها، ونَسَبه إلى العلماء أجمع هو القوي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سهواً لا تُبطل الصَّلاة، وقد ادّعى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الأعاظم</w:t>
      </w:r>
      <w:r>
        <w:rPr>
          <w:rStyle w:val="FootnoteAnchor"/>
          <w:rtl w:val="true"/>
        </w:rPr>
        <w:footnoteReference w:id="1381"/>
      </w:r>
      <w:r>
        <w:rPr>
          <w:rFonts w:ascii="Amiri" w:hAnsi="Amiri" w:eastAsia="Amiri" w:cs="Amiri"/>
          <w:color w:val="111111"/>
          <w:sz w:val="28"/>
          <w:sz w:val="28"/>
          <w:szCs w:val="28"/>
          <w:rtl w:val="true"/>
          <w:lang w:bidi="ar-SA"/>
        </w:rPr>
        <w:t xml:space="preserve">الإجماع عليه، والوجه في 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يدلّ على أنّ الخلل الواقع في الصَّلاة سهواً لا يوجب </w:t>
      </w:r>
    </w:p>
    <w:p>
      <w:pPr>
        <w:pStyle w:val="BookText"/>
        <w:rPr/>
      </w:pPr>
      <w:r>
        <w:rPr>
          <w:rFonts w:ascii="Amiri" w:hAnsi="Amiri" w:eastAsia="Amiri" w:cs="Amiri"/>
          <w:color w:val="111111"/>
          <w:sz w:val="28"/>
          <w:sz w:val="28"/>
          <w:szCs w:val="28"/>
          <w:rtl w:val="true"/>
          <w:lang w:bidi="ar-SA"/>
        </w:rPr>
        <w:t>الإعادة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الهمداني رحمه الله</w:t>
      </w:r>
      <w:r>
        <w:rPr>
          <w:rStyle w:val="FootnoteAnchor"/>
          <w:rtl w:val="true"/>
        </w:rPr>
        <w:footnoteReference w:id="1382"/>
      </w:r>
      <w:r>
        <w:rPr>
          <w:rFonts w:ascii="Amiri" w:hAnsi="Amiri" w:eastAsia="Amiri" w:cs="Amiri"/>
          <w:color w:val="111111"/>
          <w:sz w:val="28"/>
          <w:sz w:val="28"/>
          <w:szCs w:val="28"/>
          <w:rtl w:val="true"/>
          <w:lang w:bidi="ar-SA"/>
        </w:rPr>
        <w:t xml:space="preserve">في وجه عدم القاطعيّة، من عدم الإطلاق لبعض النصوص، وانصراف ما له إطلاقٌ عن السَّهو، لأنّ الفرض حصولها في أثناء الصَّلاة من غير أن يلتفت المُصلّي حين تلبّسه بها إلى وقوعها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مدلول حصولها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نادر يمكن دعوى الانصراف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الانصراف الناشئ من غلبة الوجود، لا يكون مانعاً عن التمسّك بالإطلاق، لكونه بدويّاً زائلاً بأدنى التفات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87" w:name="pg11800_97164"/>
    </w:p>
    <w:p>
      <w:pPr>
        <w:pStyle w:val="BookText"/>
        <w:rPr/>
      </w:pPr>
      <w:bookmarkEnd w:id="587"/>
      <w:r>
        <w:rPr>
          <w:rFonts w:ascii="Amiri" w:hAnsi="Amiri" w:eastAsia="Amiri" w:cs="Amiri"/>
          <w:color w:val="111111"/>
          <w:sz w:val="28"/>
          <w:sz w:val="28"/>
          <w:szCs w:val="28"/>
          <w:rtl w:val="true"/>
          <w:lang w:bidi="ar-SA"/>
        </w:rPr>
        <w:t>والفعل الكثير الخارج عنها</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0478173_73709187"/>
      <w:bookmarkStart w:id="589" w:name="_Toc222"/>
      <w:bookmarkEnd w:id="588"/>
      <w:r>
        <w:rPr>
          <w:rtl w:val="true"/>
        </w:rPr>
        <w:t>الفعل الماحي لصورة الصَّلاة</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قواطع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الكثير الخارج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هذا الحكم بين الأصحاب</w:t>
      </w:r>
      <w:r>
        <w:rPr>
          <w:rStyle w:val="FootnoteAnchor"/>
          <w:rtl w:val="true"/>
        </w:rPr>
        <w:footnoteReference w:id="1383"/>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386"/>
      </w:r>
      <w:r>
        <w:rPr>
          <w:rFonts w:ascii="Amiri" w:hAnsi="Amiri" w:eastAsia="Amiri" w:cs="Amiri"/>
          <w:color w:val="111111"/>
          <w:sz w:val="28"/>
          <w:sz w:val="28"/>
          <w:szCs w:val="28"/>
          <w:rtl w:val="true"/>
          <w:lang w:bidi="ar-SA"/>
        </w:rPr>
        <w:t>دعوى اتّفاق العلماء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للصَّلاة عند المتشرّعة، بحسب ما ارتكز في أذهانهم، والذي تلقّوه من الشارع، هيئة اتّصاليّة يقطعها بعض الأفعال، ويوجب خروج المُصلّي عن كونه مُصلّياً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 الواردة في قاطعيّة بعض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في الصَّلاة فيقرأ، فيرى حيّة بحياله، يجوزُ أن يتناولها فيقتلها؟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 وبينها خطوة واحدة، فليَخْطُ وليقتلها وإلّا فلا</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صلاة الفريضة فرأيتَ غُلاماً لك قد أبقَ‌، أو غريماً لك عليه مالٌ‌، أو حيّة تخافها على نفسك، فاقطع الصَّلاة، واتبع غلامك أو غريمك واقتل الحيّة</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يستفاد من هذه النصوص، أنّ بعض الأفعال يوجب بطلان الصَّلاة، ويكون قاطعاً لها، والمتيقّن منها الفعل الماحي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ضابط الفعل الكثير الذي حكموا بقاطعيّته، وهو ما يوجب الخروج عن كونه مُصلّياً، كما صرّح به غير واحدٍ كالحِلّي</w:t>
      </w:r>
      <w:r>
        <w:rPr>
          <w:rStyle w:val="FootnoteAnchor"/>
          <w:rtl w:val="true"/>
        </w:rPr>
        <w:footnoteReference w:id="1389"/>
      </w:r>
      <w:r>
        <w:rPr>
          <w:rFonts w:ascii="Amiri" w:hAnsi="Amiri" w:eastAsia="Amiri" w:cs="Amiri"/>
          <w:color w:val="111111"/>
          <w:sz w:val="28"/>
          <w:sz w:val="28"/>
          <w:szCs w:val="28"/>
          <w:rtl w:val="true"/>
          <w:lang w:bidi="ar-SA"/>
        </w:rPr>
        <w:t>والشهيدين</w:t>
      </w:r>
      <w:r>
        <w:rPr>
          <w:rStyle w:val="FootnoteAnchor"/>
          <w:rtl w:val="true"/>
        </w:rPr>
        <w:footnoteReference w:id="1390"/>
      </w:r>
      <w:r>
        <w:rPr>
          <w:rFonts w:ascii="Amiri" w:hAnsi="Amiri" w:eastAsia="Amiri" w:cs="Amiri"/>
          <w:color w:val="111111"/>
          <w:sz w:val="28"/>
          <w:sz w:val="28"/>
          <w:szCs w:val="28"/>
          <w:rtl w:val="true"/>
          <w:lang w:bidi="ar-SA"/>
        </w:rPr>
        <w:t>والمحقّق الثاني</w:t>
      </w:r>
      <w:r>
        <w:rPr>
          <w:rStyle w:val="FootnoteAnchor"/>
          <w:rtl w:val="true"/>
        </w:rPr>
        <w:footnoteReference w:id="139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 العرف بكون فعل ماحياً للصَّلاة، فلا إشكال، أمّا لو شكّ في ذلك، فالمرجع إلى الاستصحاب، بناءً على ماهو الحقّ من أنّ للصَّلاة هيئة اتّصاليّة يعبّر عنها بالصورة الصَّلاتيّة، كما 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السيرة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المعبّرة عن عدّة أشياء بالقاطع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الهيئة الاتّصاليّة للمركّب، سواءٌ اُريد بها الجزء الصوري حقيقةً أو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الصَّلاة مركّبة من مقولات عَرَضيّة متباينة، والأعراض بسائط ليس لها صورة ومادّة، فضلاً عن أنْ يكون لمجموعها صورة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تخلّل هذا المسمّى بالقاطع، لا يتحقّق العنوان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الاعتباري من رأس، لأنّه فُرِض انطباقه على المجموع، فلا واحد حتّى يقطعه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الهيئة الاتّصاليّة، هو الأمر الاعتباري الذي يتحقّق بمجرّد الشروع في الصَّلاة، ويكون باقياً إلى آخرها، ما لم يتخلّل بينها قاطعٌ‌، لا ما ينطبق على المجموع،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ثبوتها للصَّلاة، فالمرجع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فعلٌ ماحياً لصورة الصَّلاة في حال العمد، دون السَّهو، فتختصّ قاطعيّته بحال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فعلٌ في حال السَّهو أيضاً ماحياً لصورة الصَّلاة، فتبطل؛ لأنّ الفرض عدم قابليّة الأجزاء اللّاحقة للانضمام إلى ما قبلها من الأجزاء، فبعد الالتفات ليس له الإتيان بالأجزاء الباقية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البيان ظهر عدم كون المورد من موارد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التفت بعد تماميّة الصَّلاة، تصحّ الصَّلاة للحديث، فتأمّل</w:t>
      </w:r>
      <w:r>
        <w:rPr>
          <w:rFonts w:eastAsia="Amiri" w:cs="Amiri" w:ascii="Amiri" w:hAnsi="Amiri"/>
          <w:color w:val="111111"/>
          <w:sz w:val="28"/>
          <w:szCs w:val="28"/>
          <w:rtl w:val="true"/>
          <w:lang w:bidi="ar-SA"/>
        </w:rPr>
        <w:t>.</w:t>
      </w:r>
      <w:bookmarkStart w:id="590" w:name="pg11800_97167"/>
    </w:p>
    <w:p>
      <w:pPr>
        <w:pStyle w:val="BookText"/>
        <w:rPr/>
      </w:pPr>
      <w:bookmarkEnd w:id="590"/>
      <w:r>
        <w:rPr>
          <w:rFonts w:ascii="Amiri" w:hAnsi="Amiri" w:eastAsia="Amiri" w:cs="Amiri"/>
          <w:color w:val="111111"/>
          <w:sz w:val="28"/>
          <w:sz w:val="28"/>
          <w:szCs w:val="28"/>
          <w:rtl w:val="true"/>
          <w:lang w:bidi="ar-SA"/>
        </w:rPr>
        <w:t>والبُكاء لاُمور الدُّنيا</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10478175_73709187"/>
      <w:bookmarkStart w:id="592" w:name="_Toc223"/>
      <w:bookmarkEnd w:id="591"/>
      <w:r>
        <w:rPr>
          <w:rtl w:val="true"/>
        </w:rPr>
        <w:t>في البكاء</w:t>
      </w:r>
      <w:bookmarkEnd w:id="592"/>
    </w:p>
    <w:p>
      <w:pPr>
        <w:pStyle w:val="Heading6"/>
        <w:numPr>
          <w:ilvl w:val="5"/>
          <w:numId w:val="1"/>
        </w:numPr>
        <w:rPr/>
      </w:pPr>
      <w:bookmarkStart w:id="593" w:name="__RefHeading___Toc10478177_73709187"/>
      <w:bookmarkStart w:id="594" w:name="_Toc224"/>
      <w:bookmarkEnd w:id="593"/>
      <w:r>
        <w:rPr>
          <w:rtl w:val="true"/>
        </w:rPr>
        <w:t>اشارة</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من القواطع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 لاُمور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 مالٍ‌، أو فوت محبوب،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النعمان بن عبدالسَّلام، عن أبي حنيفة،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البكاء في الصَّلاة، أيقطع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بكى لذكر جنّةٍ أو نار فذلك هو أفضل الأعمال في الصَّلاة، وإنْ ذكر ميّتاً له فصلاته فاسدة</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 الرواية منجبرٌ بعمل الأصحاب، حيث أنّ المشهور</w:t>
      </w:r>
      <w:r>
        <w:rPr>
          <w:rStyle w:val="FootnoteAnchor"/>
          <w:rtl w:val="true"/>
        </w:rPr>
        <w:footnoteReference w:id="1393"/>
      </w:r>
      <w:r>
        <w:rPr>
          <w:rFonts w:ascii="Amiri" w:hAnsi="Amiri" w:eastAsia="Amiri" w:cs="Amiri"/>
          <w:color w:val="111111"/>
          <w:sz w:val="28"/>
          <w:sz w:val="28"/>
          <w:szCs w:val="28"/>
          <w:rtl w:val="true"/>
          <w:lang w:bidi="ar-SA"/>
        </w:rPr>
        <w:t xml:space="preserve">بينهم هو القاطعيّة،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94"/>
      </w:r>
      <w:r>
        <w:rPr>
          <w:rFonts w:ascii="IRNazanin" w:hAnsi="IRNazanin" w:eastAsia="IRNazanin"/>
          <w:color w:val="111111"/>
          <w:sz w:val="28"/>
          <w:sz w:val="28"/>
          <w:szCs w:val="28"/>
          <w:rtl w:val="true"/>
          <w:lang w:bidi="fa-IR"/>
        </w:rPr>
        <w:t>نسبتها إلى علمائنا</w:t>
      </w:r>
      <w:r>
        <w:rPr>
          <w:rFonts w:eastAsia="IRNazanin" w:cs="IRNazanin"/>
          <w:color w:val="111111"/>
          <w:sz w:val="28"/>
          <w:szCs w:val="28"/>
          <w:rtl w:val="true"/>
          <w:lang w:bidi="fa-IR"/>
        </w:rPr>
        <w:t>.</w:t>
      </w:r>
    </w:p>
    <w:p>
      <w:pPr>
        <w:pStyle w:val="Heading6"/>
        <w:numPr>
          <w:ilvl w:val="5"/>
          <w:numId w:val="1"/>
        </w:numPr>
        <w:rPr/>
      </w:pPr>
      <w:bookmarkStart w:id="595" w:name="__RefHeading___Toc10478179_73709187"/>
      <w:bookmarkStart w:id="596" w:name="_Toc225"/>
      <w:bookmarkEnd w:id="595"/>
      <w:r>
        <w:rPr>
          <w:rtl w:val="true"/>
        </w:rPr>
        <w:t>فروع</w:t>
      </w:r>
      <w:r>
        <w:rPr>
          <w:rtl w:val="true"/>
        </w:rPr>
        <w:t>:</w:t>
      </w:r>
      <w:bookmarkEnd w:id="59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بما كان مشتملاً على الصوت‌؟ أم يعمّ مجرّد خروج الدمع‌؟</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أقواهما الأوّل، إذ البكاء بالمَدّ الذي هو المسؤول عنه، مختصٌّ بما له </w:t>
      </w:r>
    </w:p>
    <w:p>
      <w:pPr>
        <w:pStyle w:val="BookText"/>
        <w:rPr/>
      </w:pPr>
      <w:r>
        <w:rPr>
          <w:rFonts w:ascii="Amiri" w:hAnsi="Amiri" w:eastAsia="Amiri" w:cs="Amiri"/>
          <w:color w:val="111111"/>
          <w:sz w:val="28"/>
          <w:sz w:val="28"/>
          <w:szCs w:val="28"/>
          <w:rtl w:val="true"/>
          <w:lang w:bidi="ar-SA"/>
        </w:rPr>
        <w:t>صوتٌ‌، كما صرّح به جماعة من اللّغويّين، وعليه فالجوابُ 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وضعه للأعمّ‌، أو شُكّ في أنّ اللّفظ الوراد في الرواية بالمَدّ أو القصر، يقتصر في الحكم على المتيقّن، وهو ما له صوتٌ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 إلى البكاء أو اُكره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يكن الاضطرار والإكراه في مجموع الوقت، تبطل صلاته، لإطلاق ما يدلّ على قاطعيّة البكاء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 لأجل حديث الرفع فاسدة، لعدم شمول حديث الرفع لأمثال المقام، لما تقدّم من اختصاصه بما إذا كان الاضطرار والإكراه مستوعبين للوقت المضروب للعمل، لأنّ المأمور به ليس هو الفرد، فلا يكون الاضطرار والإكراه بالبكاء اضطراراً وإكراها بالمأمور به حتّى يمكن رفع قاطعيّته بالحديث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كانا مستوعبين للوقت، فالأقوى عدم مبطليّته لحديث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ناسياً، بأن لم يلتفت إلى كونه في الصَّلاة، لا تكون صلاته باطلة، لا لحديث الرفع، بل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الخلل الواقع في الصَّلاة سهواً، من غير ناحية الخمسة المذكورة فيه، لا يوجب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الرواية وإنْ كان من مصاديق فوت المحبوب، إلّاأنّه لا سبيل الى توهم الاختصاص به، وعدم شمولها لحصول المكروه، لأنّ الظاهر أنّه عليه السلام في مقام بيان أنّ البكاء لأمرٍ يرجع إلى اُمور الآخرة من أفضل الأعمال، ولما يرجع إلى أمرٍ دنيوي مبطلٌ للصَّلاة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عدم شمولها لطلب سعة الرزق من اللّه تعالى‌، كما لا يخفى‌</w:t>
      </w:r>
      <w:r>
        <w:rPr>
          <w:rFonts w:eastAsia="Amiri" w:cs="Amiri" w:ascii="Amiri" w:hAnsi="Amiri"/>
          <w:color w:val="111111"/>
          <w:sz w:val="28"/>
          <w:szCs w:val="28"/>
          <w:rtl w:val="true"/>
          <w:lang w:bidi="ar-SA"/>
        </w:rPr>
        <w:t>.</w:t>
      </w:r>
      <w:bookmarkStart w:id="597" w:name="pg11800_97169"/>
    </w:p>
    <w:p>
      <w:pPr>
        <w:pStyle w:val="BookText"/>
        <w:rPr/>
      </w:pPr>
      <w:bookmarkEnd w:id="597"/>
      <w:r>
        <w:rPr>
          <w:rFonts w:ascii="Amiri" w:hAnsi="Amiri" w:eastAsia="Amiri" w:cs="Amiri"/>
          <w:color w:val="111111"/>
          <w:sz w:val="28"/>
          <w:sz w:val="28"/>
          <w:szCs w:val="28"/>
          <w:rtl w:val="true"/>
          <w:lang w:bidi="ar-SA"/>
        </w:rPr>
        <w:t>والتكفير</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10478181_73709187"/>
      <w:bookmarkStart w:id="599" w:name="_Toc226"/>
      <w:bookmarkEnd w:id="598"/>
      <w:r>
        <w:rPr>
          <w:rtl w:val="true"/>
        </w:rPr>
        <w:t>التكتّف والتكفير</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قواطع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وضع إحدى اليدين على الاُخرى‌، ولا اختصاص له بوضع اليمنى على اليسرى‌، وذلك لأنّ الظاهر من روايات الباب، النهي عن العمل الذي كان متعارفاً عند الفرس وأتباعهم في مقام التأدّب والخضوع للاُمراء والسلاطين، مضافاً إلى التصريح بالعموم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فالمشهور بين الأصحاب</w:t>
      </w:r>
      <w:r>
        <w:rPr>
          <w:rStyle w:val="FootnoteAnchor"/>
          <w:rtl w:val="true"/>
        </w:rPr>
        <w:footnoteReference w:id="1395"/>
      </w:r>
      <w:r>
        <w:rPr>
          <w:rFonts w:ascii="Amiri" w:hAnsi="Amiri" w:eastAsia="Amiri" w:cs="Amiri"/>
          <w:color w:val="111111"/>
          <w:sz w:val="28"/>
          <w:sz w:val="28"/>
          <w:szCs w:val="28"/>
          <w:rtl w:val="true"/>
          <w:lang w:bidi="ar-SA"/>
        </w:rPr>
        <w:t>مبطليّة التكفير، وعن جماعةٍ‌</w:t>
      </w:r>
      <w:r>
        <w:rPr>
          <w:rStyle w:val="FootnoteAnchor"/>
          <w:rtl w:val="true"/>
        </w:rPr>
        <w:footnoteReference w:id="1396"/>
      </w:r>
      <w:r>
        <w:rPr>
          <w:rFonts w:ascii="Amiri" w:hAnsi="Amiri" w:eastAsia="Amiri" w:cs="Amiri"/>
          <w:color w:val="111111"/>
          <w:sz w:val="28"/>
          <w:sz w:val="28"/>
          <w:szCs w:val="28"/>
          <w:rtl w:val="true"/>
          <w:lang w:bidi="ar-SA"/>
        </w:rPr>
        <w:t>دعوى الإجماع عليه،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أو حسنه،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تُكّفر فإنّما يفعل ذلك المجوس</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حريز، عن رجلٍ‌، عنه عليه السلام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يده في الصَّلاة و حكى اليمنى على اليسرى؟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فلا تفعل</w:t>
      </w:r>
      <w:r>
        <w:rPr>
          <w:rFonts w:eastAsia="Amiri" w:cs="Amiri" w:ascii="Amiri" w:hAnsi="Amiri"/>
          <w:color w:val="111111"/>
          <w:sz w:val="28"/>
          <w:szCs w:val="28"/>
          <w:rtl w:val="true"/>
          <w:lang w:bidi="ar-SA"/>
        </w:rPr>
        <w:t>»</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النهي في هذه الروايات، إرادة المنع الغيري الناشي عن مانعيّة الفعل، كما هي المتبادرة من النهي عن شيءٍ في المركّبات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 مانعاً لاستفادة القاطعيّة من هذه الروايات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في صحيحة زرارة في عِداد جملةٍ من المكروهات، ويُشعر ذلك بل يدلّ على أنّه مكروهٌ لا حرام ولا 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إحدى يديه على الاُخرى عملٌ‌، وليس في الصَّلاة عمل</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ظاهر ذلك مبطليّة كلّ عمل خارجي، وحيثُ لا سبيل إلى الالتزام به، فلابدّ وأن يُحمل على الكراهة، أو على أنّ المراد العمل على أنّه من الصَّلاة لا مطلق العمل في أثنائها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له في بعض الروايات</w:t>
      </w:r>
      <w:r>
        <w:rPr>
          <w:rStyle w:val="FootnoteAnchor"/>
          <w:rtl w:val="true"/>
        </w:rPr>
        <w:footnoteReference w:id="1401"/>
      </w:r>
      <w:r>
        <w:rPr>
          <w:rFonts w:ascii="Amiri" w:hAnsi="Amiri" w:eastAsia="Amiri" w:cs="Amiri"/>
          <w:color w:val="111111"/>
          <w:sz w:val="28"/>
          <w:sz w:val="28"/>
          <w:szCs w:val="28"/>
          <w:rtl w:val="true"/>
          <w:lang w:bidi="ar-SA"/>
        </w:rPr>
        <w:t>بما يُذكر نظيره للمكروهات، وهو أنّه من أفعال المجوس، لأنّ كلّ فعلٍ من أفعالهم ليس بحرام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الإمام الكاظم عليه السلام في خبر علي بن جعفر، في مقام بيان حكم وضع إحدى اليدين على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ذلك، فإنْ فَعل فلا يعود له</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 حيث إنّ نفي الصلاحيّة يُشعر بالكراهة، كما أنّ النهي عن العود، وعدم الأمر بالإعادة ممّا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شيئاً من ذلك لا يصلح لأن يكون قرينةً لصرف ظهور النهي الوارد في خبر محمّد بن مسلم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ذكره في عِداد المكروهات لا يدلّ على أنّه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وليس في الصَّلاة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المراد منه العمل على أنّه من الصَّلاة، لا مفهوم له ليدلّ على عدم مبطليّة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 النهي بأنّه من فعل المجوس، لا يدلّ على أنّه 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عدم الظهور في الحرمة، لا الظهور في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الأمر بالإعادة لا يدلّ على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ما ذكر، لا يدلّ على عدم الحرمة، ليرفع به اليد عن ظهور النهي في الحرمة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إسحاق بن عمّار المرويّ‌عن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أيضع الرّجل يده على ذراعه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بالوضع على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لإعراض المشهور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بالكراهة ضعيفٌ‌، وأضعفُ منه القول بالحرمة النفسيّة دون الإبطال، لما تقدّم من أنّ النهي عن الشيء في المركّب المأمور به، ظاهرٌ في مبطليّته ومانعيّته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الحكم لا يشمل وضع إحدى اليدين على الاُخرى لحكِّ موضعٍ أو دفع ألمٍ‌، لعدم صدق التكتف والتكفير عليه، لما عرفت من أنّ الظاهر أنّ المنهيّ عنه العمل الذي كان متعارفاً عند الفرس في مقام الخضوع، فلا يعمّ مطلق الوضع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أنّه لا فرق في المبطليّة بين وضع اليد على الكفّ‌، أو السّاعد، أو الذراع،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من التردّد في مبطليّة وضع اليد على السّاعد، لإطلاق التكفير، وأصالة الإباحة، منظورٌ فيه، لأنّه بعد صدق التكفير عليه،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لأصالة الإباحة لعدم الرجوع إليها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يكون مراده إطلاق التكفير بمعناه اللّغوي عليه، وعدم ثبوت كونه ممّا كان متعارفاً عند الفرس في مقام الخضوع، والأخبار إنّما تنهي عنه لا عن كلّ تكفيرٍ، فمقتضى أصالة الإباحة جوازه،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الفقهاء</w:t>
      </w:r>
      <w:r>
        <w:rPr>
          <w:rStyle w:val="FootnoteAnchor"/>
          <w:rtl w:val="true"/>
        </w:rPr>
        <w:footnoteReference w:id="1405"/>
      </w:r>
      <w:r>
        <w:rPr>
          <w:rFonts w:ascii="Amiri" w:hAnsi="Amiri" w:eastAsia="Amiri" w:cs="Amiri"/>
          <w:color w:val="111111"/>
          <w:sz w:val="28"/>
          <w:sz w:val="28"/>
          <w:szCs w:val="28"/>
          <w:rtl w:val="true"/>
          <w:lang w:bidi="ar-SA"/>
        </w:rPr>
        <w:t xml:space="preserve">في عِداد القواطع الأكل والشُّرب، مع أنّه لا دليل يدلّ على مبطليّتهما بمسمّاهما، بل الظاهر أنّهما يوجبان البطلان إذا انطبق عليهما الفعل الكثير،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على مبطليّتهما مطلقاً بالإجماع المنقول مخدوشٌ‌، لعدم حجيّته، خصوصاً مع معروفيّة الخلاف، واحتمال استنادهم إلى صدق عنوان الفعل الكثير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معروفيّة إبطالهما للصَّلاة بين المتشرّعة، الكاشفة عن تلقيهم من صاحب الشرع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معروفيّته في زمان الشارع، وهذه المعروفيّة في زماننا نشأت من فتوى الفقهاء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إبطالهما لها، إذا لم يكونا منافيين لبقائه عرفاً متشاغلاً بفعل الصَّلاة، فيعتبر الكثرة فيهما بأن يكونا بمقدارٍ يُسمّى فاعلهما في حال التلبّس بهما آكلاً وشارباً لا مُصلّياً، ولكن مع ذلك كلّه الإفتاء بجوازهما إذا كانا بمقدارٍ يطلق عليهما عرفاً اسم الأكل والشرب، وإنْ لم يكونا ماحيين لصورة الصَّلاة، ولم ينطبق عليهما فعل الكثير، يحتاج إلى 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بالترك لا يُترك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00" w:name="pg11800_97173"/>
    </w:p>
    <w:p>
      <w:pPr>
        <w:pStyle w:val="BookText"/>
        <w:rPr/>
      </w:pPr>
      <w:bookmarkEnd w:id="600"/>
      <w:r>
        <w:rPr>
          <w:rFonts w:ascii="Amiri" w:hAnsi="Amiri" w:eastAsia="Amiri" w:cs="Amiri"/>
          <w:color w:val="111111"/>
          <w:sz w:val="28"/>
          <w:sz w:val="28"/>
          <w:szCs w:val="28"/>
          <w:rtl w:val="true"/>
          <w:lang w:bidi="ar-SA"/>
        </w:rPr>
        <w:t>ويُكره الإلتفات يميناً وشمالاً، والتثأب، والتمطّي، والفَرقعة، والعَبَث</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0478183_73709187"/>
      <w:bookmarkStart w:id="602" w:name="_Toc227"/>
      <w:bookmarkEnd w:id="601"/>
      <w:r>
        <w:rPr>
          <w:rtl w:val="true"/>
        </w:rPr>
        <w:t>مكروهات الصَّلاة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الإلتفات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عن حَدّ الاستقبال المعتبر في الصَّلاة، وإلّا فتبطل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كراهته خبر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الالتفات في الصَّلاة، أيقطع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أحبُّ أن يُفعل</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غير الفاحش، جمعاً بينه وبين الروايات الدالّة على مبطليّة الفاحش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التثأب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كراهة هذه الاُمور جملةٌ من الروايات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تَعبَث فيها بيدك، ولا برأسك، ولا بلحيتك، ولا تُحدِّث نفسك، ولا تتثأب، ولا تتمط، الحديث</w:t>
      </w:r>
      <w:r>
        <w:rPr>
          <w:rFonts w:eastAsia="Amiri" w:cs="Amiri" w:ascii="Amiri" w:hAnsi="Amiri"/>
          <w:color w:val="111111"/>
          <w:sz w:val="28"/>
          <w:szCs w:val="28"/>
          <w:rtl w:val="true"/>
          <w:lang w:bidi="ar-SA"/>
        </w:rPr>
        <w:t>»</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والإقعاء، والتمخّط، والبُصاق، ونفخ موضع السّجود، والتأوّه،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 في بحث السّجود، فراجع</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التمخّط والبُصاق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على كراهة الثاني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تتمخّط ولا تبزق، الحديث</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الأوّل وإنْ لم يدلّ دليل عليه، إلّاأنّه يمكن استفادة كراهته ممّا يدلّ على كراهة البصاق بالأولويّة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موضع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ينفخ في الصَّلاة موضع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ونهي أن ينفخ في طعامٍ أو شرابٍ‌، أو ينفخ في موضع السّجود</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المحمولة جميعاً على الكراهة، لما عرفت في مبحث السّجود</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واحد، ولا دليل على كراهته سوى فتوى الأعاظم</w:t>
      </w:r>
      <w:r>
        <w:rPr>
          <w:rStyle w:val="FootnoteAnchor"/>
          <w:rtl w:val="true"/>
        </w:rPr>
        <w:footnoteReference w:id="1415"/>
      </w:r>
      <w:r>
        <w:rPr>
          <w:rFonts w:ascii="Amiri" w:hAnsi="Amiri" w:eastAsia="Amiri" w:cs="Amiri"/>
          <w:color w:val="111111"/>
          <w:sz w:val="28"/>
          <w:sz w:val="28"/>
          <w:szCs w:val="28"/>
          <w:rtl w:val="true"/>
          <w:lang w:bidi="ar-SA"/>
        </w:rPr>
        <w:t>، وما ذُكر دليلاً عليها من كونه عَبَثاً أو قريباً من الكلام، واضحُ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ومدافعة الأخبثين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مدافعة الأخبثين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بكر الحضرمي، عن أبيه،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وأنتَ تجد شيئاً من الأخبثين</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حكم، عن أبي عبد اللّه عليه السلام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ولا لحاقنة</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ولا لحاقنة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الحاقن حابسُ البول، وبالحاقب حابس الغائط</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الروايتين وإنْ كان الحرمة، إلّاأنّه يحمل النهي فيهما على الكراهة، والنفي على نفي الصحّة، لأنّه مضافاً إلى عدم الخلاف في عدم الحرمة، تدلّ عليه صحيحة عبد 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يُصيبه الغمز في بطنه، وهو يستطيعُ أن يصبر عليه، أيُصلّي على تلك الحالة أو لا يصلّي‌؟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احتمل الصّبر، ولم يخف إعجالاً عن الصَّلاة، فليُصلِّوليصبر</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03" w:name="pg11800_97176"/>
    </w:p>
    <w:p>
      <w:pPr>
        <w:pStyle w:val="BookText"/>
        <w:rPr/>
      </w:pPr>
      <w:bookmarkEnd w:id="603"/>
      <w:r>
        <w:rPr>
          <w:rFonts w:ascii="Amiri" w:hAnsi="Amiri" w:eastAsia="Amiri" w:cs="Amiri"/>
          <w:color w:val="111111"/>
          <w:sz w:val="28"/>
          <w:sz w:val="28"/>
          <w:szCs w:val="28"/>
          <w:rtl w:val="true"/>
          <w:lang w:bidi="ar-SA"/>
        </w:rPr>
        <w:t>ويُحرَمُ قطع الصَّلاة لغير ضرورة</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0478185_73709187"/>
      <w:bookmarkStart w:id="605" w:name="_Toc228"/>
      <w:bookmarkEnd w:id="604"/>
      <w:r>
        <w:rPr>
          <w:rtl w:val="true"/>
        </w:rPr>
        <w:t>مسائل</w:t>
      </w:r>
      <w:r>
        <w:rPr>
          <w:rtl w:val="true"/>
        </w:rPr>
        <w:t>:</w:t>
      </w:r>
      <w:bookmarkEnd w:id="605"/>
    </w:p>
    <w:p>
      <w:pPr>
        <w:pStyle w:val="Heading6"/>
        <w:numPr>
          <w:ilvl w:val="5"/>
          <w:numId w:val="1"/>
        </w:numPr>
        <w:rPr/>
      </w:pPr>
      <w:bookmarkStart w:id="606" w:name="__RefHeading___Toc10478187_73709187"/>
      <w:bookmarkStart w:id="607" w:name="_Toc229"/>
      <w:bookmarkEnd w:id="606"/>
      <w:r>
        <w:rPr>
          <w:rtl w:val="true"/>
        </w:rPr>
        <w:t>حرمة قطع الصَّلاة</w:t>
      </w:r>
      <w:bookmarkEnd w:id="607"/>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قطع الصَّلاة لغير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w:t>
      </w:r>
      <w:r>
        <w:rPr>
          <w:rStyle w:val="FootnoteAnchor"/>
          <w:rtl w:val="true"/>
        </w:rPr>
        <w:footnoteReference w:id="142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 المصنّف رحمه الله</w:t>
      </w:r>
      <w:r>
        <w:rPr>
          <w:rStyle w:val="FootnoteAnchor"/>
          <w:rtl w:val="true"/>
        </w:rPr>
        <w:footnoteReference w:id="1422"/>
      </w:r>
      <w:r>
        <w:rPr>
          <w:rFonts w:ascii="Amiri" w:hAnsi="Amiri" w:eastAsia="Amiri" w:cs="Amiri"/>
          <w:color w:val="111111"/>
          <w:sz w:val="28"/>
          <w:sz w:val="28"/>
          <w:szCs w:val="28"/>
          <w:rtl w:val="true"/>
          <w:lang w:bidi="ar-SA"/>
        </w:rPr>
        <w:t>في بعض كتبه، أنّ الإتمام واجبٌ‌، وهو ينافي القطع فيحرم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عنه أيضاً</w:t>
      </w:r>
      <w:r>
        <w:rPr>
          <w:rStyle w:val="FootnoteAnchor"/>
          <w:rtl w:val="true"/>
        </w:rPr>
        <w:footnoteReference w:id="142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أَعْمالَكُمْ‌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النهي عن الالتفات وغيره من المنافيات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إتمام الصَّلاة أوّل الكلام، فكيف يستدلّ به على حرمة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يفهم منه العرف حرمة رفع اليد عن شيء من الأعمال من العبادات والمعاملات، مضافاً إلى أنّ حمل الآية على هذا المعنى يستلزم تخصيص الأكثر المستهجن، بل الظاهر أنّ المراد منه النهي عن اتباع العمل بما يحبط أجره، فإنّ الإبطال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وضع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إحداث البطلان في العمل، وجعله باطلاً، فيكون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 اَلْأَذى‌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 الروايات التي استدلّ بها الإمام عليه السلام فيها بهذه الآية الشريفة، للنهي عن إرسال النيران، لتُحرِق الشجرات المغروسة في الجنّة بقول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فتختصّ الآية حينئذٍ بالشرك، وبعض المعاصي الموجب لإحباط الأجر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الأنصاري رحمه الله</w:t>
      </w:r>
      <w:r>
        <w:rPr>
          <w:rStyle w:val="FootnoteAnchor"/>
          <w:rtl w:val="true"/>
        </w:rPr>
        <w:footnoteReference w:id="1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ببالي إنّي سمعتُ أو وجدتُ ورود الرواية في تفسير الآية وَ لا تُبْطِلُوا أَعْمالَكُمْ‌ </w:t>
      </w:r>
      <w:r>
        <w:rPr>
          <w:rStyle w:val="FootnoteAnchor"/>
          <w:rtl w:val="true"/>
        </w:rPr>
        <w:footnoteReference w:id="1428"/>
      </w:r>
      <w:r>
        <w:rPr>
          <w:rFonts w:ascii="Amiri" w:hAnsi="Amiri" w:eastAsia="Amiri" w:cs="Amiri"/>
          <w:color w:val="111111"/>
          <w:sz w:val="28"/>
          <w:sz w:val="28"/>
          <w:szCs w:val="28"/>
          <w:rtl w:val="true"/>
          <w:lang w:bidi="ar-SA"/>
        </w:rPr>
        <w:t>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هذه النواهي المانعيّة دون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إطلاق التحريم والتحليل المنع الشرطي، ويشهد لإرادته من نصوص التحريم والتحليل في المقام، شمولها لما يجوز قطعة كالنافلة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الإطلاق لمجرّد المنع الشرطي، وإلّا لصحّ هذا الإطلاق في سائر المركّبات الشرعيّة، مثل الوضوء والغسل ونحوهما ممّا يكون له في الشرع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منافيات، مع أنّه لم يعهد في لسان الشرع هذا الإطلاق إلّافي باب الصَّلاة والإحرام، وهذا يدلّ على أنّ المراد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إطلاقهما في الموارد الاُخر، لا يدلّ على عدم صحّة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من احتمال إرادة الافتتاح والاختتام من التحريم والتحليل، ولا يخفى أنّ مَن أمعن النظر في روايات الباب يقوي في نظره هذا الاحتمال،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 المحقّقين رحمه الله</w:t>
      </w:r>
      <w:r>
        <w:rPr>
          <w:rStyle w:val="FootnoteAnchor"/>
          <w:rtl w:val="true"/>
        </w:rPr>
        <w:footnoteReference w:id="1430"/>
      </w:r>
      <w:r>
        <w:rPr>
          <w:rFonts w:ascii="Amiri" w:hAnsi="Amiri" w:eastAsia="Amiri" w:cs="Amiri"/>
          <w:color w:val="111111"/>
          <w:sz w:val="28"/>
          <w:sz w:val="28"/>
          <w:szCs w:val="28"/>
          <w:rtl w:val="true"/>
          <w:lang w:bidi="ar-SA"/>
        </w:rPr>
        <w:t>على حرمة القطع، بالروايات المعلِّقة جواز القطع على بعض الاُمور، كالخوف من الحيّة ونحوه</w:t>
      </w:r>
      <w:r>
        <w:rPr>
          <w:rStyle w:val="FootnoteAnchor"/>
          <w:rtl w:val="true"/>
        </w:rPr>
        <w:footnoteReference w:id="1431"/>
      </w:r>
      <w:r>
        <w:rPr>
          <w:rFonts w:ascii="Amiri" w:hAnsi="Amiri" w:eastAsia="Amiri" w:cs="Amiri"/>
          <w:color w:val="111111"/>
          <w:sz w:val="28"/>
          <w:sz w:val="28"/>
          <w:szCs w:val="28"/>
          <w:rtl w:val="true"/>
          <w:lang w:bidi="ar-SA"/>
        </w:rPr>
        <w:t xml:space="preserve">، بدعوى أنّه يستفاد منها أنّ جواز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آثار الصَّلاة من حيث ذاتها، وإلّا لكان التعليق على الأمر الخارج غلطاً، فمن استناده إلى الاُمور المذكورة يستفاد حرمة قطع الصّلاة مع قطع النظر عن الاُمور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يبتني على حجيّة مفهوم الوصف، وهذا التقريب عين التقريب لحجيّته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الأمر بالإتمام، والنهي عن قطع الصَّلاة، كصحيح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الرعاف أينقضُ الوضوء؟</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رعف في صلاته، وكان عنده ماءٌ أو من يشير إليه بماءٍ‌، فيتناوله فمالَ برأسه فغسله، فليبنِ على صلاته ولا يقطعها</w:t>
      </w:r>
      <w:r>
        <w:rPr>
          <w:rFonts w:eastAsia="Amiri" w:cs="Amiri" w:ascii="Amiri" w:hAnsi="Amiri"/>
          <w:color w:val="111111"/>
          <w:sz w:val="28"/>
          <w:szCs w:val="28"/>
          <w:rtl w:val="true"/>
          <w:lang w:bidi="ar-SA"/>
        </w:rPr>
        <w:t>»</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فظاهرٌ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الإرشاد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قطع الصَّلاة سوى الإجماع، إلّاأنّه لا ينبغي التوقّف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لأجل انحصار الدليل بالإجماع، يقتصر على المتيقّن، وهو الفريضة، والأصليّة الواجبة عليه فعلاً اختياراً بلا ضرورة عرفيّة، وأمّا صلاة النافلة العارض لها الوجوب بنذرٍ وشبهه، والفريضة الأصليّة المعادة استحباباً، والصَّلاة المأتي بها نيابةً عن الغير، فالأقوى عدم حرمة قطعها، لعدم الدليل عليها، فيرجع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يجوز القطع إذا خاف المُصلّي تلف مال، أو فوات غريم، أو تردّي طفل، أو ما شابه ذلك من مواقع الضرورة العرفيّة، دينيّةً كانت القضيّة أم دنيويّة، بل قد يجب إذا كان ما يخاف منه ممّا يجب حفظه، وبلغ الخوف إلى مرتبة الظنّ‌، والوجوب في هذا المورد إنّما هو لأجل ما يدلّ على وجوب ذلك في غير الصَّلاة، ولاتكون الصَّلاة مانعةً عن تنجّز التكليف المضيّق المضادّ متعلّقه لها، لتقدّم المضيّق على الموسّع عند التزاحم،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الخوف دون ذلك، أو كان مايخاف منه ممّا لايجب شرعاً التحرّز من ضرره، فيجوز القطع، وذلك لأنّه مضافاً إلى ما عرفت من أنّه لا دليل على حرمة القطع سوى الإجماع، القاصر عن شمول مواقع الضرورة، تدلّ على الجواز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الصدوق في الصحيح، عن حريز بن عبداللّه، عن أبي عبداللّه عليه السلام،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في صلاة الفريضة فرايت غلاماً لك قد أبق، أو غريماً لك عليه مال، </w:t>
      </w:r>
    </w:p>
    <w:p>
      <w:pPr>
        <w:pStyle w:val="BookText"/>
        <w:rPr/>
      </w:pPr>
      <w:r>
        <w:rPr>
          <w:rFonts w:ascii="Amiri" w:hAnsi="Amiri" w:eastAsia="Amiri" w:cs="Amiri"/>
          <w:color w:val="111111"/>
          <w:sz w:val="28"/>
          <w:sz w:val="28"/>
          <w:szCs w:val="28"/>
          <w:rtl w:val="true"/>
          <w:lang w:bidi="ar-SA"/>
        </w:rPr>
        <w:t>أو حيّة تتخوّفها على نفسك، فاقطع الصَّلاة، فاتبع غلامك أو غريمك واقتل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موثّقة سماعة،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في الصَّلاة الفريضة، فتغلب عليه دابّة، أو تفلّت دابّته، فيخاف أن تذهب أو يصيب منها عنتاً؟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يقطع صلاته</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يتعيّن القطع لو استمرّ، بطلت صلاته، للنهي المفسد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بأنّه مبنيٌّ على استلزام الأمر بالشيء النهي عن ضدّه، والظاهر منه في غير موضعٍ من كتابه المذكور عدم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المحقّقين رحمه الله</w:t>
      </w:r>
      <w:r>
        <w:rPr>
          <w:rStyle w:val="FootnoteAnchor"/>
          <w:rtl w:val="true"/>
        </w:rPr>
        <w:footnoteReference w:id="1437"/>
      </w:r>
      <w:r>
        <w:rPr>
          <w:rFonts w:ascii="Amiri" w:hAnsi="Amiri" w:eastAsia="Amiri" w:cs="Amiri"/>
          <w:color w:val="111111"/>
          <w:sz w:val="28"/>
          <w:sz w:val="28"/>
          <w:szCs w:val="28"/>
          <w:rtl w:val="true"/>
          <w:lang w:bidi="ar-SA"/>
        </w:rPr>
        <w:t>بعد تحسينه هذا الاعتراض، ذكر لفتوى الشهيد رحمه الله وجهاً آخر، وهو أنّ مقتضى صحيحة حريز، وجوب قطع الصَّلاة وإبطالها، لأنّ فيها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 الصَّلاة، واتبع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يناقض المُضيّ‌، والأمر بالشيء يقتضي النهي عن نقيضه، وإنْ لم يقتضي النهي عن ضدّه الخاص</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تلك الصحيحة، لوروده في مقام توهّم الحظر، اُريد به بيان الرخصة لا الوجوب، فما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الشهيد رحمه الله 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08" w:name="pg11800_97181"/>
    </w:p>
    <w:p>
      <w:pPr>
        <w:pStyle w:val="BookText"/>
        <w:rPr/>
      </w:pPr>
      <w:bookmarkEnd w:id="608"/>
      <w:r>
        <w:rPr>
          <w:rFonts w:ascii="Amiri" w:hAnsi="Amiri" w:eastAsia="Amiri" w:cs="Amiri"/>
          <w:color w:val="111111"/>
          <w:sz w:val="28"/>
          <w:sz w:val="28"/>
          <w:szCs w:val="28"/>
          <w:rtl w:val="true"/>
          <w:lang w:bidi="ar-SA"/>
        </w:rPr>
        <w:t>وفي عَقْصِ الشَّعر للرّجل قولان</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0478189_73709187"/>
      <w:bookmarkStart w:id="610" w:name="_Toc230"/>
      <w:bookmarkEnd w:id="609"/>
      <w:r>
        <w:rPr>
          <w:rtl w:val="true"/>
        </w:rPr>
        <w:t>حكم عَقْصِ الشعر</w:t>
      </w:r>
      <w:bookmarkEnd w:id="61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عَقص الشَّعر للرّجل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الشيخ في جملةٍ من كتبه</w:t>
      </w:r>
      <w:r>
        <w:rPr>
          <w:rStyle w:val="FootnoteAnchor"/>
          <w:rtl w:val="true"/>
        </w:rPr>
        <w:footnoteReference w:id="1438"/>
      </w:r>
      <w:r>
        <w:rPr>
          <w:rFonts w:ascii="Amiri" w:hAnsi="Amiri" w:eastAsia="Amiri" w:cs="Amiri"/>
          <w:color w:val="111111"/>
          <w:sz w:val="28"/>
          <w:sz w:val="28"/>
          <w:szCs w:val="28"/>
          <w:rtl w:val="true"/>
          <w:lang w:bidi="ar-SA"/>
        </w:rPr>
        <w:t>القول بالحرمة، وبطلان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وهو المنسوب إليظاهر عبارة المفيد</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والمشهور بين الأصحاب</w:t>
      </w:r>
      <w:r>
        <w:rPr>
          <w:rStyle w:val="FootnoteAnchor"/>
          <w:rtl w:val="true"/>
        </w:rPr>
        <w:footnoteReference w:id="1441"/>
      </w:r>
      <w:r>
        <w:rPr>
          <w:rFonts w:ascii="Amiri" w:hAnsi="Amiri" w:eastAsia="Amiri" w:cs="Amiri"/>
          <w:color w:val="111111"/>
          <w:sz w:val="28"/>
          <w:sz w:val="28"/>
          <w:szCs w:val="28"/>
          <w:rtl w:val="true"/>
          <w:lang w:bidi="ar-SA"/>
        </w:rPr>
        <w:t>عدم حرمته، وعدم بطلان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مصادف،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صلاة فريضة وهو معقوص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ادّعاه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من الإجماع على بطلان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الإجماع المنقول ليس بحجّة، لا سيّما مع ذهاب المشهور </w:t>
      </w:r>
    </w:p>
    <w:p>
      <w:pPr>
        <w:pStyle w:val="BookText"/>
        <w:rPr/>
      </w:pPr>
      <w:r>
        <w:rPr>
          <w:rFonts w:ascii="IRNazanin" w:hAnsi="IRNazanin" w:eastAsia="IRNazanin"/>
          <w:color w:val="111111"/>
          <w:sz w:val="28"/>
          <w:sz w:val="28"/>
          <w:szCs w:val="28"/>
          <w:rtl w:val="true"/>
          <w:lang w:bidi="fa-IR"/>
        </w:rPr>
        <w:t>إلى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الخبر ضعيف السند، لضعف مصادف، هذا مضافاً إلى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يستبعده العقول، مع عموم الابتلاء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لاشتهر، فلأقوى عدم إبطاله للصَّلاة، كما أنّ الأظهر كراهته واستحباب إعادة الصَّلاة الواقعة معه،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رسول اللّه صلى الله عليه و آله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تقليب الحَصى في الصَّلاة، وأن اُصلّي وأنا عاقص رأسي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الكراهة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وما تقدّم من عدم قابليّة خبر مصادف لإثبات المبطليّة، كون الأمر بإعادة الصَّلاة في خبر مصادف استحبابيّاً، ولكن الاحتياط مع ذلك ممّا لاينبغي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بعقص الشَّعر، على ما يستفاد من كلمات اللّغويّين</w:t>
      </w:r>
      <w:r>
        <w:rPr>
          <w:rStyle w:val="FootnoteAnchor"/>
          <w:rtl w:val="true"/>
        </w:rPr>
        <w:footnoteReference w:id="1445"/>
      </w:r>
      <w:r>
        <w:rPr>
          <w:rFonts w:ascii="IRNazanin" w:hAnsi="IRNazanin" w:eastAsia="IRNazanin"/>
          <w:color w:val="111111"/>
          <w:sz w:val="28"/>
          <w:sz w:val="28"/>
          <w:szCs w:val="28"/>
          <w:rtl w:val="true"/>
          <w:lang w:bidi="fa-IR"/>
        </w:rPr>
        <w:t>والأصحاب رحمهم الله</w:t>
      </w:r>
      <w:r>
        <w:rPr>
          <w:rStyle w:val="FootnoteAnchor"/>
          <w:rtl w:val="true"/>
        </w:rPr>
        <w:footnoteReference w:id="1446"/>
      </w:r>
      <w:r>
        <w:rPr>
          <w:rFonts w:ascii="Amiri" w:hAnsi="Amiri" w:eastAsia="Amiri" w:cs="Amiri"/>
          <w:color w:val="111111"/>
          <w:sz w:val="28"/>
          <w:sz w:val="28"/>
          <w:szCs w:val="28"/>
          <w:rtl w:val="true"/>
          <w:lang w:bidi="ar-SA"/>
        </w:rPr>
        <w:t>جمع الشعر في وسط الرأس، وضفره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الحكم مختصٌّ بالرِّجال ولا يشمل النساء، لاختصاص دليله بهم، ودليل قاعدة المشاركة منحصرٌ في الإجماع القاصر عن إثبات المشاركة في أمثال المقام ممّا تحقّق الإجماع على عدمها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11" w:name="pg11800_97183"/>
    </w:p>
    <w:p>
      <w:pPr>
        <w:pStyle w:val="BookText"/>
        <w:rPr/>
      </w:pPr>
      <w:bookmarkEnd w:id="611"/>
      <w:r>
        <w:rPr>
          <w:rFonts w:ascii="Amiri" w:hAnsi="Amiri" w:eastAsia="Amiri" w:cs="Amiri"/>
          <w:color w:val="111111"/>
          <w:sz w:val="28"/>
          <w:sz w:val="28"/>
          <w:szCs w:val="28"/>
          <w:rtl w:val="true"/>
          <w:lang w:bidi="ar-SA"/>
        </w:rPr>
        <w:t>ويَجوزُ تَسميت العاطس</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10478191_73709187"/>
      <w:bookmarkStart w:id="613" w:name="_Toc231"/>
      <w:bookmarkEnd w:id="612"/>
      <w:r>
        <w:rPr>
          <w:rtl w:val="true"/>
        </w:rPr>
        <w:t>تسميت العاطس</w:t>
      </w:r>
      <w:bookmarkEnd w:id="61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تَسْمِيتُ العاطس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مايدلّ على جواز الدُّعاء في الصَّلاة، لأنّه دعاء، ومن ذلك يظهر استحبابه لأنّه بعد كونه سائغاً في الصَّلاة من حيث إنّه دعاء، فيشمله مايدلّ على استحباب تسميت العاطس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استشكل المحقّق الهمداني رحمه الله</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بأنّ الدُّعاء الذي دلّت الأدلّة على جوازه في الصَّلاة، هو الدُّعاء الذي يتحقّق به المناجاة مع اللّه تعالى‌، دون التكلّم مع المخلوقين، وحيث أنّه كلام مع المخلوقين، وغير مشمولٍ لما يدلّ على جواز الدُّعاء في الصَّلاة، فهو من مصاديق الكلام المُبطل، فلا وجه لجوازه، وعدم قاطعيّته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 مايدلّ على استحبابه، وبين ما يدلّ على مبطليّة الكلام وإنْ كان عموماً من وجه، إلّاأنّه غير مجدٍ، لعدم المعارضة بينهما، كما لا معارضة بين إطلاق ما دلَّ على استحباب تشييع جنازة المؤمن وبين ما دلَّ على قاطعيّة الفعل الكثير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ما يدلّ على جواز الدُّعاء في الصَّلاة، وإنْ كان مختصّاً بما تتحقّق به المناجاة مع الرّب، إلّاأنّ بعضها يدلّ على جواز الدُّعاء مطلقاً، وإطلاقه يشمل الدُّعاء للغير، كخبر عبدالرحمن بن سيّابة، قال</w:t>
      </w:r>
      <w:r>
        <w:rPr>
          <w:rFonts w:eastAsia="Amiri" w:cs="Amiri" w:ascii="Amiri" w:hAnsi="Amiri"/>
          <w:color w:val="111111"/>
          <w:sz w:val="28"/>
          <w:szCs w:val="28"/>
          <w:rtl w:val="true"/>
          <w:lang w:bidi="ar-SA"/>
        </w:rPr>
        <w:t xml:space="preserve">: </w:t>
      </w:r>
      <w:bookmarkStart w:id="614" w:name="pg11800_97184"/>
    </w:p>
    <w:p>
      <w:pPr>
        <w:pStyle w:val="BookText"/>
        <w:rPr/>
      </w:pPr>
      <w:bookmarkEnd w:id="614"/>
      <w:r>
        <w:rPr>
          <w:rFonts w:ascii="Amiri" w:hAnsi="Amiri" w:eastAsia="Amiri" w:cs="Amiri"/>
          <w:color w:val="111111"/>
          <w:sz w:val="28"/>
          <w:sz w:val="28"/>
          <w:szCs w:val="28"/>
          <w:rtl w:val="true"/>
          <w:lang w:bidi="ar-SA"/>
        </w:rPr>
        <w:t>ورد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وأنا 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 للدُّنياوالآخرة، فإنّه ربّ الدُّنيا والآخرة</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 فهو وإنْ كان مختصّاً بحال السّجدة، إلّاأنّه لعدم الفصل يثبت الحكم في غير حال السّجدة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ما عليه الأصحاب من جواز تسميت العاطس واستحبابه، معلّلاً بأنّه دعاءٌ سائغٌ في نفسه في الصَّلاة، فيشمله مايدلّ على استحبابه، هو الأقوى‌</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10478193_73709187"/>
      <w:bookmarkStart w:id="616" w:name="_Toc232"/>
      <w:bookmarkEnd w:id="615"/>
      <w:r>
        <w:rPr>
          <w:rtl w:val="true"/>
        </w:rPr>
        <w:t>حكم رَدّ السَّلام في الصَّلاة</w:t>
      </w:r>
      <w:bookmarkEnd w:id="616"/>
    </w:p>
    <w:p>
      <w:pPr>
        <w:pStyle w:val="Heading6"/>
        <w:numPr>
          <w:ilvl w:val="5"/>
          <w:numId w:val="1"/>
        </w:numPr>
        <w:rPr/>
      </w:pPr>
      <w:bookmarkStart w:id="617" w:name="__RefHeading___Toc10478195_73709187"/>
      <w:bookmarkStart w:id="618" w:name="_Toc233"/>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بلا خلافٍ‌</w:t>
      </w:r>
      <w:r>
        <w:rPr>
          <w:rStyle w:val="FootnoteAnchor"/>
          <w:rtl w:val="true"/>
        </w:rPr>
        <w:footnoteReference w:id="1450"/>
      </w:r>
      <w:r>
        <w:rPr>
          <w:rFonts w:ascii="Amiri" w:hAnsi="Amiri" w:eastAsia="Amiri" w:cs="Amiri"/>
          <w:color w:val="111111"/>
          <w:sz w:val="28"/>
          <w:sz w:val="28"/>
          <w:szCs w:val="28"/>
          <w:rtl w:val="true"/>
          <w:lang w:bidi="ar-SA"/>
        </w:rPr>
        <w:t>، بل يعبّر الفقهاء</w:t>
      </w:r>
      <w:r>
        <w:rPr>
          <w:rStyle w:val="FootnoteAnchor"/>
          <w:rtl w:val="true"/>
        </w:rPr>
        <w:footnoteReference w:id="1451"/>
      </w:r>
      <w:r>
        <w:rPr>
          <w:rFonts w:ascii="Amiri" w:hAnsi="Amiri" w:eastAsia="Amiri" w:cs="Amiri"/>
          <w:color w:val="111111"/>
          <w:sz w:val="28"/>
          <w:sz w:val="28"/>
          <w:szCs w:val="28"/>
          <w:rtl w:val="true"/>
          <w:lang w:bidi="ar-SA"/>
        </w:rPr>
        <w:t xml:space="preserve">في كلماتهم عنه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إنّما هو لبيان عدم القاطعيّة، فليحقه حكمه الثابت له بالأدلّة، وهو الوجوب، وعليه فلا خلاف في وجوب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المستفيضه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يُسلَّم عليه وهو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فإنّ رسول اللّه صلى الله عليه و آله كان قائماً يُصلّي فمرَّ به عمّار بن ياسر فسلَّم عليه عمّار فردَّ عليه النبيّ صلى الله عليه و آله هكذا</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جعفر عليه السلام عن الرّجل يُسلِّم على </w:t>
      </w:r>
    </w:p>
    <w:p>
      <w:pPr>
        <w:pStyle w:val="BookText"/>
        <w:rPr/>
      </w:pPr>
      <w:r>
        <w:rPr>
          <w:rFonts w:ascii="Amiri" w:hAnsi="Amiri" w:eastAsia="Amiri" w:cs="Amiri"/>
          <w:color w:val="111111"/>
          <w:sz w:val="28"/>
          <w:sz w:val="28"/>
          <w:szCs w:val="28"/>
          <w:rtl w:val="true"/>
          <w:lang w:bidi="ar-SA"/>
        </w:rPr>
        <w:t>القوم في الصَّلاة‌؟ فقال إذا سَلّم عليك مسلمٌ وأنت في الصَّلاة فسلِّم عليه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وأشرِ بإصبعك</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الحسن،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الإمام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الصَّلاة، فيسلِّم عليه الرّجل، هل يصلح له أن يرد؟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فيُشير بإصبعه</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هاتين الروايتين من الأمر بالإشارة بالإصبع، محمولٌ على الاستحباب، لعدم توقّف الردّ عليهما، واستبعاد كونها واجبة وجوباً مستقلّاً، وعدم التزام أحدٌ بلزومها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 عليه السلام وهو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فسكتَ‌،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أيردّ السَّلام وهو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ماقيل له</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الرّجل وأنتَ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خَفياً كما قال</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البزنطي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والنّاس يُصلّون فسَلّم عليهم، وإذا سَلَّم عليكَ فاردُد فإنّي أفعله، وإنّ عمّار بن ياسر مَرَّ على رسول اللّه صلى الله عليه و آله وهو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ورحمة وبركاته، فَردَّ عليه السَّلام</w:t>
      </w:r>
      <w:r>
        <w:rPr>
          <w:rFonts w:eastAsia="Amiri" w:cs="Amiri" w:ascii="Amiri" w:hAnsi="Amiri"/>
          <w:color w:val="111111"/>
          <w:sz w:val="28"/>
          <w:szCs w:val="28"/>
          <w:rtl w:val="true"/>
          <w:lang w:bidi="ar-SA"/>
        </w:rPr>
        <w:t>»</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خبر مسعدة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تُسلِّموا على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المُصلّي، و ذلك لأنّ المصلّى لا يستطيع أن يردّ السَّلام</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ينبغي الالتفات إليه، لوجوهٍ عديدة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السَّلام على المُصلّي لا ينبغي الشكّ فيه، إنّما 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موثّقة سماعة تعيّن الردّ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وظاهر صحيحة محمّد بن مسلم، وخبر عليّ بن جعفر تعيّن الردّ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فيتحقّق بينهما التنافي، ولكن الظاهر أنّ الصيغتين الواردتين فيهما تحملان على التمثيل، والمقصود الاحتراز عن تقديم الظرف المتعارف في مقام الجواب، كما يشهد له قوله عليه السلام في موثّقه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يقول وعليكم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يظهر من هذه الروايات الثلاث، بعد الجمع بينها، عدم جواز تقديم الظرف في رَدّ السَّلام، وجواز ماسوى ذلك من الصيغ الأربع الواردة في الأخبار، والمتعارفة عند النّاس،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خبر محمّد بن مسلم، وصحيحة ابن حازم اعتبار المماثلة التامّة حتّى في الإفراد والجمع والتذكير والتأنيث، وتقديم الظرف وتأخيره، وظاهر الموثّقة وصحيحة محمّد بن مسلم، اعتبار عدم جواز تقديم الظرف مطلقاً، فيتحقّق بينهما التنافي فيما لو سَلَّم المسلم بغير الصيغ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بعدم وجوب رَدّ السَّلام الواقع بغير الصيغ الأربع، وعدم الجواز في الصَّلاة، فارتفاع التنافي واضحٌ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وجوبه مع تحقّق موضوع السَّلام عرفاً، ولو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فالتنافي وإنْ كان ظاهراً، إلّاأنّه لابدَّ من الجمع، لأنّه يمكن أن يقال بما إنّ السَّلام يقع غالباً بإحدى الصيغ الأربع، فيُحمل المِثْل على إرادة المماثلة من حيث كونه بعبارة السَّلام لا الجواب، وكون هذا الجمع عرفيّاً يظهر بعد ضمّ الروايات المتنافية بحسب بادي النظر بعضها الى بعض، وفرضها كلاماً واحداً صادراً من إمام واحد، الذي هو المعيار في كون الجمع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أولويّة هذا الجمع، من أنْ يُجمع بينها بحمل ما يدلّ على تعيّن أنْ يكون الرَدّ بإحدى الصيغ الأربع، على إرادة الرَدّ بالمِثْل، وتنزيل إطلاقها على ما لو وقع السَّلام بخصوص الصيغة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هذا القول النهي عن تقديم الظرف في الموثّقة، وحمله على الغالب، لمخالفته للصيغة التي يقع بها السَّلام غالباً بعيدٌ، فإنّه لا وجه حينئذٍ لتخصيصه بالذِّكر، إذ المخالفة كما تحصل بذلك تحصل بالتعريف والتنكير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حمل كلّ واحدٍ من الأخبار الثلاثة، الدالّة على تعيّن صيغةٍ خاصّة، على ما لو وقع السَّلام باللّفظ المماثل الوارد فيها، بعيدٌ جدّاً، مع أنّ قوله عليه السلام في ذيل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 عليه النبيّ صلى الله عليه و آله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صلى الله عليه و آله رَدّ سلام عمّار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كان قد سَلَّم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رواية البزنطي المتقدّمة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رَدّ السَّلام في الصَّلاة أنْ يكون بإحدى الصيغ الأربع، ولا يجوز رَدّ السَّلام بتقديم الظرف حتّى ولو سَلَّم المُصلّي مع تقديم الظرف، ولا يعتبر شيءٌ أزيد من ذلك</w:t>
      </w:r>
      <w:r>
        <w:rPr>
          <w:rFonts w:eastAsia="Amiri" w:cs="Amiri" w:ascii="Amiri" w:hAnsi="Amiri"/>
          <w:color w:val="111111"/>
          <w:sz w:val="28"/>
          <w:szCs w:val="28"/>
          <w:rtl w:val="true"/>
          <w:lang w:bidi="ar-SA"/>
        </w:rPr>
        <w:t xml:space="preserve">. </w:t>
      </w:r>
      <w:bookmarkStart w:id="619" w:name="pg11800_97188"/>
    </w:p>
    <w:p>
      <w:pPr>
        <w:pStyle w:val="Heading6"/>
        <w:numPr>
          <w:ilvl w:val="5"/>
          <w:numId w:val="1"/>
        </w:numPr>
        <w:rPr/>
      </w:pPr>
      <w:bookmarkStart w:id="620" w:name="__RefHeading___Toc10478197_73709187"/>
      <w:bookmarkStart w:id="621" w:name="_Toc234"/>
      <w:bookmarkEnd w:id="619"/>
      <w:bookmarkEnd w:id="620"/>
      <w:r>
        <w:rPr>
          <w:rtl w:val="true"/>
        </w:rPr>
        <w:t>فروع</w:t>
      </w:r>
      <w:r>
        <w:rPr>
          <w:rtl w:val="true"/>
        </w:rPr>
        <w:t>:</w:t>
      </w:r>
      <w:bookmarkEnd w:id="62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أحدٌ على جماعةٍ منهم المُصلّي، فردّه غيره، فحيثُ إنّ وجوب رَدّ السَّلام كفائيٌ‌، وسقوطه عند رَدّ بعضهم رخصة، كما يظهر من الروايات، فهل يجوز للمُصلّي الجواب أم لا؟</w:t>
      </w:r>
    </w:p>
    <w:p>
      <w:pPr>
        <w:pStyle w:val="BookText"/>
        <w:rPr/>
      </w:pPr>
      <w:r>
        <w:rPr>
          <w:rFonts w:ascii="Amiri" w:hAnsi="Amiri" w:eastAsia="Amiri" w:cs="Amiri"/>
          <w:color w:val="111111"/>
          <w:sz w:val="28"/>
          <w:sz w:val="28"/>
          <w:szCs w:val="28"/>
          <w:rtl w:val="true"/>
          <w:lang w:bidi="ar-SA"/>
        </w:rPr>
        <w:t>وجهان، أقواهما الثاني، لأنّه كلامٌ مبطل للصَّلاة، خرج الرَدّ الذي يكون واجباً، وبقي غيره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استدلّ به للأوّل، وهو إطلاق الأدلّة، كما ظهر حكم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رَدّ السَّلام، فحيثُ أنّ وجوبه فوريّ بلا خلافٍ‌، وهو المتبادر من الأمر بالوجوب عقيب السَّلام، فلو سكت إلى أنْ فاتَ محلّ الرَدّ ثمّ شَرع في الصَّلاة، فلا إشكال في الصحّة،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مضى في صلاته، فالقول بالفساد مبنيٌّ على اقتضاء الأمر بالشيء النهي عن ضدّه، أو على احتياج العبادة إلى الأمر مع عدم تصحيح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المبنيين فاسدان كماحقّقناه في محلّه، فمقتضى القاعدة الصحّة في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المسلم صبيّاً مميّزاً، يجب رَدّ سلامه أيضاً، لإطلاق الأدلّة، كما أنّه لو كان الصبي داخلاً في جماعةٍ‌، منهم المُصلّي فسلّم عليهم واحدٌ وردّه الصبيّ المميّز، سقط الردّ عن المُصلّي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ما يدلّ على الاجتزاء بردٍّ واحد منهم، إرادة واحدٍ ممّن وجب عليه الردّ، فلا يشمل الصبي</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دعوى بلا وجه، إذ الظاهر أنّ المراد منه واحدٌ من الجماعة الّتي سَلّم عليهم، ومنهم الصبي، ولا دخل لوجوب الردّ عليهم فيما يظهر من الأخبار</w:t>
      </w:r>
      <w:r>
        <w:rPr>
          <w:rFonts w:eastAsia="Amiri" w:cs="Amiri" w:ascii="Amiri" w:hAnsi="Amiri"/>
          <w:color w:val="111111"/>
          <w:sz w:val="28"/>
          <w:szCs w:val="28"/>
          <w:rtl w:val="true"/>
          <w:lang w:bidi="ar-SA"/>
        </w:rPr>
        <w:t xml:space="preserve">. </w:t>
      </w:r>
      <w:bookmarkStart w:id="622" w:name="pg11800_97189"/>
    </w:p>
    <w:p>
      <w:pPr>
        <w:pStyle w:val="BookText"/>
        <w:rPr/>
      </w:pPr>
      <w:bookmarkEnd w:id="622"/>
      <w:r>
        <w:rPr>
          <w:rFonts w:ascii="Amiri" w:hAnsi="Amiri" w:eastAsia="Amiri" w:cs="Amiri"/>
          <w:color w:val="111111"/>
          <w:sz w:val="28"/>
          <w:sz w:val="28"/>
          <w:szCs w:val="28"/>
          <w:rtl w:val="true"/>
          <w:lang w:bidi="ar-SA"/>
        </w:rPr>
        <w:t>والدُّعاء بالمُباح</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10478199_73709187"/>
      <w:bookmarkStart w:id="624" w:name="_Toc235"/>
      <w:bookmarkEnd w:id="623"/>
      <w:r>
        <w:rPr>
          <w:rtl w:val="true"/>
        </w:rPr>
        <w:t>يجوز للمُصلّي الدُّعاء بالمباح</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جملة من الروايات، مضافاً إلى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وجلّ به والنبيّ صلى الله عليه و آله فهو من الصَّلاة</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سيّابة،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وأنا 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 للدّنيا والآخرة، فإنّه ربّ الدُّنيا والآخرة</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ولايجوز طلب شيءٍ محرّمٍ في الصَّلاة وغيرها، وقد ادّعى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64"/>
      </w:r>
      <w:r>
        <w:rPr>
          <w:rFonts w:ascii="Amiri" w:hAnsi="Amiri" w:eastAsia="Amiri" w:cs="Amiri"/>
          <w:color w:val="111111"/>
          <w:sz w:val="28"/>
          <w:sz w:val="28"/>
          <w:szCs w:val="28"/>
          <w:rtl w:val="true"/>
          <w:lang w:bidi="ar-SA"/>
        </w:rPr>
        <w:t>الإجماع عليه، فيكون دعاءً محرّماً، فلو فعل ذلك في الصَّلاة بطلت لما تقدّم في قاطعيّة الكلام من مبطليّة الدُّعاء المحرّم للصَّلاة، فراجع</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bookmarkStart w:id="625" w:name="pg11800_97190"/>
    </w:p>
    <w:p>
      <w:pPr>
        <w:pStyle w:val="Heading3"/>
        <w:numPr>
          <w:ilvl w:val="2"/>
          <w:numId w:val="1"/>
        </w:numPr>
        <w:rPr/>
      </w:pPr>
      <w:bookmarkStart w:id="626" w:name="__RefHeading___Toc10478201_73709187"/>
      <w:bookmarkStart w:id="627" w:name="_Toc236"/>
      <w:bookmarkEnd w:id="625"/>
      <w:bookmarkEnd w:id="626"/>
      <w:r>
        <w:rPr>
          <w:rtl w:val="true"/>
        </w:rPr>
        <w:t>الباب الثالث</w:t>
      </w:r>
      <w:r>
        <w:rPr>
          <w:rtl w:val="true"/>
        </w:rPr>
        <w:t xml:space="preserve">: </w:t>
      </w:r>
      <w:r>
        <w:rPr>
          <w:rtl w:val="true"/>
        </w:rPr>
        <w:t>في بقيّة الصَّلوات</w:t>
      </w:r>
      <w:bookmarkEnd w:id="627"/>
    </w:p>
    <w:p>
      <w:pPr>
        <w:pStyle w:val="Heading4"/>
        <w:numPr>
          <w:ilvl w:val="3"/>
          <w:numId w:val="1"/>
        </w:numPr>
        <w:rPr/>
      </w:pPr>
      <w:bookmarkStart w:id="628" w:name="__RefHeading___Toc10478203_73709187"/>
      <w:bookmarkStart w:id="629" w:name="_Toc237"/>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الصَّلوات،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الجمعة، وهي ركعتان عوض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صلاة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الصّلوات، وفيه فصول</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0478205_73709187"/>
      <w:bookmarkStart w:id="631" w:name="_Toc238"/>
      <w:bookmarkEnd w:id="630"/>
      <w:r>
        <w:rPr>
          <w:rtl w:val="true"/>
        </w:rPr>
        <w:t>الفصل الأوّل</w:t>
      </w:r>
      <w:r>
        <w:rPr>
          <w:rtl w:val="true"/>
        </w:rPr>
        <w:t xml:space="preserve">: </w:t>
      </w:r>
      <w:r>
        <w:rPr>
          <w:rtl w:val="true"/>
        </w:rPr>
        <w:t>في صلاة الجمعة</w:t>
      </w:r>
      <w:bookmarkEnd w:id="631"/>
    </w:p>
    <w:p>
      <w:pPr>
        <w:pStyle w:val="Heading5"/>
        <w:numPr>
          <w:ilvl w:val="4"/>
          <w:numId w:val="1"/>
        </w:numPr>
        <w:rPr/>
      </w:pPr>
      <w:bookmarkStart w:id="632" w:name="__RefHeading___Toc10478207_73709187"/>
      <w:bookmarkStart w:id="633" w:name="_Toc239"/>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كالصّبح، فيما عدا ما ستعرف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يسقط معهما الظهر، بل هي ظهرٌ بعينها في يوم الجمعة، كما تدلّ عليه أخبار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اُناسٍ في قريةٍ‌، هل يُصلّون الجمعة جماعة‌؟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يصلّون أربعاً إذا لم يكن من يخطب</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الروايات الدالّة على أنّ صلاة الظهر يوم الجمعة أربع ركعات، إذا لم يكن من يخطب بهم، وإلّا فركعتان</w:t>
      </w:r>
      <w:r>
        <w:rPr>
          <w:rFonts w:eastAsia="Amiri" w:cs="Amiri" w:ascii="Amiri" w:hAnsi="Amiri"/>
          <w:color w:val="111111"/>
          <w:sz w:val="28"/>
          <w:szCs w:val="28"/>
          <w:rtl w:val="true"/>
          <w:lang w:bidi="ar-SA"/>
        </w:rPr>
        <w:t>.</w:t>
      </w:r>
      <w:bookmarkStart w:id="634" w:name="pg11800_97191"/>
    </w:p>
    <w:p>
      <w:pPr>
        <w:pStyle w:val="BookText"/>
        <w:rPr/>
      </w:pPr>
      <w:bookmarkEnd w:id="634"/>
      <w:r>
        <w:rPr>
          <w:rFonts w:ascii="Amiri" w:hAnsi="Amiri" w:eastAsia="Amiri" w:cs="Amiri"/>
          <w:color w:val="111111"/>
          <w:sz w:val="28"/>
          <w:sz w:val="28"/>
          <w:szCs w:val="28"/>
          <w:rtl w:val="true"/>
          <w:lang w:bidi="ar-SA"/>
        </w:rPr>
        <w:t>ووقتها من زَوال الشّمس</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0478209_73709187"/>
      <w:bookmarkStart w:id="636" w:name="_Toc240"/>
      <w:bookmarkEnd w:id="635"/>
      <w:r>
        <w:rPr>
          <w:rtl w:val="true"/>
        </w:rPr>
        <w:t>وقت صلاة الجمعة</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ووقتها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 صلاة الظهر، كما عرفته في محلّه، فلا تصحّ قبل الزّوال، بلا خلافٍ فيه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اُسند القول بجواز أن يصلّي الجمعة عند قيام الشّمس الى المرتضى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اخترناه تبعاً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الكتاب والروايات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الجمعة عند الزّوال</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أبي عبد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الصَّلاة يوم الجمعة‌؟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جبرئيل مضيّقة، إذا زالتِ الشّمس فصلّها</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الزّوال يوم الجمعة 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الشّمس صَلِّ الركعتين، فإذا زالت الشّمس فصَلِّ الفريضة</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يصير ظلّ كلّ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المنسوب إلى السيّد المرتضى رحمه الله</w:t>
      </w:r>
      <w:r>
        <w:rPr>
          <w:rStyle w:val="FootnoteAnchor"/>
          <w:rtl w:val="true"/>
        </w:rPr>
        <w:footnoteReference w:id="1471"/>
      </w:r>
      <w:r>
        <w:rPr>
          <w:rFonts w:ascii="Amiri" w:hAnsi="Amiri" w:eastAsia="Amiri" w:cs="Amiri"/>
          <w:color w:val="111111"/>
          <w:sz w:val="28"/>
          <w:sz w:val="28"/>
          <w:szCs w:val="28"/>
          <w:rtl w:val="true"/>
          <w:lang w:bidi="ar-SA"/>
        </w:rPr>
        <w:t>، فقد استدلّ له بصحيحة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إلّايوم الجمعة</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بنصف النهار أوّل الوقت حين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ظهورها فيما ادُّعي، فإنّه لابدّ من التصرّف فيها، وحملها على ما ذُكر للروايات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47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رواه العامّة عن وكيع الأسلمي،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الجمعة مع أبي بكرٍ فكانت صلاته وخطبته قبل نصف النهار</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مخالفته لفعل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سلمة بن أكوع،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نُصلّي مع النبيّ صلى الله عليه و آله صلاة الجمعة ثمّ ننصرف، وليس للحيطان فيء</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من طرقنا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ويمتدّ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يصير ظِلّ كلّ شيء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الأكثر، بل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بامتداد وقتها بامتداد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ابن زُهرة</w:t>
      </w:r>
      <w:r>
        <w:rPr>
          <w:rStyle w:val="FootnoteAnchor"/>
          <w:rtl w:val="true"/>
        </w:rPr>
        <w:footnoteReference w:id="1479"/>
      </w:r>
      <w:r>
        <w:rPr>
          <w:rFonts w:ascii="Amiri" w:hAnsi="Amiri" w:eastAsia="Amiri" w:cs="Amiri"/>
          <w:color w:val="111111"/>
          <w:sz w:val="28"/>
          <w:sz w:val="28"/>
          <w:szCs w:val="28"/>
          <w:rtl w:val="true"/>
          <w:lang w:bidi="ar-SA"/>
        </w:rPr>
        <w:t>وأبي الصلاح</w:t>
      </w:r>
      <w:r>
        <w:rPr>
          <w:rStyle w:val="FootnoteAnchor"/>
          <w:rtl w:val="true"/>
        </w:rPr>
        <w:footnoteReference w:id="1480"/>
      </w:r>
      <w:r>
        <w:rPr>
          <w:rFonts w:ascii="Amiri" w:hAnsi="Amiri" w:eastAsia="Amiri" w:cs="Amiri"/>
          <w:color w:val="111111"/>
          <w:sz w:val="28"/>
          <w:sz w:val="28"/>
          <w:szCs w:val="28"/>
          <w:rtl w:val="true"/>
          <w:lang w:bidi="ar-SA"/>
        </w:rPr>
        <w:t>، القول بأنّ وقتها من الزّوال بمقدار ما يتّسع للأذان والخطبتين وصلاة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الجُعفي</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وقتها ساعةً من النهار أي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المجلسيين</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وقتها من الزّوال إلى أنْ يبلغ الظلّ الحادث 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تضارب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القول المحكيّ عن ابن زُهرة وغيره، الروايات الدالّة على أنّ صلاة الجمعة من التكاليف المضيّقة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وفيها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صلاة الجمعة من الأمر المضيّق، إنّما لها وقتٌ واحدٌ حين تزول، ووقت العصر يوم الجمعة وقت الظهر في سائر الأيّام</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الروايات لا تنافي قول الجُعفي، إذ الخطبتان والأذان وصلاة الجمعة بآدابها المقرّرة في الشريعة، تحتاج عادةً إلى هذا المقدار من الزمان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قول الجُعفي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الجمعة ساعة تزول الشّمس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تمضي ساعة تحافظ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القول المحكيّ عن المجلسيّين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الدالّة على أنّ وقت العصر في يوم الجمعة، وقت الظهر في سائر الأيّام، كصحيحة زرارة المتقدّمة، لأنّه يستفاد منها أنّ الوقت المجعول للنافلة في سائر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يوم الجمعة وقتاً لفريضتها، ولكن بما أنّ تحديد وقت النافلة بقدمين أو بذراع تحديدٌ تقريبي، فلا ينافي تقديره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اختاره الجُعفي هو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يظهر لمن تدبّر في الروايات الظاهرة في بادي النظر فيما قوّيناه، أنّ المراد من وقت الجمعة المحدود بالساعة، ليس وقتها الذي تفوت بفواته الصَّلاة، بل وقتها الذي ينبغي فعلها فيه، والشاهد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الصَّلاة يوم الجمعة‌؟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جبرئيل مضيّقة، إذا زالت الشّمس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صلّيتُ ركعتين ثمّ صلّيتها؟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فإذا زالتِ الشّمس لم أبدأ بشيء قبل المكتوبة</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 المراد بصلاة يوم الجمعة في هذه الرواية، هي فريضة الظهر لا الجمعة خاصّة، لأنّه عليه السلام في تلك الفترة كان يُصلّي الظهر في يوم الجمعة، كما لايخفى‌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ورواية إسماعيل،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الصَّلاة‌؟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لكلّ صلاةٍ وقتين إلّاالجمعة في السفر والحضر،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إذا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زالت الشّمس</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الجمعة في السفر لا تكون إلّاظهراً، فهذا كاشفٌ عن أنّ المراد من الجمعة في مثل هذه الأخبار، أعمٌّ من الظهر، فعلى هذا دعوى كون المراد من الجمعة في سائر الأخبار الدالّة على تضيّق وقتها، خصوص الجمعة المصطلحة في غاية الإشكال، خصوصاً بضميمة أنّ إطلاق الجمعة على الأعمّ شائعٌ في الأخبار، وعلى هذا فحيثُ لا ريب في أنّ وقت الظهر في يوم الجمعة يمتدّ بامتداد وقتها في سائر الأيّام، وليس وقتها مضيّقاً بحيثُ يفوت بفوات الوقت المجعول في هذه الأخبار للجمعة، فلامحيص عن القول بأنّ المراد من تضيّق وقت الجمعة، تأكّد استحباب المبادرة إليها، نظير الرويات الدالّة على أنّ وقت المغرب مضيّق، وينقضي بذهاب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ضيق وقت الصَّلاة الجمعة من الروايات المتقدّمة، بحيث يفوت وقتها بالتأخير عن أدائه، مع أنّ المراد منها أعمّ من الظهر التي هي ليست كذلك جزماً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المنسوب إلى الشهيد رحمه الله</w:t>
      </w:r>
      <w:r>
        <w:rPr>
          <w:rStyle w:val="FootnoteAnchor"/>
          <w:rtl w:val="true"/>
        </w:rPr>
        <w:footnoteReference w:id="1487"/>
      </w:r>
      <w:r>
        <w:rPr>
          <w:rFonts w:ascii="Amiri" w:hAnsi="Amiri" w:eastAsia="Amiri" w:cs="Amiri"/>
          <w:color w:val="111111"/>
          <w:sz w:val="28"/>
          <w:sz w:val="28"/>
          <w:szCs w:val="28"/>
          <w:rtl w:val="true"/>
          <w:lang w:bidi="ar-SA"/>
        </w:rPr>
        <w:t>هو القوي، لعموم ما دلّ على أنّ صلاتي الظهر والعصر لا تفوتان إلى مغيب الشّمس</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المنسوب إلى المشهور</w:t>
      </w:r>
      <w:r>
        <w:rPr>
          <w:rFonts w:eastAsia="IRNazanin" w:cs="IRNazanin"/>
          <w:color w:val="111111"/>
          <w:sz w:val="28"/>
          <w:szCs w:val="28"/>
          <w:rtl w:val="true"/>
          <w:lang w:bidi="fa-IR"/>
        </w:rPr>
        <w:t>:</w:t>
      </w:r>
      <w:r>
        <w:rPr>
          <w:rStyle w:val="FootnoteAnchor"/>
          <w:rtl w:val="true"/>
        </w:rPr>
        <w:footnoteReference w:id="1488"/>
      </w:r>
      <w:r>
        <w:rPr>
          <w:rFonts w:ascii="Amiri" w:hAnsi="Amiri" w:eastAsia="Amiri" w:cs="Amiri"/>
          <w:color w:val="111111"/>
          <w:sz w:val="28"/>
          <w:sz w:val="28"/>
          <w:szCs w:val="28"/>
          <w:rtl w:val="true"/>
          <w:lang w:bidi="ar-SA"/>
        </w:rPr>
        <w:t>فقد استدلّ له بالروايات الدالّة على أنّ لها وقتاً واحداً حين تزول الشّمس</w:t>
      </w:r>
      <w:r>
        <w:rPr>
          <w:rStyle w:val="FootnoteAnchor"/>
          <w:rtl w:val="true"/>
        </w:rPr>
        <w:footnoteReference w:id="1489"/>
      </w:r>
      <w:r>
        <w:rPr>
          <w:rFonts w:ascii="Amiri" w:hAnsi="Amiri" w:eastAsia="Amiri" w:cs="Amiri"/>
          <w:color w:val="111111"/>
          <w:sz w:val="28"/>
          <w:sz w:val="28"/>
          <w:szCs w:val="28"/>
          <w:rtl w:val="true"/>
          <w:lang w:bidi="ar-SA"/>
        </w:rPr>
        <w:t>، بتقريب أنّ هذه الروايات ظاهرة في أنّ وقت الجمعة أضيق من وقت الظهر في سائر الأيّام، فيدور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أنْ يكون المراد من الوقت الواحد،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الوقت الأوّل من وقتي الظهر، الذي هو من حين ما تزول الشّمس إلى أنْ يصبح ظِلّ كلّ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أقوى‌، لأنّه لا ريب في أنّ المراد من السعي إليها، الواجب على المكلّفين، ليس خصوص السعي، بل أعمٌّ منه ومن المقدّمات التي يتوقّف عليها فعل الصَّلاة كالطهارة، وهذا لا يجتمع مع الضيق الحقيقي، كما لا يخفى‌، فهذا كاشف عن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أوّل الوقت لا حصره به، فلا تعرّض في هذه الأخبار لبيان آخره، فهو موكولٌ إلى ما هو معهودٌ في الشريعة من امتداد الوقت الأوّل إلى أنْ يصبح ظِلّ كلّ شيءٍ مثله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في أطراف ما ذكرناه، يظهر لك ما هو الحقّ في المقام</w:t>
      </w:r>
      <w:r>
        <w:rPr>
          <w:rFonts w:eastAsia="Amiri" w:cs="Amiri" w:ascii="Amiri" w:hAnsi="Amiri"/>
          <w:color w:val="111111"/>
          <w:sz w:val="28"/>
          <w:szCs w:val="28"/>
          <w:rtl w:val="true"/>
          <w:lang w:bidi="ar-SA"/>
        </w:rPr>
        <w:t>.</w:t>
      </w:r>
      <w:bookmarkStart w:id="637" w:name="pg11800_97197"/>
    </w:p>
    <w:p>
      <w:pPr>
        <w:pStyle w:val="Heading5"/>
        <w:numPr>
          <w:ilvl w:val="4"/>
          <w:numId w:val="1"/>
        </w:numPr>
        <w:rPr/>
      </w:pPr>
      <w:bookmarkStart w:id="638" w:name="__RefHeading___Toc10478211_73709187"/>
      <w:bookmarkStart w:id="639" w:name="_Toc241"/>
      <w:bookmarkEnd w:id="637"/>
      <w:bookmarkEnd w:id="638"/>
      <w:r>
        <w:rPr>
          <w:rtl w:val="true"/>
        </w:rPr>
        <w:t>فروع صلاة الجمعة</w:t>
      </w:r>
      <w:bookmarkEnd w:id="639"/>
    </w:p>
    <w:p>
      <w:pPr>
        <w:pStyle w:val="Heading6"/>
        <w:numPr>
          <w:ilvl w:val="5"/>
          <w:numId w:val="1"/>
        </w:numPr>
        <w:rPr/>
      </w:pPr>
      <w:bookmarkStart w:id="640" w:name="__RefHeading___Toc10478213_73709187"/>
      <w:bookmarkStart w:id="641" w:name="_Toc242"/>
      <w:bookmarkEnd w:id="640"/>
      <w:r>
        <w:rPr>
          <w:rtl w:val="true"/>
        </w:rPr>
        <w:t>لو خرج الوقت والمصلّي فيها</w:t>
      </w:r>
      <w:bookmarkEnd w:id="64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الوقت والمصلّي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عليه إتمامها جمعةً ولو لم يُدرك ركعةً‌، بل يكفي التلبّس بها في الوقت ولو بتكبيرة الإحرام‌؟</w:t>
      </w:r>
    </w:p>
    <w:p>
      <w:pPr>
        <w:pStyle w:val="BookText"/>
        <w:rPr/>
      </w:pPr>
      <w:r>
        <w:rPr>
          <w:rFonts w:ascii="Amiri" w:hAnsi="Amiri" w:eastAsia="Amiri" w:cs="Amiri"/>
          <w:color w:val="111111"/>
          <w:sz w:val="28"/>
          <w:sz w:val="28"/>
          <w:szCs w:val="28"/>
          <w:rtl w:val="true"/>
          <w:lang w:bidi="ar-SA"/>
        </w:rPr>
        <w:t>أو يتمّها جمعةً بشرط إدراك الرّكعة‌؟</w:t>
      </w:r>
    </w:p>
    <w:p>
      <w:pPr>
        <w:pStyle w:val="BookText"/>
        <w:rPr/>
      </w:pPr>
      <w:r>
        <w:rPr>
          <w:rFonts w:ascii="Amiri" w:hAnsi="Amiri" w:eastAsia="Amiri" w:cs="Amiri"/>
          <w:color w:val="111111"/>
          <w:sz w:val="28"/>
          <w:sz w:val="28"/>
          <w:szCs w:val="28"/>
          <w:rtl w:val="true"/>
          <w:lang w:bidi="ar-SA"/>
        </w:rPr>
        <w:t>أو تبطل مطلقاً ما لم يقع جميعها في الوقت‌؟</w:t>
      </w:r>
    </w:p>
    <w:p>
      <w:pPr>
        <w:pStyle w:val="BookText"/>
        <w:rPr/>
      </w:pPr>
      <w:r>
        <w:rPr>
          <w:rFonts w:ascii="Amiri" w:hAnsi="Amiri" w:eastAsia="Amiri" w:cs="Amiri"/>
          <w:color w:val="111111"/>
          <w:sz w:val="28"/>
          <w:sz w:val="28"/>
          <w:szCs w:val="28"/>
          <w:rtl w:val="true"/>
          <w:lang w:bidi="ar-SA"/>
        </w:rPr>
        <w:t>وجوه، أقواها الثاني، وهو المنسوب إلى المشهور</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فقد أدرك الجمعة</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فالجمعة كسائر الصَّلوات في ذلك، فالقول ببطلانها مطلقاً ضعيفٌ‌، كالقول بالصحّة ولو بالتلبّس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خصوص من كان ذلك ابتداء الوجوب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أصبح واجداً لشرائط الوجوب وهو غير مُدْرِك إلّاالرّكعة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قد تقدّم تحقيقه،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تعلّل الصحّة، ووجوب إتمام الجمعة ولو بالتلبّس بالتكبير، بأنّها استجمعت الشرائط وانعقدت، فيجبُ إتمامها للنهي عن إبطال العمل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الشرائط، وفاء الوقت، وعدم قصوره عن أدائها، فجواز فعلها في </w:t>
      </w:r>
    </w:p>
    <w:p>
      <w:pPr>
        <w:pStyle w:val="BookText"/>
        <w:rPr/>
      </w:pPr>
      <w:r>
        <w:rPr>
          <w:rFonts w:ascii="Amiri" w:hAnsi="Amiri" w:eastAsia="Amiri" w:cs="Amiri"/>
          <w:color w:val="111111"/>
          <w:sz w:val="28"/>
          <w:sz w:val="28"/>
          <w:szCs w:val="28"/>
          <w:rtl w:val="true"/>
          <w:lang w:bidi="ar-SA"/>
        </w:rPr>
        <w:t>خارج الوقت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 فرق فيما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لو دخل فيها بزعم الاتّساع، فانكشف بعد التلبّس بها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ما لو علم قبل الصَّلاة أنّ الوقت غير متّسعٍ‌، وإنّما يدرك ركعةً منها في الوقت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فتفصيل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بين الفرعين، حيث حكم في الأوّل بوجوب إتمامها جمعةً‌، وفي الثاني بأنّه فاتت الجمعة، وعليه أن يُصلّي ظهراً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كلام المحقّق رحمه الله كما عن بعض المحقّقين رحمه الله</w:t>
      </w:r>
      <w:r>
        <w:rPr>
          <w:rStyle w:val="FootnoteAnchor"/>
          <w:rtl w:val="true"/>
        </w:rPr>
        <w:footnoteReference w:id="1494"/>
      </w:r>
      <w:r>
        <w:rPr>
          <w:rFonts w:ascii="Amiri" w:hAnsi="Amiri" w:eastAsia="Amiri" w:cs="Amiri"/>
          <w:color w:val="111111"/>
          <w:sz w:val="28"/>
          <w:sz w:val="28"/>
          <w:szCs w:val="28"/>
          <w:rtl w:val="true"/>
          <w:lang w:bidi="ar-SA"/>
        </w:rPr>
        <w:t xml:space="preserve">بأنّ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عُذري مجعولة للمضطرّ، كغيرها من التكاليف العذريّة، والمتبادر من الأخبار التي يستفاد منها وجوب الظهر، عند عدم التمكّن من الجمعة، إرادة الجمعة الاختياريّة الواقعة في وقتها لا العذريّة، فيتّجه حينئذٍ التفكيك بين المسألتين، بالالتزام في هذا الفرع بفوت الجمعة، بخلاف المسألة السابقة، فإنّه حيثُ زعم سعة الوقت، ودخل في الجمعة دخولاً مشروعاً، لم يجز له إبطالها بعد أنْ وسّع الشارع وقتها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ما ذكر من المبني، لما كان التفصيل بين الفرعين متّجهاً، إذ من شَرع فيها بزعم سعة الوقت، ولم يكن الوقت متّسعاً واقعاً، لم يدرك الجمعة الاختياريّة، ولو كان مكلّفاً بالإتمام، فإنّما هو تكليفٌ عذري، فبناءً على أنْ يكون المستفاد من الأخبار وجوب الظهر، عند عدم التمكّن من الجمعة الاختياريّة، لابدّ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42" w:name="pg11800_97199"/>
    </w:p>
    <w:p>
      <w:pPr>
        <w:pStyle w:val="BookText"/>
        <w:rPr/>
      </w:pPr>
      <w:bookmarkEnd w:id="642"/>
      <w:r>
        <w:rPr>
          <w:rFonts w:ascii="Amiri" w:hAnsi="Amiri" w:eastAsia="Amiri" w:cs="Amiri"/>
          <w:color w:val="111111"/>
          <w:sz w:val="28"/>
          <w:sz w:val="28"/>
          <w:szCs w:val="28"/>
          <w:rtl w:val="true"/>
          <w:lang w:bidi="ar-SA"/>
        </w:rPr>
        <w:t>من الحكم ببطلانها، فلا وجه للتفصيل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المبني غير تامّ‌، إذ المستفاد من الأخبار أنّ مَنْ لم يُدرك الجمعة، وجب عليه الظهر، وإلّا فيجب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فحيثُ أنّ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الوقت، وصدق إدراكها بإدراك ركعةً منها، فلا محالة تكون القاعدة حاكمة على تلك الأخبار، وموجبة لتوسعة موضوعها، فلا محالة 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الصحّة في كلا الفرعين، فيما لو أدرك ركعةً منها في الوقت</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10478215_73709187"/>
      <w:bookmarkStart w:id="644" w:name="_Toc243"/>
      <w:bookmarkEnd w:id="643"/>
      <w:r>
        <w:rPr>
          <w:rtl w:val="true"/>
        </w:rPr>
        <w:t>لو لم يكن شرائط الجمعة مجتمعة في أوّل الوقت</w:t>
      </w:r>
      <w:bookmarkEnd w:id="644"/>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شرائط الجمعة مجتمعة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بعدم اجتماعها حتّى يخرج الوقت، جاز له التعجيل بإتيان الظهر، ويجتزي بها للإجماع، والأخبار</w:t>
      </w:r>
      <w:r>
        <w:rPr>
          <w:rStyle w:val="FootnoteAnchor"/>
          <w:rtl w:val="true"/>
        </w:rPr>
        <w:footnoteReference w:id="1495"/>
      </w:r>
      <w:r>
        <w:rPr>
          <w:rFonts w:ascii="Amiri" w:hAnsi="Amiri" w:eastAsia="Amiri" w:cs="Amiri"/>
          <w:color w:val="111111"/>
          <w:sz w:val="28"/>
          <w:sz w:val="28"/>
          <w:szCs w:val="28"/>
          <w:rtl w:val="true"/>
          <w:lang w:bidi="ar-SA"/>
        </w:rPr>
        <w:t>الدالّة على أنّ من لم يتمكّن من الجمعة، مكلّف بإتيان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باجتماعها قبل خروج الوقت، لا يجوز له ذلك، لأنّ مشروعيّة الظهر مشروطة بعدم التمكّن من الجمعة في ذلك اليوم على ما 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شكّ في الاجتماع وعدمه، فهل يجوز له البدار، أم يجب عليه الصبر إلى أنْ يظهر الحال‌؟</w:t>
      </w:r>
    </w:p>
    <w:p>
      <w:pPr>
        <w:pStyle w:val="BookText"/>
        <w:rPr/>
      </w:pPr>
      <w:r>
        <w:rPr>
          <w:rFonts w:ascii="IRNazanin" w:hAnsi="IRNazanin" w:eastAsia="IRNazanin"/>
          <w:color w:val="111111"/>
          <w:sz w:val="28"/>
          <w:sz w:val="28"/>
          <w:szCs w:val="28"/>
          <w:rtl w:val="true"/>
          <w:lang w:bidi="fa-IR"/>
        </w:rPr>
        <w:t>وجهان، بل قولان</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أقواهما الأوّل بناءً على ما هو الحقّ من جريان الاستصحاب في الاُمور </w:t>
      </w:r>
      <w:bookmarkStart w:id="645" w:name="pg11800_97200"/>
    </w:p>
    <w:p>
      <w:pPr>
        <w:pStyle w:val="BookText"/>
        <w:rPr/>
      </w:pPr>
      <w:bookmarkEnd w:id="645"/>
      <w:r>
        <w:rPr>
          <w:rFonts w:ascii="Amiri" w:hAnsi="Amiri" w:eastAsia="Amiri" w:cs="Amiri"/>
          <w:color w:val="111111"/>
          <w:sz w:val="28"/>
          <w:sz w:val="28"/>
          <w:szCs w:val="28"/>
          <w:rtl w:val="true"/>
          <w:lang w:bidi="ar-SA"/>
        </w:rPr>
        <w:t>الاستقباليّة، فإنّه عليه أن يستصحب عدم التمكّن من الجمعة إلى آخر الوقت، فيتنجّز التكليف بالظهر في حقّه، وعليه القيام بأداء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جواز البدار حينئذٍ ظاهريّاً، كما لا يخفى‌</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0478217_73709187"/>
      <w:bookmarkStart w:id="647" w:name="_Toc244"/>
      <w:bookmarkEnd w:id="646"/>
      <w:r>
        <w:rPr>
          <w:rtl w:val="true"/>
        </w:rPr>
        <w:t>إدراك الإمام في الرّكعة الثانية</w:t>
      </w:r>
      <w:bookmarkEnd w:id="64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الإمام في الوقت الذي يسعها، ولكن المأموم لم يحضر الخطبة وأوّل الصَّلاة، بل أدرك الإمام ركعةً منها، وجب عليه أن يُصلّي الجمعة بلا خلافٍ فيه، وادّعى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الإجماع عليه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العزرمي،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يوم الجمعة، وقد سبقك بركعةٍ‌، فأضف إليها ركعة اُخرى‌، وأجهر بها، وإنْ أدركته وهو يتشهّد، فصلِّ أربعاً</w:t>
      </w:r>
      <w:r>
        <w:rPr>
          <w:rFonts w:eastAsia="Amiri" w:cs="Amiri" w:ascii="Amiri" w:hAnsi="Amiri"/>
          <w:color w:val="111111"/>
          <w:sz w:val="28"/>
          <w:szCs w:val="28"/>
          <w:rtl w:val="true"/>
          <w:lang w:bidi="ar-SA"/>
        </w:rPr>
        <w:t>»</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لا تكون إلّالمن أدرك الخطبتين</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الظاهرة في نفي الحقيقة، فحيثُ أنّها قابلة للحمل على إرادة نفي الكمال، فلا تصلح لمعارضة النصوص الصريحة في خلافها، مضافاً إلى ما فيها من احتمال التقيّة، لحكاية القول بمضمونها عن عمر بن الخطّاب، فعلى فرض المعارضة، تقدّم تلك الروايات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ريب في تحقّق إدراك الرّكعة بالدّخول في الصَّلاة قبل تكبير </w:t>
      </w:r>
    </w:p>
    <w:p>
      <w:pPr>
        <w:pStyle w:val="BookText"/>
        <w:rPr/>
      </w:pPr>
      <w:r>
        <w:rPr>
          <w:rFonts w:ascii="Amiri" w:hAnsi="Amiri" w:eastAsia="Amiri" w:cs="Amiri"/>
          <w:color w:val="111111"/>
          <w:sz w:val="28"/>
          <w:sz w:val="28"/>
          <w:szCs w:val="28"/>
          <w:rtl w:val="true"/>
          <w:lang w:bidi="ar-SA"/>
        </w:rPr>
        <w:t>الرّكوع بلا خلافٍ فيه، وأمّا لو أدرك الإمام راكعاً في الثانية،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1500"/>
      </w:r>
      <w:r>
        <w:rPr>
          <w:rFonts w:ascii="Amiri" w:hAnsi="Amiri" w:eastAsia="Amiri" w:cs="Amiri"/>
          <w:color w:val="111111"/>
          <w:sz w:val="28"/>
          <w:sz w:val="28"/>
          <w:szCs w:val="28"/>
          <w:rtl w:val="true"/>
          <w:lang w:bidi="ar-SA"/>
        </w:rPr>
        <w:t>تحقّق إدراك الرّكعة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إدراك تكبير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w:t>
      </w:r>
      <w:r>
        <w:rPr>
          <w:rStyle w:val="FootnoteAnchor"/>
          <w:rtl w:val="true"/>
        </w:rPr>
        <w:footnoteReference w:id="1502"/>
      </w:r>
      <w:r>
        <w:rPr>
          <w:rFonts w:ascii="Amiri" w:hAnsi="Amiri" w:eastAsia="Amiri" w:cs="Amiri"/>
          <w:color w:val="111111"/>
          <w:sz w:val="28"/>
          <w:sz w:val="28"/>
          <w:szCs w:val="28"/>
          <w:rtl w:val="true"/>
          <w:lang w:bidi="ar-SA"/>
        </w:rPr>
        <w:t xml:space="preserve">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 xml:space="preserve">أنّه اعتبر ذكر المأموم قبل رفع الإمام رأسه، وكلامه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لذلك، وهو يصرّح بما اختاره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وقد ركع، فكبّرت وركعت قبل أنْ يرفع رأسه، فقد أدركت الرّكعة، وإنْ رفع الإمام رأسه قبل أنْ تركع، فقد فاتتك الرّكعة</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قبل أنْ يركع الرّكعة الأخيرة، فقد أدركت الصَّلاة، إنْ كنتَ أدركته بعدما ركع فهي أربعٌ بمنزلة الظهر</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 الظاهر في اعتبار إدراك الإمام قبل الرّكوع في الجمعة، أخصّ من هذه النصوص، فتخصّص 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تخصيص المطلقات الواردة في باب الجماعة، الصريحة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كفاية إدراك الإمام راكعاً في صحّة الجماعة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تكون نصّاً في الجمعة، كي لا يمكن 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رفع رأسه من الرّكوع، وعليه فلا يعارض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ضعيف، لا يُعبأ به،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بقرينة صدر الخبر في التلبّس بالركوع، 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قبل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بالمفهوم على أنّه إذا لم يدركه قبل الرّكوع، فلم يدرك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اعتبار إدراك الإمام قبل أنْ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 قوله عليه السلام في مكاتبة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لحق مع الإمام من تسبيح الرّكوع تسبيحة واحدة، اعتدّ بتلك الرّكعة</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لكونه أعمّ من خبر الحلبي فيخصّص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أدرك الإمام ركعة منها في الوقت، فشرع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مشروعيّته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يُدْركه المأموم إلّافي الرّكعة الثانية، الواقعة في خارج وقتها الاختياري، فهل يشرع للمأموم الدخول معه فيها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الوقت الذي حدّده الشارع لها، إنّما هو بالنسبة الى نفس صلاة الجمعة التي تُقام في البلد، لا بالنسبة الى الصَّلاة الصادرة من آحاد المكلّفين، وبالنسبة اليهم لم يحدّد الشارع وقتاً لها إلّاالإدراك مع الإمام ركعة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وبقصور ما يدلّ على التوقيت عن الشمول للمأموم المسبوق، وبالنسبة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مقتضى السيرة عدم مراعاة شيء سوى إدراكه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عدم شمول ما يدلّ على التوقيت للمأموم المسبوق، 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إثبات نفي شرطيّة الوقت لصلاته، بإطلاق 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الجمعة، فقد أدرك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إطلاقٌ مسوقٌ لبيان هذه الجهة، ليتمسّك به ويرفع شرطيّة الوقت لصلاة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السيرة مع ندرة هذا الفرض عجيبة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مشروعيّة الجمعة في الفرض على المأموم، لخروج وقتها بالنسبة اليه</w:t>
      </w:r>
      <w:r>
        <w:rPr>
          <w:rFonts w:eastAsia="Amiri" w:cs="Amiri" w:ascii="Amiri" w:hAnsi="Amiri"/>
          <w:color w:val="111111"/>
          <w:sz w:val="28"/>
          <w:szCs w:val="28"/>
          <w:rtl w:val="true"/>
          <w:lang w:bidi="ar-SA"/>
        </w:rPr>
        <w:t>.</w:t>
      </w:r>
      <w:bookmarkStart w:id="648" w:name="pg11800_97204"/>
    </w:p>
    <w:p>
      <w:pPr>
        <w:pStyle w:val="BookText"/>
        <w:rPr/>
      </w:pPr>
      <w:bookmarkEnd w:id="648"/>
      <w:r>
        <w:rPr>
          <w:rFonts w:ascii="IRNazanin" w:hAnsi="IRNazanin" w:eastAsia="IRNazanin"/>
          <w:color w:val="111111"/>
          <w:sz w:val="28"/>
          <w:sz w:val="28"/>
          <w:szCs w:val="28"/>
          <w:rtl w:val="true"/>
          <w:lang w:bidi="fa-IR"/>
        </w:rPr>
        <w:t>وشروطها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العادل، أو من نصبه</w:t>
      </w:r>
      <w:r>
        <w:rPr>
          <w:rFonts w:eastAsia="IRNazanin" w:cs="IRNazanin"/>
          <w:color w:val="111111"/>
          <w:sz w:val="28"/>
          <w:szCs w:val="28"/>
          <w:rtl w:val="true"/>
          <w:lang w:bidi="fa-IR"/>
        </w:rPr>
        <w:t>.</w:t>
      </w:r>
    </w:p>
    <w:p>
      <w:pPr>
        <w:pStyle w:val="Heading5"/>
        <w:numPr>
          <w:ilvl w:val="4"/>
          <w:numId w:val="1"/>
        </w:numPr>
        <w:rPr/>
      </w:pPr>
      <w:bookmarkStart w:id="649" w:name="__RefHeading___Toc10478219_73709187"/>
      <w:bookmarkStart w:id="650" w:name="_Toc245"/>
      <w:bookmarkEnd w:id="649"/>
      <w:r>
        <w:rPr>
          <w:rtl w:val="true"/>
        </w:rPr>
        <w:t>شروطها</w:t>
      </w:r>
      <w:bookmarkEnd w:id="650"/>
    </w:p>
    <w:p>
      <w:pPr>
        <w:pStyle w:val="Heading6"/>
        <w:numPr>
          <w:ilvl w:val="5"/>
          <w:numId w:val="1"/>
        </w:numPr>
        <w:rPr/>
      </w:pPr>
      <w:bookmarkStart w:id="651" w:name="__RefHeading___Toc10478221_73709187"/>
      <w:bookmarkStart w:id="652" w:name="_Toc246"/>
      <w:bookmarkEnd w:id="651"/>
      <w:r>
        <w:rPr>
          <w:rtl w:val="true"/>
        </w:rPr>
        <w:t>اشتراط وجوب الجمعة بالسّلطان العادل</w:t>
      </w:r>
      <w:bookmarkEnd w:id="652"/>
    </w:p>
    <w:p>
      <w:pPr>
        <w:pStyle w:val="Heading6"/>
        <w:numPr>
          <w:ilvl w:val="5"/>
          <w:numId w:val="1"/>
        </w:numPr>
        <w:rPr/>
      </w:pPr>
      <w:bookmarkStart w:id="653" w:name="__RefHeading___Toc10478223_73709187"/>
      <w:bookmarkStart w:id="654" w:name="_Toc247"/>
      <w:bookmarkEnd w:id="653"/>
      <w:r>
        <w:rPr>
          <w:rtl w:val="true"/>
        </w:rPr>
        <w:t>اشارة</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لوجوب الجمعة وصحّتها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العادل،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بلا خلافٍ محقّق بين قدماء أصحابنا، وقد تواتر نقل اجماعهم عليه من رؤساء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عليه إجماع الفرقة، فإنّهم لا يختلفون في أنّ من شروط الجمعة الإمام، أو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 والعلّامة في بعض كتبه</w:t>
      </w:r>
      <w:r>
        <w:rPr>
          <w:rStyle w:val="FootnoteAnchor"/>
          <w:rtl w:val="true"/>
        </w:rPr>
        <w:footnoteReference w:id="1509"/>
      </w:r>
      <w:r>
        <w:rPr>
          <w:rFonts w:ascii="Amiri" w:hAnsi="Amiri" w:eastAsia="Amiri" w:cs="Amiri"/>
          <w:color w:val="111111"/>
          <w:sz w:val="28"/>
          <w:sz w:val="28"/>
          <w:szCs w:val="28"/>
          <w:rtl w:val="true"/>
          <w:lang w:bidi="ar-SA"/>
        </w:rPr>
        <w:t>، وغيرهم من علمائنا</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بعض المتأخّرين</w:t>
      </w:r>
      <w:r>
        <w:rPr>
          <w:rStyle w:val="FootnoteAnchor"/>
          <w:rtl w:val="true"/>
        </w:rPr>
        <w:footnoteReference w:id="1511"/>
      </w:r>
      <w:r>
        <w:rPr>
          <w:rFonts w:ascii="Amiri" w:hAnsi="Amiri" w:eastAsia="Amiri" w:cs="Amiri"/>
          <w:color w:val="111111"/>
          <w:sz w:val="28"/>
          <w:sz w:val="28"/>
          <w:szCs w:val="28"/>
          <w:rtl w:val="true"/>
          <w:lang w:bidi="ar-SA"/>
        </w:rPr>
        <w:t>من نسبة الخلاف فيه إلى كثيرٍ من القدماء خطأ ومجانبٌ للصّواب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جماعةٌ من المتأخّرين تبعاً للشهيد الثاني</w:t>
      </w:r>
      <w:r>
        <w:rPr>
          <w:rStyle w:val="FootnoteAnchor"/>
          <w:rtl w:val="true"/>
        </w:rPr>
        <w:footnoteReference w:id="1512"/>
      </w:r>
      <w:r>
        <w:rPr>
          <w:rFonts w:ascii="Amiri" w:hAnsi="Amiri" w:eastAsia="Amiri" w:cs="Amiri"/>
          <w:color w:val="111111"/>
          <w:sz w:val="28"/>
          <w:sz w:val="28"/>
          <w:szCs w:val="28"/>
          <w:rtl w:val="true"/>
          <w:lang w:bidi="ar-SA"/>
        </w:rPr>
        <w:t>، إلى نفي الاشتراط، وأنّها واجبة عيناً في زمان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القائلين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التكليف التعييني مع فقد الشرط، مع مشروعيّة إقامتها وهو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مشروعيّة إقامتها مع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يقول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من اختار أنّها تجبُ عيناً بعد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من ذهب الى بقاء استحبابه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الحكم إنّما هو الروايات الواردة في الباب، وقبل الشروع فيها لا بأس بتأسيس الأصل، ليكون هو المرجع عند فقد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مشروعيّتها، ولم يدلّ دليلٌ على وجوبها عيناً أو وجوب الظهر كذلك، فإنْ لم يحتمل التخيّير، فمقتضى العلم الإجمالي بوجوب أحدهما لزوم الإتيان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من انحلال هذا العلم، بناءً على أنّ وجوب الظهر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حين الزّوال، أو من بعد مُضيّ وقت الجمعة على تقدير عدم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ووجوب الجمعة مشكوك فيه، فيدفع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الإجمالي المزبور ينحلّ إلى علمين إجماليّين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الظهر من حين الزّوال الى آخر وقت الجمعة، أو الجمعة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الظهر من بعد مُضيّ وقت الجمعة أو الجمعة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 الإجمالي الأوّل لا ينحلّ بما ذُكر كما لا يخفى‌</w:t>
      </w:r>
      <w:r>
        <w:rPr>
          <w:rFonts w:eastAsia="Amiri" w:cs="Amiri" w:ascii="Amiri" w:hAnsi="Amiri"/>
          <w:color w:val="111111"/>
          <w:sz w:val="28"/>
          <w:szCs w:val="28"/>
          <w:rtl w:val="true"/>
          <w:lang w:bidi="ar-SA"/>
        </w:rPr>
        <w:t xml:space="preserve">. </w:t>
      </w:r>
      <w:bookmarkStart w:id="655" w:name="pg11800_97206"/>
    </w:p>
    <w:p>
      <w:pPr>
        <w:pStyle w:val="BookText"/>
        <w:rPr/>
      </w:pPr>
      <w:bookmarkEnd w:id="655"/>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بوجوب إحداهما ما دام وقت الجمعة يكون باقياً لا يكون منحلّاً، ولكن مع ذلك يمكن أن يقال إنّ مقتضى الإطلاقات وجوب الظهر تعييناً لكلّ أحدٍ، خرج عنه من تجب عليه الجمعة، أو تكون هي مشروعة له، فعلى هذا مقتضى أصالة عدم 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حضور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الظهر، يكون هذا الأصل حاكماً على قاعدة الإشتغال، كما لا يخفى، وإنْ احتمل التخيّير أيضاً، فحيث أنّ الأمر يدور بين التعيين والتخيير، والمختار أنّ المتّبع في هذا المورد أصالة التخيير، فيحكم في المقام بالتخيير، وأنّ كلّ واحدة منهما واجبة بالوجوب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حكم مالو علم مشروعيّتها، وشكّ في وجوبها تعييناً، فإنّ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فلنرجع إلى ما هو المقصود، وهو مايستفاد من الآيات والأخبار في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لوجوب صلاة الجمعة عينيّاً بالكتاب والسُنّة</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10478225_73709187"/>
      <w:bookmarkStart w:id="657" w:name="_Toc248"/>
      <w:bookmarkEnd w:id="656"/>
      <w:r>
        <w:rPr>
          <w:rtl w:val="true"/>
        </w:rPr>
        <w:t>أدلّة وجوبها العيني</w:t>
      </w:r>
      <w:bookmarkEnd w:id="657"/>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w:t>
      </w:r>
      <w:r>
        <w:rPr>
          <w:rStyle w:val="FootnoteAnchor"/>
          <w:rtl w:val="true"/>
        </w:rPr>
        <w:footnoteReference w:id="1513"/>
      </w:r>
      <w:r>
        <w:rPr>
          <w:rFonts w:ascii="Amiri" w:hAnsi="Amiri" w:eastAsia="Amiri" w:cs="Amiri"/>
          <w:color w:val="111111"/>
          <w:sz w:val="28"/>
          <w:sz w:val="28"/>
          <w:szCs w:val="28"/>
          <w:rtl w:val="true"/>
          <w:lang w:bidi="ar-SA"/>
        </w:rPr>
        <w:t>، وتقريب الاستدلال به واضح</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الشريفة ليست في مقام بيان وجوب الإنعقاد، بل في مقام بيان وجوب السّعي إليها بعده، فعلى هذا لو سَلّمنا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 التفسير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الجمعة، إلّاأنّه لا ريب في عدم وجوب السعي إلى مطلق الصَّلاة الّتي يُنادى لها يوم الجمعة، فلا محالة تكون اللّام للعهد، وعليه فالأمر يدور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إشارة إلى الصَّلاة الخاصّة التي كان النبيّ صلى الله عليه و آله أو المنصوبون من قبله يقيمونها في عصر نزول الآية، وعليه فعدم دلالتها على الوجوب عند عدم حضور المعصوم السلطان أو نائبه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يكون إشارة إلى الجمعة التي انعقدت مشروعة، فتدلّ على وجوب السعي إليها بعد الانعقاد كذلك، كما هو خيرة جماعةٍ منهم سيّدنا الاُستاذ</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لا تدلّ على وجوب الانعقاد، حيث أنّها مجملة، فلا تصحّ الاستدلال بها لوجوب السعي بعد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على مَن تجب الجمعة‌؟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سبعة نفرٍ من المسلمين، ولا جمعة لأقلّ من خمسة من المسلمين أحدهم الإمام، فإذا اجتمع سبعة، ولم يخافوا، أمَّهم بعضهم وخطبهم</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بلحاظ صدرها، فيرد عليه أنّ الظاهر كونه مسوقاً لبيان العدد الذي يشترط في الوجوب، وليس في مقام بيان عدد اشتراط شيء آخر، فاحتمال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اشتراط مشروعيّتها أو وجوبها عيناً يقمها الإمام أو نائبه لا يدفع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بالاشتراط، لأنّ المراد منه في هذه الروايات على ما ستعرف إنّما هو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الاستدلال بلحاظ ذيلها،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علمنا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الإمام عليه السلام، بل نحتمل قويّاً أنْ يكون فتوى الصدوق رحمه الله ذكرها في ذيل الرواية، كما هو دأبه رحمه الله كما لا يخفى على من تتبّع في كتبه، وقد أصرّ على عدم كون ما ورد فيه قصد منه الإمام عليه السلام، بعض أعاظم العصر</w:t>
      </w:r>
      <w:r>
        <w:rPr>
          <w:rStyle w:val="FootnoteAnchor"/>
          <w:rtl w:val="true"/>
        </w:rPr>
        <w:footnoteReference w:id="1516"/>
      </w:r>
      <w:r>
        <w:rPr>
          <w:rFonts w:ascii="Amiri" w:hAnsi="Amiri" w:eastAsia="Amiri" w:cs="Amiri"/>
          <w:color w:val="111111"/>
          <w:sz w:val="28"/>
          <w:sz w:val="28"/>
          <w:szCs w:val="28"/>
          <w:rtl w:val="true"/>
          <w:lang w:bidi="ar-SA"/>
        </w:rPr>
        <w:t>الذي هو من المحقّقين والمتتبّعين، وادّعى إنّي مطمئنٌ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بأمّهم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المعهود عندهم لا مطلقة، ويكون المقصود منه دفع توهّم اعتبار كون السبعة، الذين يتعيّن بهم موضوع الوجوب، ما عدا الإمام، فلايمكن الاستدلال بها على عدم اشتراط مشروعيّتها بأن يقيمها السلطان العادل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الاُخرى‌، عن أبي جعفر عليه السلام،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عزّ وجلّ على النّاس من الجمعة إلى الجمعة خمساً وثلاثين صلاة، منها صلاة واحدة، فرضها اللّه عزّ وجلّ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إنّما تكون مسوقة لبيان وجوبها على سبيل الإجمال، وإنّه يشترط فيها الجماعة، وليست في مقام بيان جميع ما يشترط فيها كي يتمسّك بإطلاقها لنفي اشتراط شيءٍ آخر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ومحمّد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في كلّ سبعة أيّام خمساً وثلاثين صلاة واجبة، على كلّ مسلم أن يشهدها إلّاخمسة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تكون مسوقة لبيان أنّه على مَن تجب الحضور، وعلى مَن لاتجب، وليس في مقام بيان شرائطها، حتّى يدفع احتمال اشتراطها بأن يُقيمها الإمام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ضعف الاستدلال على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بالخبر الصحيح الذي رواه منصور،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القوم يوم الجمعة إذا كانوا خمسة فما زادوا، فإنْ كانوا أقلّ من خمسة، فلا جمعة لهم، والجمعة واجبة على كلّ أحدٍ لا يُعذر النّاس فيها إلّاخمسة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والمملوك والمسافر والمريض والصبي</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عمر بن يزيد،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سبعة يوم الجمعة، فليصلّوا في جماعة</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الإمام أمير المؤمنين عليه السلام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والجمعة واجبةٌ على كلّ مؤمن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على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حقٌّ واجبٌ على كلّ مسلم إلّاأربعة</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ممّا يقرب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مسوقة لبيان العدد الذي يعتبر في وجوبها، أو تنعقد به الجمعة، وأنّها لاتجب على طوائف، وليست في مقام بيان كلّ ما يشترط في وجوبها، فلا إطلاق لها ليتمسّك به ويدفع احتمال اشتراط الإمام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ومحمّد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الجمعة ثلاث جُمَع متوالية، طبع اللّه على قلبه</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وجوب الفعل من الدليل المتكفّل لبيان ترتّب العقاب على تركه، إنّما يكون فيما لم يدلّ دليلٌ آخر على وجوبه، وإلّا فلا يدلّ ذلك على الوجوب، والفرق بينهما واضح؛ لأنّ العقاب على ترك فعل المباح لا يصحّ‌، فلا محالة يكون الإخبار عن ترتّبه على ترك فعل لا دليل على وجوبه، إخباراً عن وجوبه بالالتزام، وهذا بخلاف ما ثبت وجوبه بدليل آخر، فإنّ الإخبار عن ترتّب عقاب خاص على تركه لا محذور فيه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ففيما نحن فيه بما أنّ وجوب الجمعة على سبيل الإجمال، كان معلوماً وثابتاً بالأدلّة الاُخر في زمان صدور الخبر،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الوجوب، ولا يكون في مقام بيانه، كي يُتمسّك بإطلاقه لدفع مايحتمل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شرطيّته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الاستشهاد له بقوله صلى الله عليه و آله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ثلاث جُمَع تهاوناً بها طبع اللّه على قلبه</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ثلاث جُمَع متعمّداً من غير عِلّةٍ طبع اللّه على قلبه بخاتم النفاق</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مَنْ تركها لأجل عدم ثبوت وجوبها أو مشروعيّتها لا يصدق أنّه تركها متهاوناً أو متعمّداً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قومٌ في قرية صلّوا الجمعة أربع ركعات، فإنْ كان لهم من يَخطب لهم جمعوا إذا كانوا خمس نفر</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المنصوب من قِبل السلطان العادل، لا كلّ من يقدر على أن يخطب، وذلك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يتمكّن من إتيان الصَّلاة صحيحةً‌، بحيث يجوز الاقتداء به، يكون متمكِّناً من الإتيان بأقلّ المُجزي من الخطبتين، فلو كان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مَنْ يقدر عليه، كان التفصيل بين وجوده وعدمه، والأمر بالجمعة في الأوّل والجماعة في الثاني في غير محلّه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لم يكن وجوب الجمعة مشروطاً بأن يُقيمها شخص خاص، لكان معرفة الخطبة من المقدّمات الوجوديّة للواجب المطلق، فكان يجبُ على كلّ واحدٍ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تحصيلها كفائيّاً، فلا يصحّ تعليق وجوبها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هذه الصحيحة، ظهر ضعف الاستشهاد له بصحيحة محمّد بن مسلم،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اُناسٍ في قرية، هل يُصلّون الجمعة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ويُصلّون أربعاً إذا لم يكن من يخطب</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حثّنا أبو عبد اللّه عليه السلام 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عنيت عندكم</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الصحيحة من أقوى الأدلّة على عدم الوجوب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الحَثّ على شيءٍ ظاهرٌ في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الصحيحة أنّ زرارة وسائر أصحاب الصادق عليه السلام كانوا تاركين لها، مع كونهم قادرين على إقامتها على وجهٍ لا يتوجّه إليهم الضرر من المخالفين، كما يكشف عنه حَثّ أبي عبد اللّه عليه السلام على الفعل، وهذا يكشف عن عدم وجوبها، وإلّا لم يكن ليخفى وجوبها على مثل زرارة الذي هو الراوي لجملة من النصوص التي تُوهم دلالتها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أنّه كان المغروس في إذهان أصحاب الأئمّة، كون إقامتها من وظائف السلطان العادل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ذكرناه في هذه الرواية، ظهر عدم تماميّة الاستشهاد له بموثّقة ابن بكير، عن زرارة، عن عبد الملك، عن 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يهلك ولم يُصلِّ فريضة فرضها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الجمعة </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فإنّ هذه الرواية أيضاً واضحة الدلالة على أنّ أصحاب الأئمّة عليه السلام كانوا يعتقدون أنّه لا جمعة إلّامع الإمام،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هذه الروايات، ظهر حال بقيّة الأخبار التي ذكروها عند تعداد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بإطلاقه على عدم اشتراط وجوبها، بأن يقيمها من بيده اُمور المسلمين أو نائبه لا يدلّ عليه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658" w:name="pg11800_97214"/>
    </w:p>
    <w:p>
      <w:pPr>
        <w:pStyle w:val="Heading6"/>
        <w:numPr>
          <w:ilvl w:val="5"/>
          <w:numId w:val="1"/>
        </w:numPr>
        <w:rPr/>
      </w:pPr>
      <w:bookmarkStart w:id="659" w:name="__RefHeading___Toc10478227_73709187"/>
      <w:bookmarkStart w:id="660" w:name="_Toc249"/>
      <w:bookmarkEnd w:id="658"/>
      <w:bookmarkEnd w:id="659"/>
      <w:r>
        <w:rPr>
          <w:rtl w:val="true"/>
        </w:rPr>
        <w:t>أدلّة اشتراط السلطان العادل</w:t>
      </w:r>
      <w:bookmarkEnd w:id="660"/>
    </w:p>
    <w:p>
      <w:pPr>
        <w:pStyle w:val="BookText"/>
        <w:rPr/>
      </w:pPr>
      <w:r>
        <w:rPr>
          <w:rFonts w:ascii="Amiri" w:hAnsi="Amiri" w:eastAsia="Amiri" w:cs="Amiri"/>
          <w:color w:val="111111"/>
          <w:sz w:val="28"/>
          <w:sz w:val="28"/>
          <w:szCs w:val="28"/>
          <w:rtl w:val="true"/>
          <w:lang w:bidi="ar-SA"/>
        </w:rPr>
        <w:t>ولو تنزّلنا عن المناقشات الآنفة في دلالة الأخبار، وسَلّمنا ثبوت الإطلاق، فيتعيّن تقييده بما يدلّ على الاشتراط، وهو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في كلمات كثيرٍ من الأعاظم</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وجود هذا الخلاف العظيم، كيف يبقى مجالٌ لدعواه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وجه حجيّة الإجماع قاعدة اللّطف، لكانت هذه المناقشة صحيحة، ولكن ليست هذه القاعدة ملاك حجيّته، بل هو استكشاف رأي المعصوم بطريق الحدس من فتوى أساطين الفنّ‌، المتبحّرين في صنعتهم، وهذا يختلف باختلاف الموارد، ففيما نحن فيه بما أنّ الجمعة لو كانت واجبة مع عدم الإمام أو نائبه، لما كان يختفي على أحد من العوام، لكثرة الابتلاء بها، ولصار من ضروريّات الدِّين، فمن وجود الخلاف فيه، فضلاً عن اشتهار القول بعدم وجوبها أو عدم مشروعيّتها، يستكشف رأي المعصوم عليه السلام بالحَدس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عدم وجوب السّعي إليها على من هو بعيدٌ عنها بفرسخين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الفضل،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وجبت الجمعة على من يكون على فرسخين لا أكثر</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واجبة على من إنْ صَلّى الغداة </w:t>
      </w:r>
    </w:p>
    <w:p>
      <w:pPr>
        <w:pStyle w:val="BookText"/>
        <w:rPr/>
      </w:pPr>
      <w:r>
        <w:rPr>
          <w:rFonts w:ascii="Amiri" w:hAnsi="Amiri" w:eastAsia="Amiri" w:cs="Amiri"/>
          <w:color w:val="111111"/>
          <w:sz w:val="28"/>
          <w:sz w:val="28"/>
          <w:szCs w:val="28"/>
          <w:rtl w:val="true"/>
          <w:lang w:bidi="ar-SA"/>
        </w:rPr>
        <w:t>في أهله أدرك الجمعة</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ممّا يقرب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سقوطها عمّن بَعُد عنها بفرسخين، فلو كانت الجمعة واجبة من غير اشتراط بأن يقيمها السلطان العادل أو نائبه، لكان الواجب عليهم الاجتماع، وإقامة الجمعة في مناطقهم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مقام بيان حكم عابري السبيل ونحوهم، فيكون عدم الوجوب لأجل عدم وجود عدّة أشخاص من المسلمين ينعقد بهم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إنّ هذه الروايات مسوقة لبيان حكم سكنة البراري والأمصار البعيدة عن المصر والقُرى التي تُقام فيه الجمعة كما لا يخفى على المتدبّر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تنزيلها على مورد عدم وجود من يصلح للإمامة، لعدم إحراز عدالته، أو عدم معرفته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الغالب وجود أئمّة الجماعة في تلك الأماكن، كما تشهد به بعض تلك الأخبار، كما أنّه قد عرفت أنّ الغالب تمكّن من يقرأ الصَّلاة الإتيان بأقلّ المُجزي من الخطبتين، مضافاً إلى أنّه على تقدير الوجوب العيني، يصير معرفة الخطبة من المقدّمات الوجوديّة فيجب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فساد الاستدلال بهذه الروايات على القول بالوجوب العيني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ظهر أيضاً أنّ من تلك الطوائف، الروايات الدالّة على عدم وجوبها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حفص،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أهل القرى جمعة</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محمّد بن مسلم المتقدّمة التي ذكرناها في أعداد ما استدلّ به على الوجوب</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وموثّقة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قومٍ في قرية ليس لهم من يجمع بهم، أيُصلّون الظهر يوم الجمعة في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يخافوا</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طلحة،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إلّافي مصرٍ تُقام فيه الحدود</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الصَّلاة ركعتين انما هي فيما إذا كانت مع الإمام، الصريحة في إرادة من بيده الأمر لا إمام الجماعة؛ كموثّقة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الصَّلاة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الإمام فركعتان، وأمّا لمن صَلّى وحده فهي أربع ركعات، وإنْ صَلّوا جماعة</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موثّقته الاُخرى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أنّ إقامة الجمعة من مناصب وليّ أمر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الحكم ولا الحدود ولا الجمعة إلّاللإمام أو من يقيمه الإمام</w:t>
      </w:r>
      <w:r>
        <w:rPr>
          <w:rFonts w:eastAsia="Amiri" w:cs="Amiri" w:ascii="Amiri" w:hAnsi="Amiri"/>
          <w:color w:val="111111"/>
          <w:sz w:val="28"/>
          <w:szCs w:val="28"/>
          <w:rtl w:val="true"/>
          <w:lang w:bidi="ar-SA"/>
        </w:rPr>
        <w:t>»</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والمرويّفي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إنّ‌الجمعة والحكومة لإمام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رسالة الفاضل ابن عصفور مرسلاً عنهم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الجمعة لنا والجماعة لشيعتنا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الخمس و لنا الأنفال، و لنا الجمعة و لنا صفوة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والحدود، والجمعة، والصدقات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الجمعة والحكومة لإمام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عليّ بن الحسين، عن أبيه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ولا الحدود ولا الجمعة إلّابإمام</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الجمعة وثاني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 هذا المقام لخلفائك وأصفيائك، ومواضع اُمنائك، في الدّرجه الرفيعة، والتي اختصصتهم بها قد ابتزّوها، وأنتَ المقدّر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صفوتك وخلفائك مغلوبين مقهورين مبتزّين، يرون حُكمك مبدّلاً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إلعن أعداءهم من الأوّلين والآخرين، ومن رضي بفعالهم، وأشياعهم وأتباعهم</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بالوجوب العيني ضعيفٌ غايته، وأنّه لا يتعيّن فعلها بدون السلطان العادل أو نائبه، لا قبل الاجتماع ولا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ما ذكرناه أنّ أدلّة الوجوب لا إطلاق لها، وأنّه لو ثبت تعيّن تقييده بما دلّ على الاشتراط وعدم مشروعيّتها، وأنّها تكون حراماً بدون الإمام أو نائبه، كما هو مختار جماعة من القدماء والمتأخّرين، لعدم الدليل على المشروعيّة سوى ما دلّ على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للقول بالاستحباب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بصحيحة زرارة المتقدّمة، التي ورد فيها الحَثّ على فعلها، وصحيحته الاُخرى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 سبعة، ولم يخافوا أمَّهم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عبد الملك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جواز إقامتها لأهل القرية التي فيها جمعٌ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وبالروايات الواردة في كيفيّة الجمعة وأحكامها في زمان قصور أيديهم الشريفة، كخبر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إليهم في هذا، إذا صلّيتم في جماعةٍ ففي الرّكعة الاُولى‌، وإذا صَلّيتم وحداناً ففي الرّكعة الثانية</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حيث أنّ الظاهر منها إرادة بيان ذلك للرواة وأصحابهم عليهم السلام، ليصلّوا حال التمكّن وعدم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حَثّه عليه السلام على فعلها يمكن أن يكون إذناً في إقامتها أو مقترناً معه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عدم ثبوت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كلامه عليه السلام، واحتمال إرادة البعض المعيّن من بعضهم، فراجع</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إقامتها، فلا يدلّ على مشروعيّتها مع عدم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جواز إقامتها لأهل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قيّد الجواز فيه بما إذا كان لهم من يَخطب لهم، وقد عرفت أنّ المراد منه المنصوب من قبل الإمام عليه السلام، لا كلّ من يقدر على أن يخطب، فلا يدلّ على مشروعيّة إقامتها بغير إمام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كيفيّة الجمعة وبعض أحكامها؛ فلأنّها لا تدلّ على عدم اشتراط المشروعيّة، بأن يقيمها السّلطان العادل أو نائبه، لورودها في مقام بيان حكم آخر، وإنْ كانت مشعرة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فالاحتياط بإتيان الظهر بعد الإتيان بها لا يُترك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661" w:name="pg11800_97220"/>
    </w:p>
    <w:p>
      <w:pPr>
        <w:pStyle w:val="Heading6"/>
        <w:numPr>
          <w:ilvl w:val="5"/>
          <w:numId w:val="1"/>
        </w:numPr>
        <w:rPr/>
      </w:pPr>
      <w:bookmarkStart w:id="662" w:name="__RefHeading___Toc10478229_73709187"/>
      <w:bookmarkStart w:id="663" w:name="_Toc250"/>
      <w:bookmarkEnd w:id="661"/>
      <w:bookmarkEnd w:id="662"/>
      <w:r>
        <w:rPr>
          <w:rtl w:val="true"/>
        </w:rPr>
        <w:t>ولاية الفقيه</w:t>
      </w:r>
      <w:bookmarkEnd w:id="663"/>
    </w:p>
    <w:p>
      <w:pPr>
        <w:pStyle w:val="BookText"/>
        <w:rPr/>
      </w:pPr>
      <w:r>
        <w:rPr>
          <w:rFonts w:ascii="Amiri" w:hAnsi="Amiri" w:eastAsia="Amiri" w:cs="Amiri"/>
          <w:color w:val="111111"/>
          <w:sz w:val="28"/>
          <w:sz w:val="28"/>
          <w:szCs w:val="28"/>
          <w:rtl w:val="true"/>
          <w:lang w:bidi="ar-SA"/>
        </w:rPr>
        <w:t>ثمّ إنّه قد يتوهّم أنّه وإنْ سُلّم كون إقامة الجمعة من مناصب الإمام عليه السلام، إلّاأنّ الأدلّة الدالّة على عموم ولاية الفقيه، وأنّه نائبُ الإمام عليه السلام تدلّ على التوسعة، وأنّ الشرط أعمٌّ من أنْ يُقيمها الإمام عليه السلام أو نائبه وهو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ما للإمام من المناصب يكون للفقيه في زمان الغيبة، يدلّ على أنّ للفقيه إقامة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ممّا توهم أنْ يكون دليلاً على النيابة بهذا المعنى، وذلك لأنّ الأخبار الواردة في شأن العلماء، مثل ما عن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 الواصفة للفقهاء والعلماء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xml:space="preserve">،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اُمناءُ الرّسل</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 وغيرهما ممّا يقرب هذا المضمون، لا تدلّ على أزيد من لزوم أخذ الأحكام منهم كما يظهر لمن تدبّر فيها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من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اُمّتي كأنبياء بني إسرائيل قبلي</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 فلأجل التشبيه بسائر الأنبياء، لا نفس النبيّ صلى الله عليه و آله، يكون ظاهراً فيما هو ظاهر غيره ممّا تقدّم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الاُمور والأحكام على أيدي العلماء باللّه، الاُمناء علي حلاله وحرامه</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على الاستدلال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 السلام، فإنّهم العلماء باللّه، وأمّا الفقهاء فهم العلماء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الاُمناء على حلاله وحرامه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مختصّاً بالأحكام الشرعيّة، وظاهراً في أنّهم المرجع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ضعف الاستشهاد بما رُوي عن النبيّ صلى الله عليه و آله بطرق عديدة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جَعَلته عليكم حاكماً</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مشهورة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عليكم قاضياً</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يفهم منهما إلّاأنّ له وظيفة الحكم، وفصل الخصومة، وغير ذلك ممّا يعدّ من شؤون القضاة، فلا يدلّان على قيامه مقام الإمام في إقامة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التوقيع المرويّ عن صاحب الزمان عَجّل اللّه فرجه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أحاديثنا،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العلّامة الأنصاري رحمه الله</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التوقيع على عموم النيابة واضحة،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مطلق الاُمور التي لابدّ من الرجوع فيها عقلاً أو عرفاً أو شرعاً إلى الرئيس، مثل النظر في أموال القاصرين وإقامة الجمعة، وأمّا تخصيصها بخصوص المسائل الشرعيّة فبعيدٌ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وكول نفس الحادثة إليه، ليباشر أمرها مباشرة أو استنابة، لا الرجوع في حكمها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 عليكم وأنا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إنّما يناسب الاُمور التي يكون المرجع فيها هو الرأي والنظر، وهذا منصب ولاة الإمام عليه السلام من قبل نفسه، لا أنّه واجب من قبل اللّه سبحانه على الفقيه، وإلّا كان الأنسب أن يقول إنّهم حُجَج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الرجوع الى العلماء في المسائل الشرعيّة من البديهيّات، وليس ممّا يخفى على إسحاق بن يعقوب حتّى يكتبه في عِداد مسائل أُشكلت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فرقٌ واضح بين التعبير بإرجاع الشيء إلى شخصٍ‌، وبين التعبير بالرجوع فيه إليه، فإنّ الظاهر من الأوّل إيكال نفسه إليه، ومن الثاني الرجوع في حكمه إليه، وفي التوقيع حيثُ يكون بالثاني، فلا محالة يكون ظاهراً في الرجوع إليهم في الأحكام الشرعيّة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العلماء بما أنّهم يتلقّون الأحكام من الأئمّة عليهم السلام، وهم من اللّه تعالى، فحجيّة قولهم تكون طوليّة، فلذا يصحّ القول بأنّهم حجّة من قِبل الأئمّة عليهم السلام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من قِبل اللّه تعالى في مقام بيان أنّهم مراجع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دأب الرواة إنّما هو السؤال عن الاُمور حتّى ما كان من الواضحات، مضافاً إلى أنّ من المحتمل أنّ السؤال كان عن الخصوصيّات، كاشتراط الرجوع بأن يكون من يرجع إليه أعلم من غيره، فيكون جوابه عليه السلام دليلاً على عدم اشتراطه بشيء، ويؤيّده استدلال بعضٍ به على عدم وجوب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التوقيع الشريف لا يدلّ على أزيد من وجوب الرجوع الى الفقهاء في المسائل الشرعيّة، هذا مضافاً إلى أنّه لو سُلّم دلالة التوقيع على أنّه لابدَّ من الرجوع الى الفقيه في مطلق الاُمور التي يرجع فيها إلى الرئيس، فغاية ما يدلّ عليه إنّما هو وجوب إيكال المعروف المأذون فيه إليه لتقع خصوصيّاته عن نظره ورأيه، وأمّا مشروعيّة تصرّف خاصٍّ في النفس أو المال أو العِرض أو إيكال أفعال خاصّة إليه كإقامة الجمعة فالتوقيع لا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من جميع ما ذكرناه أنّه لا دليل على أنّ الفقيه منصوبٌ من قِبل الإمام عليه السلام لما يَعمّ مثل إقامة الجمعة، كما يظهر أنّه على فرض مشروعيّة الجمعة في زمان الغيبة، فإنّه لا وجه للقول باختصاص جواز إقامتها بالفقيه، كما عن المحقّق الثاني رحمه الله</w:t>
      </w:r>
      <w:r>
        <w:rPr>
          <w:rStyle w:val="FootnoteAnchor"/>
          <w:rtl w:val="true"/>
        </w:rPr>
        <w:footnoteReference w:id="1555"/>
      </w:r>
      <w:r>
        <w:rPr>
          <w:rFonts w:ascii="Amiri" w:hAnsi="Amiri" w:eastAsia="Amiri" w:cs="Amiri"/>
          <w:color w:val="111111"/>
          <w:sz w:val="28"/>
          <w:sz w:val="28"/>
          <w:szCs w:val="28"/>
          <w:rtl w:val="true"/>
          <w:lang w:bidi="ar-SA"/>
        </w:rPr>
        <w:t>، وقد أشبعنا الكلام في ولاية الفقيه، ذيل البحث عن ولاية الحاكم الشرعي، فانتظر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64" w:name="pg11800_97224"/>
    </w:p>
    <w:p>
      <w:pPr>
        <w:pStyle w:val="BookText"/>
        <w:rPr/>
      </w:pPr>
      <w:bookmarkEnd w:id="664"/>
      <w:r>
        <w:rPr>
          <w:rFonts w:ascii="Amiri" w:hAnsi="Amiri" w:eastAsia="Amiri" w:cs="Amiri"/>
          <w:color w:val="111111"/>
          <w:sz w:val="28"/>
          <w:sz w:val="28"/>
          <w:szCs w:val="28"/>
          <w:rtl w:val="true"/>
          <w:lang w:bidi="ar-SA"/>
        </w:rPr>
        <w:t>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 نفر أحدهم الإمام</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0478231_73709187"/>
      <w:bookmarkStart w:id="666" w:name="_Toc251"/>
      <w:bookmarkEnd w:id="665"/>
      <w:r>
        <w:rPr>
          <w:rtl w:val="true"/>
        </w:rPr>
        <w:t>في اشتراط العدد</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المقدارالمعتبر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خمسة نفر أحدهم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556"/>
      </w:r>
      <w:r>
        <w:rPr>
          <w:rFonts w:ascii="Amiri" w:hAnsi="Amiri" w:eastAsia="Amiri" w:cs="Amiri"/>
          <w:color w:val="111111"/>
          <w:sz w:val="28"/>
          <w:sz w:val="28"/>
          <w:szCs w:val="28"/>
          <w:rtl w:val="true"/>
          <w:lang w:bidi="ar-SA"/>
        </w:rPr>
        <w:t>والشيخ</w:t>
      </w:r>
      <w:r>
        <w:rPr>
          <w:rStyle w:val="FootnoteAnchor"/>
          <w:rtl w:val="true"/>
        </w:rPr>
        <w:footnoteReference w:id="1557"/>
      </w:r>
      <w:r>
        <w:rPr>
          <w:rFonts w:ascii="Amiri" w:hAnsi="Amiri" w:eastAsia="Amiri" w:cs="Amiri"/>
          <w:color w:val="111111"/>
          <w:sz w:val="28"/>
          <w:sz w:val="28"/>
          <w:szCs w:val="28"/>
          <w:rtl w:val="true"/>
          <w:lang w:bidi="ar-SA"/>
        </w:rPr>
        <w:t>والقاضي</w:t>
      </w:r>
      <w:r>
        <w:rPr>
          <w:rStyle w:val="FootnoteAnchor"/>
          <w:rtl w:val="true"/>
        </w:rPr>
        <w:footnoteReference w:id="155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انعقادها بخمسة؛ كصحيحة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الخطبة والجمعة وصلاة ركعتين على أقلّ من خمسة رهطٍ؛ الإمام وأربعة</w:t>
      </w:r>
      <w:r>
        <w:rPr>
          <w:rFonts w:eastAsia="Amiri" w:cs="Amiri" w:ascii="Amiri" w:hAnsi="Amiri"/>
          <w:color w:val="111111"/>
          <w:sz w:val="28"/>
          <w:szCs w:val="28"/>
          <w:rtl w:val="true"/>
          <w:lang w:bidi="ar-SA"/>
        </w:rPr>
        <w:t>»</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السبعة، كصحيحة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سبعة نفرٍ من المسلمين، ولا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الاكتفاء بأحد الأمرين؛ كخبر أبي العبّاس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الجمعة سبعة أو خمسة أدناه</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تجب الجمعة‌؟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على سبعة نفر من المسلمين، ولا جمعة لأقلّ من خمسة من المسلمين أحدهم الإمام</w:t>
      </w:r>
      <w:r>
        <w:rPr>
          <w:rFonts w:eastAsia="Amiri" w:cs="Amiri" w:ascii="Amiri" w:hAnsi="Amiri"/>
          <w:color w:val="111111"/>
          <w:sz w:val="28"/>
          <w:szCs w:val="28"/>
          <w:rtl w:val="true"/>
          <w:lang w:bidi="ar-SA"/>
        </w:rPr>
        <w:t>»</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الأخبار كون السبعة شرطاً للوجوب، والخمسة للمشروعيّة، فتُحمل أخبار الخمسة على بيان المشروعيّة، وأخبار السبعة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اليزدي رحمه الله</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المذكورة واردة في زمان قصور يد الإمام عليه السلام، فلا يصحّ الحمل المزبور على مذهب من لا يقول بالوجوب التعييني، في زمن قصور يد الإمام عليه السلام، فالمتعيّن حملها على مرتبتي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الأخبار إنّما وردت لبيان حكم وضعي، وهو الاشتراط، وأخبار السبعة تدلّ على اشتراط الوجوب بها، وعدم وجوبها في زمن قصور يد الإمام لفقدان شرطٍ آخر للوجوب، وهو أن يُقيمها السلطان العادل، ومشروعيّة إقامتها في هذا الحال لدليلٍ آخر لا تنافي ذلك، كما لا يخفى على المتدبّر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67" w:name="pg11800_97226"/>
    </w:p>
    <w:p>
      <w:pPr>
        <w:pStyle w:val="BookText"/>
        <w:rPr/>
      </w:pPr>
      <w:bookmarkEnd w:id="667"/>
      <w:r>
        <w:rPr>
          <w:rFonts w:ascii="Amiri" w:hAnsi="Amiri" w:eastAsia="Amiri" w:cs="Amiri"/>
          <w:color w:val="111111"/>
          <w:sz w:val="28"/>
          <w:sz w:val="28"/>
          <w:szCs w:val="28"/>
          <w:rtl w:val="true"/>
          <w:lang w:bidi="ar-SA"/>
        </w:rPr>
        <w:t>والخطبتان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حَمدُ اللّه تعالى والصَّلاة على النبيّ وآله</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10478233_73709187"/>
      <w:bookmarkStart w:id="669" w:name="_Toc252"/>
      <w:bookmarkEnd w:id="668"/>
      <w:r>
        <w:rPr>
          <w:rtl w:val="true"/>
        </w:rPr>
        <w:t>في اشتراط الخطبتين</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الخطبتان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من الشرائط، بل هما كنفس الصَّلاة يجبُ إيجادهما عند تحقّق شرائط الوجوب، فهما من شرائط الصحّة، ولاتصحّ الجمعة بدونهما، بلا خلافٍ فيه عندنا</w:t>
      </w:r>
      <w:r>
        <w:rPr>
          <w:rStyle w:val="FootnoteAnchor"/>
          <w:rtl w:val="true"/>
        </w:rPr>
        <w:footnoteReference w:id="1565"/>
      </w:r>
      <w:r>
        <w:rPr>
          <w:rFonts w:ascii="Amiri" w:hAnsi="Amiri" w:eastAsia="Amiri" w:cs="Amiri"/>
          <w:color w:val="111111"/>
          <w:sz w:val="28"/>
          <w:sz w:val="28"/>
          <w:szCs w:val="28"/>
          <w:rtl w:val="true"/>
          <w:lang w:bidi="ar-SA"/>
        </w:rPr>
        <w:t>، وتدلّ عليه الروايات المستفيضة، فلا يُعبأ إلى ما عن بعض أهل الخلاف</w:t>
      </w:r>
      <w:r>
        <w:rPr>
          <w:rStyle w:val="FootnoteAnchor"/>
          <w:rtl w:val="true"/>
        </w:rPr>
        <w:footnoteReference w:id="1566"/>
      </w:r>
      <w:r>
        <w:rPr>
          <w:rFonts w:ascii="Amiri" w:hAnsi="Amiri" w:eastAsia="Amiri" w:cs="Amiri"/>
          <w:color w:val="111111"/>
          <w:sz w:val="28"/>
          <w:sz w:val="28"/>
          <w:szCs w:val="28"/>
          <w:rtl w:val="true"/>
          <w:lang w:bidi="ar-SA"/>
        </w:rPr>
        <w:t>من الاجتزاء بخطبة واحدة أو بلا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كلّ واحدةٍ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كموثّقة سماعة،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الذي يخطب بالنّاس يوم الجمعة، أن يلبس عمامة في الشتاء والصيف، ويتردّى ببرد يمنيّة أو عَدَني، ويخطب بالنّاس وهو قائمٌ يحمد اللّه ويُثني عليه، ثمّ يُوصي بتقوى اللّه، ثمّ يقرأ سورةً من القرآن صغيرة، ثمّ يجلس، ثمّ يقوم فيحمد اللّه ويُثني عليه، ويُصلّي على النبيّ وآله وعلى أئمّة المسلمين، ويستغفر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والوعظ، وقِراءة سُورةٍ خفيفة من القرآن،</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5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572"/>
      </w:r>
      <w:r>
        <w:rPr>
          <w:rFonts w:ascii="Amiri" w:hAnsi="Amiri" w:eastAsia="Amiri" w:cs="Amiri"/>
          <w:color w:val="111111"/>
          <w:sz w:val="28"/>
          <w:sz w:val="28"/>
          <w:szCs w:val="28"/>
          <w:rtl w:val="true"/>
          <w:lang w:bidi="ar-SA"/>
        </w:rPr>
        <w:t>، والسيّد</w:t>
      </w:r>
      <w:r>
        <w:rPr>
          <w:rStyle w:val="FootnoteAnchor"/>
          <w:rtl w:val="true"/>
        </w:rPr>
        <w:footnoteReference w:id="15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فإنّه أوجب بالخطبة الاُولى الشهادة، وفي الثانية الصَّلاة عليه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فابتدأ بالخطبة الأُولى‌، مُعلناً بالتحميد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وشاهداً لمحمّد نبيّه صلى الله عليه و آله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فيفتتح الخطبة الثانية بالحمد للّه، والاستغفار، والصَّلاة على النبيّ وعلى آله عليهم السلام، ويُثني عليهم بما هُمّ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في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ما يمكن الاستدلال به لاعتبارها سوى الإجماع المنقول، منحصرٌ بموثّقة سماعة، وهي تدلّ على وجوبها في الثانية فقط، فالقول المحكيّ عن السيّد والمحقّق والحِلّي هو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وطريق الاحتياط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أيضاً لدى الأكثر</w:t>
      </w:r>
      <w:r>
        <w:rPr>
          <w:rStyle w:val="FootnoteAnchor"/>
          <w:rtl w:val="true"/>
        </w:rPr>
        <w:footnoteReference w:id="1574"/>
      </w:r>
      <w:r>
        <w:rPr>
          <w:rFonts w:ascii="Amiri" w:hAnsi="Amiri" w:eastAsia="Amiri" w:cs="Amiri"/>
          <w:color w:val="111111"/>
          <w:sz w:val="28"/>
          <w:sz w:val="28"/>
          <w:szCs w:val="28"/>
          <w:rtl w:val="true"/>
          <w:lang w:bidi="ar-SA"/>
        </w:rPr>
        <w:t xml:space="preserve">في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 وقراءة سُورةٍ خفيفة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الدليل عليه إنّما هو وجوب الوعظ وقراءة السَّورة في الاُولى‌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وجوبها في الثانية، فلم يدلّ دليلٌ عليه، لأنّ عمدة الدليل هي الموثّقة المتقدّمة، وأمّا الروايات</w:t>
      </w:r>
      <w:r>
        <w:rPr>
          <w:rStyle w:val="FootnoteAnchor"/>
          <w:rtl w:val="true"/>
        </w:rPr>
        <w:footnoteReference w:id="1575"/>
      </w:r>
      <w:r>
        <w:rPr>
          <w:rFonts w:ascii="Amiri" w:hAnsi="Amiri" w:eastAsia="Amiri" w:cs="Amiri"/>
          <w:color w:val="111111"/>
          <w:sz w:val="28"/>
          <w:sz w:val="28"/>
          <w:szCs w:val="28"/>
          <w:rtl w:val="true"/>
          <w:lang w:bidi="ar-SA"/>
        </w:rPr>
        <w:t>الحاكية للخُطَب التي أنشأها الأئمّة عليهم السلام، فلا يستفاد منها الوجوب كما لا يخفى‌، ومع ذلك لا يُترك الاحتياط بإتيانهما في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70" w:name="pg11800_97228"/>
    </w:p>
    <w:p>
      <w:pPr>
        <w:pStyle w:val="BookText"/>
        <w:rPr/>
      </w:pPr>
      <w:bookmarkEnd w:id="670"/>
      <w:r>
        <w:rPr>
          <w:rFonts w:ascii="Amiri" w:hAnsi="Amiri" w:eastAsia="Amiri" w:cs="Amiri"/>
          <w:color w:val="111111"/>
          <w:sz w:val="28"/>
          <w:sz w:val="28"/>
          <w:szCs w:val="28"/>
          <w:rtl w:val="true"/>
          <w:lang w:bidi="ar-SA"/>
        </w:rPr>
        <w:t>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هناك جمعةٌ اُخرى بينهما أقلّ من ثلاثة أميال</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0478235_73709187"/>
      <w:bookmarkStart w:id="672" w:name="_Toc253"/>
      <w:bookmarkEnd w:id="671"/>
      <w:r>
        <w:rPr>
          <w:rtl w:val="true"/>
        </w:rPr>
        <w:t>الجماعة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فرادى بلا شبهة، بل كاد أن يكون من ضروريّات الدين، والنصوص الدالّة عليه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الخلاف في أنّه لو دخلوا في الصَّلاة فانفضّ العدد المعتبر، فهل تبطل الصَّلاة، أو أنّه يجب الإتمام جمعة أو ظهراً؟</w:t>
      </w:r>
    </w:p>
    <w:p>
      <w:pPr>
        <w:pStyle w:val="BookText"/>
        <w:rPr/>
      </w:pPr>
      <w:r>
        <w:rPr>
          <w:rFonts w:ascii="Amiri" w:hAnsi="Amiri" w:eastAsia="Amiri" w:cs="Amiri"/>
          <w:color w:val="111111"/>
          <w:sz w:val="28"/>
          <w:sz w:val="28"/>
          <w:szCs w:val="28"/>
          <w:rtl w:val="true"/>
          <w:lang w:bidi="ar-SA"/>
        </w:rPr>
        <w:t>الأقوى هو الأوّل، لأنّ ظاهر الأدلّة اشتراطها في جميع الصَّلاة، وارتكاب التأويل فيما دلَّ على أنّ اللّه فرضها في الجماعة على إرادتها في البعض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لوجوب المُضيّ‌، بما يدلّ على النهي عن إبطال العمل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 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فليضف إليها اُخرى‌</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 ضعيفٌ‌، إذ المتبادر منه إرادة بيان حكم المأموم المسبوق، فلا دخل له بما نحن فيه</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10478237_73709187"/>
      <w:bookmarkStart w:id="674" w:name="_Toc254"/>
      <w:bookmarkEnd w:id="673"/>
      <w:r>
        <w:rPr>
          <w:rtl w:val="true"/>
        </w:rPr>
        <w:t>أنْ لا يكون هناك جمعةٌ اُخرى بينهما</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هناك جمعةٌ اُخرى بينهما أقلّ من ثلاثة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على الظاهر فيه بيننا، وعن غير واحدٍ</w:t>
      </w:r>
      <w:r>
        <w:rPr>
          <w:rStyle w:val="FootnoteAnchor"/>
          <w:rtl w:val="true"/>
        </w:rPr>
        <w:footnoteReference w:id="157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الجماعتين ثلاثة أميال، يعني لا تكون جمعة إلّافيما بينه وبين ثلاثة أميال، وليس تكون جمعة إلّابخطبة،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بين الجماعتين ثلاثة أميال، فلا بأس أن يجمع هؤلاء ويجمع هؤلاء</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منها موثّقته</w:t>
      </w:r>
      <w:r>
        <w:rPr>
          <w:rStyle w:val="FootnoteAnchor"/>
          <w:rtl w:val="true"/>
        </w:rPr>
        <w:footnoteReference w:id="1579"/>
      </w:r>
      <w:r>
        <w:rPr>
          <w:rFonts w:ascii="Amiri" w:hAnsi="Amiri" w:eastAsia="Amiri" w:cs="Amiri"/>
          <w:color w:val="111111"/>
          <w:sz w:val="28"/>
          <w:sz w:val="28"/>
          <w:szCs w:val="28"/>
          <w:rtl w:val="true"/>
          <w:lang w:bidi="ar-SA"/>
        </w:rPr>
        <w:t>، فعلى هذا لو اقترنت الجمعتان في أقلّ من الحَدّ المذكور بطلتا، لأنّ الحكم بصحّتهما معاً ينافي اشتراط الوحدة، وإحداهما دون الاُخرى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سبقت إحداهما ولو بتكبيرة الإحرام، بطلت المتأخّرة</w:t>
      </w:r>
      <w:r>
        <w:rPr>
          <w:rStyle w:val="FootnoteAnchor"/>
          <w:rtl w:val="true"/>
        </w:rPr>
        <w:footnoteReference w:id="1580"/>
      </w:r>
      <w:r>
        <w:rPr>
          <w:rFonts w:ascii="Amiri" w:hAnsi="Amiri" w:eastAsia="Amiri" w:cs="Amiri"/>
          <w:color w:val="111111"/>
          <w:sz w:val="28"/>
          <w:sz w:val="28"/>
          <w:szCs w:val="28"/>
          <w:rtl w:val="true"/>
          <w:lang w:bidi="ar-SA"/>
        </w:rPr>
        <w:t>بلا خلافٍ‌، وأمّا السابقة فقد حُكي الإجماع</w:t>
      </w:r>
      <w:r>
        <w:rPr>
          <w:rStyle w:val="FootnoteAnchor"/>
          <w:rtl w:val="true"/>
        </w:rPr>
        <w:footnoteReference w:id="1581"/>
      </w:r>
      <w:r>
        <w:rPr>
          <w:rFonts w:ascii="Amiri" w:hAnsi="Amiri" w:eastAsia="Amiri" w:cs="Amiri"/>
          <w:color w:val="111111"/>
          <w:sz w:val="28"/>
          <w:sz w:val="28"/>
          <w:szCs w:val="28"/>
          <w:rtl w:val="true"/>
          <w:lang w:bidi="ar-SA"/>
        </w:rPr>
        <w:t>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 رحمه الله</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النص والإجماع إنّما هو اعتبار الفصل بين الجمعتين الصحيحتين، فالثانية غير صالحة للمانعيّة عن صحّة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اعتبار الفصل بين الصحيحتين الصحيحتان من جميع الجهات، فهو غير معقول، وإنْ اُريد الصحيحتان من غير ناحية الاجتماع، فكما أنّ السابقة صحيحة كذلك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ابتناء صحّة السابقة وفسادها، على أنّ المانع في كلّ صلاة جمع المكلّف إيّاها مع صلاةٍ اُخرى أو مجرّد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لأنّ الجمع في الفرض مستندٌ إلى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لأنّ لكلّ منهما دخلاً في بقاء الاجتماع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النصوص هو الأوّل، فلاحظ</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75" w:name="pg11800_97230"/>
    </w:p>
    <w:p>
      <w:pPr>
        <w:pStyle w:val="BookText"/>
        <w:rPr/>
      </w:pPr>
      <w:bookmarkEnd w:id="675"/>
      <w:r>
        <w:rPr>
          <w:rFonts w:ascii="Amiri" w:hAnsi="Amiri" w:eastAsia="Amiri" w:cs="Amiri"/>
          <w:color w:val="111111"/>
          <w:sz w:val="28"/>
          <w:sz w:val="28"/>
          <w:szCs w:val="28"/>
          <w:rtl w:val="true"/>
          <w:lang w:bidi="ar-SA"/>
        </w:rPr>
        <w:t>وتجبُ مع الشرائط على كلّ مكلّفٍ حُرّ ذكرٍ سليمٍ من المرض والعَمى والعَرَج، وأنْ لا يكون هماً ولا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بينه وبين الجمعة أزيد من فرسخين، لم يجب الحضور</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0478239_73709187"/>
      <w:bookmarkStart w:id="677" w:name="_Toc255"/>
      <w:bookmarkEnd w:id="676"/>
      <w:r>
        <w:rPr>
          <w:rtl w:val="true"/>
        </w:rPr>
        <w:t>من تجبُ عليه الجمعة</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الشرائط على كلّ مكلّفٍ حُرٍّ، ذكرٍ سَليمٍ من المَرَض والعَمى والعَرَج، وأنْ لايكون هَماً ولا مسافراً، ولو كان بينه وبين الجمعة أزيد من فرسخين لم يجب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لذلك كلّه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فَرض اللّه عزّ وجلّ على النّاس من الجمعة إلى الجمعة خمساً وثلاثين صلاة، منها صلاة واحدة فَرَضها اللّه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العبد والمرأة والمريض والأعمى‌، ومَنْ كان على رأس فرسخين</w:t>
      </w:r>
      <w:r>
        <w:rPr>
          <w:rFonts w:eastAsia="Amiri" w:cs="Amiri" w:ascii="Amiri" w:hAnsi="Amiri"/>
          <w:color w:val="111111"/>
          <w:sz w:val="28"/>
          <w:szCs w:val="28"/>
          <w:rtl w:val="true"/>
          <w:lang w:bidi="ar-SA"/>
        </w:rPr>
        <w:t>»</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شيءٍ من النصوص التعرّض للعَرَج إلّاما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حيث روى أنّ العرج عُذر، ولكن لضعف سنده لا يعتمد عليه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بالشهرة،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بتصريح جماعة</w:t>
      </w:r>
      <w:r>
        <w:rPr>
          <w:rStyle w:val="FootnoteAnchor"/>
          <w:rtl w:val="true"/>
        </w:rPr>
        <w:footnoteReference w:id="1584"/>
      </w:r>
      <w:r>
        <w:rPr>
          <w:rFonts w:ascii="Amiri" w:hAnsi="Amiri" w:eastAsia="Amiri" w:cs="Amiri"/>
          <w:color w:val="111111"/>
          <w:sz w:val="28"/>
          <w:sz w:val="28"/>
          <w:szCs w:val="28"/>
          <w:rtl w:val="true"/>
          <w:lang w:bidi="ar-SA"/>
        </w:rPr>
        <w:t xml:space="preserve">بأنّه إذا لم يكن مُقعداً </w:t>
      </w:r>
    </w:p>
    <w:p>
      <w:pPr>
        <w:pStyle w:val="BookText"/>
        <w:rPr/>
      </w:pPr>
      <w:r>
        <w:rPr>
          <w:rFonts w:ascii="Amiri" w:hAnsi="Amiri" w:eastAsia="Amiri" w:cs="Amiri"/>
          <w:color w:val="111111"/>
          <w:sz w:val="28"/>
          <w:sz w:val="28"/>
          <w:szCs w:val="28"/>
          <w:rtl w:val="true"/>
          <w:lang w:bidi="ar-SA"/>
        </w:rPr>
        <w:t>وجب عليه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أنّ معقد الإجماع ما إذا بلغ حَدّ الاقعاد، وفي هذه الصورة عمومات أدلّة نفي الحرج تدلّ على عدم الوجوب، وعليه فلا طريق إلى إحراز استناد الأصحاب إلى المرسل كي يُنجبر به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586"/>
      </w:r>
      <w:r>
        <w:rPr>
          <w:rFonts w:ascii="Amiri" w:hAnsi="Amiri" w:eastAsia="Amiri" w:cs="Amiri"/>
          <w:color w:val="111111"/>
          <w:sz w:val="28"/>
          <w:sz w:val="28"/>
          <w:szCs w:val="28"/>
          <w:rtl w:val="true"/>
          <w:lang w:bidi="ar-SA"/>
        </w:rPr>
        <w:t>اندراجه في المرض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صحّة عدّه من جملة الأعذار المُسقطة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سقوط الجُمعة عمّن استثني في النصوص، وإنْ لم يكن السعي إليها حرجيّاً، فما عن غير واحدٍ</w:t>
      </w:r>
      <w:r>
        <w:rPr>
          <w:rStyle w:val="FootnoteAnchor"/>
          <w:rtl w:val="true"/>
        </w:rPr>
        <w:footnoteReference w:id="1587"/>
      </w:r>
      <w:r>
        <w:rPr>
          <w:rFonts w:ascii="Amiri" w:hAnsi="Amiri" w:eastAsia="Amiri" w:cs="Amiri"/>
          <w:color w:val="111111"/>
          <w:sz w:val="28"/>
          <w:sz w:val="28"/>
          <w:szCs w:val="28"/>
          <w:rtl w:val="true"/>
          <w:lang w:bidi="ar-SA"/>
        </w:rPr>
        <w:t>من اعتبار المشقّة العرفيّة في المريض والشيخ الكبير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إطلاقات الأدلّة لمناسبة الحكم والموضوع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تقتضيه المناسبة، اعتبار الحَرَج النوعي في الشيخ والمريض، وإنْ لم يكن لبعض الأفراد حرجيّاً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78" w:name="pg11800_97232"/>
    </w:p>
    <w:p>
      <w:pPr>
        <w:pStyle w:val="Heading5"/>
        <w:numPr>
          <w:ilvl w:val="4"/>
          <w:numId w:val="1"/>
        </w:numPr>
        <w:rPr/>
      </w:pPr>
      <w:bookmarkStart w:id="679" w:name="__RefHeading___Toc10478241_73709187"/>
      <w:bookmarkStart w:id="680" w:name="_Toc256"/>
      <w:bookmarkEnd w:id="678"/>
      <w:bookmarkEnd w:id="679"/>
      <w:r>
        <w:rPr>
          <w:rtl w:val="true"/>
        </w:rPr>
        <w:t>مسائل</w:t>
      </w:r>
      <w:r>
        <w:rPr>
          <w:rtl w:val="true"/>
        </w:rPr>
        <w:t>:</w:t>
      </w:r>
      <w:bookmarkEnd w:id="680"/>
    </w:p>
    <w:p>
      <w:pPr>
        <w:pStyle w:val="Heading6"/>
        <w:numPr>
          <w:ilvl w:val="5"/>
          <w:numId w:val="1"/>
        </w:numPr>
        <w:rPr/>
      </w:pPr>
      <w:bookmarkStart w:id="681" w:name="__RefHeading___Toc10478243_73709187"/>
      <w:bookmarkStart w:id="682" w:name="_Toc257"/>
      <w:bookmarkEnd w:id="681"/>
      <w:r>
        <w:rPr>
          <w:rtl w:val="true"/>
        </w:rPr>
        <w:t>لو تكلّف الحضور للجمعة من لا تجب عليه</w:t>
      </w:r>
      <w:bookmarkEnd w:id="682"/>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تجبُ عليه الجمعة، لو تكلَّف الحضور، فهل تجبُ عليه الجمعة</w:t>
      </w:r>
      <w:r>
        <w:rPr>
          <w:rStyle w:val="FootnoteAnchor"/>
          <w:rtl w:val="true"/>
        </w:rPr>
        <w:footnoteReference w:id="1588"/>
      </w:r>
      <w:r>
        <w:rPr>
          <w:rFonts w:ascii="IRNazanin" w:hAnsi="IRNazanin" w:eastAsia="IRNazanin"/>
          <w:color w:val="111111"/>
          <w:sz w:val="28"/>
          <w:sz w:val="28"/>
          <w:szCs w:val="28"/>
          <w:rtl w:val="true"/>
          <w:lang w:bidi="fa-IR"/>
        </w:rPr>
        <w:t>بعده، أم لا؟</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وتُجزي عن الظهر،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 وأقوال؛ والمشهور بين الأصحاب هو الثاني</w:t>
      </w:r>
      <w:r>
        <w:rPr>
          <w:rStyle w:val="FootnoteAnchor"/>
          <w:rtl w:val="true"/>
        </w:rPr>
        <w:footnoteReference w:id="1589"/>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به بين الأصحاب، ولكن الأقوى هو الأخير، لأنّ الظاهر من قوله عليه السلام في صحيح زرارة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صلاةٌ واحدة فرضها اللّه في جماعة وهي الجمعة ووضعها عن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الجمعة غير مشروعة في حقّ التسعة، لأنّ الرواية صريحة في وضع الجمعة وسقوطها عن التسعة، وظهور الوضع والسقوط في نفي المشروعيّة، غيرُ قابلٍ للإنكار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الإطلاقات غير منحصرة فيما يدلّ على </w:t>
      </w:r>
    </w:p>
    <w:p>
      <w:pPr>
        <w:pStyle w:val="BookText"/>
        <w:rPr/>
      </w:pPr>
      <w:r>
        <w:rPr>
          <w:rFonts w:ascii="Amiri" w:hAnsi="Amiri" w:eastAsia="Amiri" w:cs="Amiri"/>
          <w:color w:val="111111"/>
          <w:sz w:val="28"/>
          <w:sz w:val="28"/>
          <w:szCs w:val="28"/>
          <w:rtl w:val="true"/>
          <w:lang w:bidi="ar-SA"/>
        </w:rPr>
        <w:t>الوجوب المنافي للسقوط، بل فيها ما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الرواية وما شابهها حاكمة على جميع الإطلاقات، ومخصّصة للحكم الثابت للجمعة بغير المذكورين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تدلّ على عدم وجوبها على المذكورين فيها، فهم غير مندرجين في الإطلاقات الدالّة على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592"/>
      </w:r>
      <w:r>
        <w:rPr>
          <w:rFonts w:ascii="Amiri" w:hAnsi="Amiri" w:eastAsia="Amiri" w:cs="Amiri"/>
          <w:color w:val="111111"/>
          <w:sz w:val="28"/>
          <w:sz w:val="28"/>
          <w:szCs w:val="28"/>
          <w:rtl w:val="true"/>
          <w:lang w:bidi="ar-SA"/>
        </w:rPr>
        <w:t>أنّها لاتصلح أن تكون مخصّصة للروايات الكثيرة الواردة في الحَثّ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الروايات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متكفّلٌ لبيان ترتّب الثواب على السعي إلى الجمعة والاجتماع إليها، وهو لا يكون في مقام التشريع حتّى يؤخذ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وإنْ كان مسوقاً لبيان المشروعيّة في زمن قصور يد الإمام عليه السلام على كلامٍ مرّ، إلّاأنّ الظاهر أنّه يدلّ على المشروعيّة لمن تكون الجمعة واجبة عليه عند حضور السلطان العادل، فلا يشمل المذكورين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كان بينه وبين الجمعة أزيد من الفرسخين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يجبُ عليه الحضور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 تجبُ عليه الجمعة، فإنّه بحضوره يتبدّل العنوان المأخوذ في الموضوع، كالمسافر الذي يصبح حاضراً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لوجوب الجمعة على المذكورين إذا حضروا، برواية حفص ابن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بعض مواليهم سأل ابن أبي ليلى عن الجمعة، هل تجب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العبد والمرأة والمسافر؟</w:t>
      </w:r>
    </w:p>
    <w:p>
      <w:pPr>
        <w:pStyle w:val="BookText"/>
        <w:rPr/>
      </w:pP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إنْ حضر واحدٌ منهم الجمعة مع الإمام فصلّاها معه، هل تُجزيه تلك الصَّلاة عن ظهر يومه‌؟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إنّ اللّه عزّ وجلّ فرضَ على جميع المؤمنين والمؤمنات، ورخّص المرأة والمسافر والعبد أنْ لا يأتوها، فلمّا حضروها سقطت الرخصة، ولزمهم الفرض الأوّل، فمن أجل ذلك أجزأ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أبي عبد اللّه عليه السلام</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واضحة الدلالة على وجوبها على المرأة والعبد والمسافر إذا حضروا، وأنّ الساقط عنهم هو السعي إليها لا الجمعة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ضعيفة السند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حفص عامّي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مرسلة عن بعضٍ غير معروف</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حفص موثّق، 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عملت الطائفة بما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رواه 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ابن غياث لا يروي عن بعض الموالي، بل يروي الخبر عن ابن أبي ليلى، وهو عن أبي عبد اللّه عليه السلام،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تضمّنته الرواية</w:t>
      </w:r>
      <w:r>
        <w:rPr>
          <w:rStyle w:val="FootnoteAnchor"/>
          <w:rtl w:val="true"/>
        </w:rPr>
        <w:footnoteReference w:id="1597"/>
      </w:r>
      <w:r>
        <w:rPr>
          <w:rFonts w:ascii="Amiri" w:hAnsi="Amiri" w:eastAsia="Amiri" w:cs="Amiri"/>
          <w:color w:val="111111"/>
          <w:sz w:val="28"/>
          <w:sz w:val="28"/>
          <w:szCs w:val="28"/>
          <w:rtl w:val="true"/>
          <w:lang w:bidi="ar-SA"/>
        </w:rPr>
        <w:t>من الوجوب على المرأة، مخالفٌ لما عليه اتّفاق فقهاء الأمصار</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الشيخ</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معارضتها فيها بخبر أبي همّام،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في المسجد مع الإمام يوم الجمعة، الجمعةَ ركعتين، فقد نَقَصت صلاتها</w:t>
      </w:r>
      <w:r>
        <w:rPr>
          <w:rFonts w:eastAsia="Amiri" w:cs="Amiri" w:ascii="Amiri" w:hAnsi="Amiri"/>
          <w:color w:val="111111"/>
          <w:sz w:val="28"/>
          <w:szCs w:val="28"/>
          <w:rtl w:val="true"/>
          <w:lang w:bidi="ar-SA"/>
        </w:rPr>
        <w:t>»</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علي بن جعفر،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أخاه عن النساء هل عليهن من صلاة العيدين والجمعة ما على الرّجل‌؟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معارضٌ بالروايات الكثيرة الواردة فيها أنّه ليس على النساء الجمعة ولا العيدان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83" w:name="pg11800_97236"/>
    </w:p>
    <w:p>
      <w:pPr>
        <w:pStyle w:val="BookText"/>
        <w:rPr/>
      </w:pPr>
      <w:bookmarkEnd w:id="683"/>
      <w:r>
        <w:rPr>
          <w:rFonts w:ascii="IRNazanin" w:hAnsi="IRNazanin" w:eastAsia="IRNazanin"/>
          <w:color w:val="111111"/>
          <w:sz w:val="28"/>
          <w:sz w:val="28"/>
          <w:szCs w:val="28"/>
          <w:rtl w:val="true"/>
          <w:lang w:bidi="fa-IR"/>
        </w:rPr>
        <w:t>ولو فاتَت وجبت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والجمع بينه وبين تلك النصوص، بحمله على ما بعد السّعي جَمعٌ تبرّعي لا شاهد له، كما أنّ الجمع بحملها على نفي الوجوب، وحمل الخبر على المشروعيّة، فيثبت قول المشهور، ليس جمعاً عرفيّاً،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ضعف الاستشهاد له بخبر سماعة، عن الإمام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مسافرٍ صَلّى الجمعة رغبةً فيها وحُبّاً لها أعطاه اللّه عزّ وجلّ أجر مائة جمعة للمُقيم</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لمعارضته بالمعتبرة المستفيضة الدالّة على أنّ المطلوب من المسافر الظهر دون الجمعة لابدّ من طرحه</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10478245_73709187"/>
      <w:bookmarkStart w:id="685" w:name="_Toc258"/>
      <w:bookmarkEnd w:id="684"/>
      <w:r>
        <w:rPr>
          <w:rtl w:val="true"/>
        </w:rPr>
        <w:t>لو فاتت الجمعة وَجَبت الظهر</w:t>
      </w:r>
      <w:bookmarkEnd w:id="68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بل إجماعاً كما صرّح به غير واحد</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به بحسنة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عمّن لم يُدرك الخطبة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فإنْ فاتته الصَّلاة فلم يُدركها فليُصلِّ أربعاً</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صحيحة عبد الرحمن</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إنّما وردا في المأموم غير المُدرِك مع الإمام، فيدلّان على أنّه لا جمعة بعد الجمعة، ولا يشملان ما لو فاتت بفوات وقتها، إلّاأنّه في هذه المسألة أيضاً لا يقضي الفائتة جمعة، بل عليه أن يُصلّي أربعاً للإجماع</w:t>
      </w:r>
      <w:r>
        <w:rPr>
          <w:rFonts w:eastAsia="Amiri" w:cs="Amiri" w:ascii="Amiri" w:hAnsi="Amiri"/>
          <w:color w:val="111111"/>
          <w:sz w:val="28"/>
          <w:szCs w:val="28"/>
          <w:rtl w:val="true"/>
          <w:lang w:bidi="ar-SA"/>
        </w:rPr>
        <w:t>.</w:t>
      </w:r>
      <w:bookmarkStart w:id="686" w:name="pg11800_97237"/>
    </w:p>
    <w:p>
      <w:pPr>
        <w:pStyle w:val="BookText"/>
        <w:rPr/>
      </w:pPr>
      <w:bookmarkEnd w:id="686"/>
      <w:r>
        <w:rPr>
          <w:rFonts w:ascii="Amiri" w:hAnsi="Amiri" w:eastAsia="Amiri" w:cs="Amiri"/>
          <w:color w:val="111111"/>
          <w:sz w:val="28"/>
          <w:sz w:val="28"/>
          <w:szCs w:val="28"/>
          <w:rtl w:val="true"/>
          <w:lang w:bidi="ar-SA"/>
        </w:rPr>
        <w:t>ويجبُ إيقاع الخطبتين بعد الزّوال</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10478247_73709187"/>
      <w:bookmarkStart w:id="688" w:name="_Toc259"/>
      <w:bookmarkEnd w:id="687"/>
      <w:r>
        <w:rPr>
          <w:rtl w:val="true"/>
        </w:rPr>
        <w:t>ما يعتبر في الخُطبتين</w:t>
      </w:r>
      <w:bookmarkEnd w:id="68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 الخطبتين،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جماعةٍ كالسيّد</w:t>
      </w:r>
      <w:r>
        <w:rPr>
          <w:rStyle w:val="FootnoteAnchor"/>
          <w:rtl w:val="true"/>
        </w:rPr>
        <w:footnoteReference w:id="1606"/>
      </w:r>
      <w:r>
        <w:rPr>
          <w:rFonts w:ascii="Amiri" w:hAnsi="Amiri" w:eastAsia="Amiri" w:cs="Amiri"/>
          <w:color w:val="111111"/>
          <w:sz w:val="28"/>
          <w:sz w:val="28"/>
          <w:szCs w:val="28"/>
          <w:rtl w:val="true"/>
          <w:lang w:bidi="ar-SA"/>
        </w:rPr>
        <w:t>، وابن أبي عقيل</w:t>
      </w:r>
      <w:r>
        <w:rPr>
          <w:rStyle w:val="FootnoteAnchor"/>
          <w:rtl w:val="true"/>
        </w:rPr>
        <w:footnoteReference w:id="1607"/>
      </w:r>
      <w:r>
        <w:rPr>
          <w:rFonts w:ascii="Amiri" w:hAnsi="Amiri" w:eastAsia="Amiri" w:cs="Amiri"/>
          <w:color w:val="111111"/>
          <w:sz w:val="28"/>
          <w:sz w:val="28"/>
          <w:szCs w:val="28"/>
          <w:rtl w:val="true"/>
          <w:lang w:bidi="ar-SA"/>
        </w:rPr>
        <w:t>، وأبي الصّلاح</w:t>
      </w:r>
      <w:r>
        <w:rPr>
          <w:rStyle w:val="FootnoteAnchor"/>
          <w:rtl w:val="true"/>
        </w:rPr>
        <w:footnoteReference w:id="1608"/>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 xml:space="preserve">نسبته إلى المعظم،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 xml:space="preserve">الإجماع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إيقاع الخطبتين بعد الزّوال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6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614"/>
      </w:r>
      <w:r>
        <w:rPr>
          <w:rFonts w:ascii="Amiri" w:hAnsi="Amiri" w:eastAsia="Amiri" w:cs="Amiri"/>
          <w:color w:val="111111"/>
          <w:sz w:val="28"/>
          <w:sz w:val="28"/>
          <w:szCs w:val="28"/>
          <w:rtl w:val="true"/>
          <w:lang w:bidi="ar-SA"/>
        </w:rPr>
        <w:t>، وجماعة من المتأخّرين عنه</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إيقاعهما قبل زوال الشّمس حتّى إذا فرغ زالت، وتدلّ عليه صحيحة ابن سنان، عن أبي </w:t>
      </w:r>
    </w:p>
    <w:p>
      <w:pPr>
        <w:pStyle w:val="BookText"/>
        <w:rPr/>
      </w:pPr>
      <w:r>
        <w:rPr>
          <w:rFonts w:ascii="Amiri" w:hAnsi="Amiri" w:eastAsia="Amiri" w:cs="Amiri"/>
          <w:color w:val="111111"/>
          <w:sz w:val="28"/>
          <w:sz w:val="28"/>
          <w:szCs w:val="28"/>
          <w:rtl w:val="true"/>
          <w:lang w:bidi="ar-SA"/>
        </w:rPr>
        <w:t>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الجمعة حين تزول الشّمس قدر شِراك، ويخطب في الظِلّ الأوّل،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زالت الشّمس فانزل فصَلّ‌</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617"/>
      </w:r>
      <w:r>
        <w:rPr>
          <w:rFonts w:ascii="Amiri" w:hAnsi="Amiri" w:eastAsia="Amiri" w:cs="Amiri"/>
          <w:color w:val="111111"/>
          <w:sz w:val="28"/>
          <w:sz w:val="28"/>
          <w:szCs w:val="28"/>
          <w:rtl w:val="true"/>
          <w:lang w:bidi="ar-SA"/>
        </w:rPr>
        <w:t>إجمالها لاحتمال أنْ يكون تأخير الصَّلاة عن الزّوال بقدر شِراك لتلبّسه بأداء الواجب من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الخبر وقوع تمام الخطبة في الظِلّ الأوّل قبل زوال الشّمس،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احتمال إرادة الفيء الزائد على ظِلّ المقياس من الظِلّ‌الأوّل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مخالفة لظهور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توقيت الجمعة بالزّوال، المستلزم لجواز تقديم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مِنْ يَوْمِ اَلْجُمُعَةِ فَاسْعَوْا إِلى ذِكْرِ اَللّهِ </w:t>
      </w:r>
      <w:r>
        <w:rPr>
          <w:rStyle w:val="FootnoteAnchor"/>
          <w:rtl w:val="true"/>
        </w:rPr>
        <w:footnoteReference w:id="1619"/>
      </w:r>
      <w:r>
        <w:rPr>
          <w:rFonts w:ascii="Amiri" w:hAnsi="Amiri" w:eastAsia="Amiri" w:cs="Amiri"/>
          <w:color w:val="111111"/>
          <w:sz w:val="28"/>
          <w:sz w:val="28"/>
          <w:szCs w:val="28"/>
          <w:rtl w:val="true"/>
          <w:lang w:bidi="ar-SA"/>
        </w:rPr>
        <w:t>حيث أوجب السعي بعد النداء، فلا يجب قبله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رواه محمّد بن مسلم في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إذان وإقامة، يخرج الإمام بعد الأذان فيصعد المنبر ويخطب</w:t>
      </w:r>
      <w:r>
        <w:rPr>
          <w:rFonts w:eastAsia="Amiri" w:cs="Amiri" w:ascii="Amiri" w:hAnsi="Amiri"/>
          <w:color w:val="111111"/>
          <w:sz w:val="28"/>
          <w:szCs w:val="28"/>
          <w:rtl w:val="true"/>
          <w:lang w:bidi="ar-SA"/>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الاستدلال به يتوقّف على اُمورٍ لم يثبت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بالنداء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الأذان في يوم الجمعة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أو الصَّلاة مع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خبريّة، وهي لا تدلّ على الوجوب، مع أنّ عدم مشروعيّة الأذان قبل الزّوال في يوم الجمعة محلّ تأمّل،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لم يثبت أنْ يكون المراد بالأذان ما شرّع للصَّلاة، بل لعلّه اُريد منه مجرّد التنبيه والإعلام لجلب النّاس إلى استماع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أنّه لو سُلّم تماميّة دلالته على ما استدلّ به له، فإنّه لمعارضته بصحيحة ابن سنان المتقدّمة، يتعيّن حمله على ما لا ينافيها، وهو إرادة الإعلام لجلب النّاس بالأذان أو 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جواز تقديمهما على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621"/>
      </w:r>
      <w:r>
        <w:rPr>
          <w:rFonts w:ascii="Amiri" w:hAnsi="Amiri" w:eastAsia="Amiri" w:cs="Amiri"/>
          <w:color w:val="111111"/>
          <w:sz w:val="28"/>
          <w:sz w:val="28"/>
          <w:szCs w:val="28"/>
          <w:rtl w:val="true"/>
          <w:lang w:bidi="ar-SA"/>
        </w:rPr>
        <w:t xml:space="preserve">لزوم إيقاع خُطبتي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الصدوق رحمه الله لزوم تقديم الصَّلاة عليهما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لما اختاره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المشتملة لبيان الكيفيّة، كموثّق سماعة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وقيام الخطيب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بأنّهما بدل الركعتين الأخيرتين، فيجب الإتيان بهما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وبالمرسل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قَدّم الخطبة يوم الجمعة على الصَّلاة عثمان</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لإرساله وإعراض المشهور عنه، لا يمكن الاعتماد عليه، مع معارضته بالمعتبرة المستفيضة المقدّمة عليه لوجوه، فلو بدأ بالصلاة وأخّر الخطبة لم تصحّ‌، إلّا أنْ يُعيدها بعد الخطبتين اللّتين أتي بهما بقصد الخروج عن عهدة ماتعلّق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البطلان مختصٌّ بالعامد، أو يعمّ الناسي‌؟ قولان، أقواهما الأوّل،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عن صلاة الجمعة، لم أعرف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لتضيّق وقت الجمعة، لا يمكن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الإخلال بما اعتبر فيها، لا يوجبُ الإعادة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الصحّة، فاعتبار قابليّة الصَّلاة للإعادة غير مرتبطٍ بما هو مفاد الحديث</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الخطيب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المتقدّمة،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يخطب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يجلس ثمّ يقوم فيحمد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الجمعة، كيف يخطب الإمام‌؟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قائماً،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تَرَكُوكَ قائِماً </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خطب وهو جالس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الخطبة، وهو قائمٌ خطبتان يجلس بينهما</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زماننا لا ريب في عدم جواز أن يخطب الإمام جالساً، بل لغيره التصدّي كما لا يخفى وجهه، وإنْ لم يكون هناك غيره ممّن يجوز إمامته أو استخلافه للخطبة، فمقتضى القاعدة تعيّن الظهر عليه، وذلك لأنّ المستفاد من الأخبار، شرطيّة القيام للخطبة مطلقاً، ولازمه سقوط التكليف بالجمعة، لعدم القدرة على الإتيان بها جامعة للأجزاء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المشهور</w:t>
      </w:r>
      <w:r>
        <w:rPr>
          <w:rStyle w:val="FootnoteAnchor"/>
          <w:rtl w:val="true"/>
        </w:rPr>
        <w:footnoteReference w:id="1627"/>
      </w:r>
      <w:r>
        <w:rPr>
          <w:rFonts w:ascii="IRNazanin" w:hAnsi="IRNazanin" w:eastAsia="IRNazanin"/>
          <w:color w:val="111111"/>
          <w:sz w:val="28"/>
          <w:sz w:val="28"/>
          <w:szCs w:val="28"/>
          <w:rtl w:val="true"/>
          <w:lang w:bidi="fa-IR"/>
        </w:rPr>
        <w:t>ذهبوا إلى سقوط اعتباره، ولعلّ مستندهم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وانصراف ما دلّ على القيام إلى صورة القدرة، فتبقى إطلاقات الأمر بالخطبة بالنسبة إلى حال العجز سليمة عن 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فيهما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التمسّك بقاعدة الميسور في الواجب الذي لا يقدر المكلّف على إتيان جميع أجزائه وشرائطه، لا يصحّ إذا كان ممّا له البدل كما في المقام، فإنّه لايدور الأمر فيه بين سقوط أصل التكليف والإتيان بالميسور، بل يتعيّن البدل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بعد فرض عدم التمكّن من الإتيان بالجمعة، مع جميع أجزائها وشرائطها، يتعيّن عليه الظهر لا الإتيان بالجمعة الناقصّة، مضافاً إلى ما عرفت غير مرّة من عدم حجيّة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الانصراف في أمثال المقام، ممّا يكون الدليل متكفِّلاً لبيان الشرط والجزء، غير مسموعة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الخطبتين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629"/>
      </w:r>
      <w:r>
        <w:rPr>
          <w:rFonts w:ascii="IRNazanin" w:hAnsi="IRNazanin" w:eastAsia="IRNazanin"/>
          <w:color w:val="111111"/>
          <w:sz w:val="28"/>
          <w:sz w:val="28"/>
          <w:szCs w:val="28"/>
          <w:rtl w:val="true"/>
          <w:lang w:bidi="fa-IR"/>
        </w:rPr>
        <w:t>القول بالاشتراط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أقواها 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جُعِلت الجمعة ركعتين من أجل الخطبتين، فهى صلاة حتّي ينزل الإمام</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تنزيلهمامنزلة الصَّلاة، ترتّب أحكامهاعليهما، ومنهاشرطيّة الطهارة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تنزيل شيءٍ منزلة آخر في كونه بلحاظ تمام الآثار ممّا لا ينكر، إلّا أنّ ذلك فيما لم يكن في الكلام قرينة صارفة عنه أو ما يصلح للقرينيّة، كما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يكون الخطيبُ بليغاً، مواظباً على الصَّلاة، مرتدياً ببرُدٍ، معتمداً على شيء، والإصغاء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فإنّ تفريع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فهى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قصر الصَّلاة لأجل الخطبتين، موجبٌ لظهوره في إرادة أنّ الخطبة بذاتها جارية مجرى الصَّلاة، ومنزّلة منزلتها في أداء التكليف، وبهذه الملاحظة أطلق عليها اسم الصَّلاة، لا بملاحظة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عدم الاشتراط، وإنْ كان على هذا لا دليل على استحبابها أيضاً، إلّا أنّ الاحتياط حسن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الخطيب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للكلام البليغ أثراً في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مواظباً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أوقاتها، ليكون له وَقْعٌ في النفوس، فتكون موعظته أوقع في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مرتدياً ببرُدٍ، معتمداً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عمر بن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سبعة يوم الجمعة، فليصلّوا في جماعة، وليلبس البُرد والعمامة، وليتوكّأ على قوس أو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الذي يخطب بالنّاس يوم الجمعة، أن يلبس عمامة في الشِّتاء والصيف، ويتردي ببُردٍ يمنيّة أو عدني</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الإصغاء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إلى الأكثر</w:t>
      </w:r>
      <w:r>
        <w:rPr>
          <w:rStyle w:val="FootnoteAnchor"/>
          <w:rtl w:val="true"/>
        </w:rPr>
        <w:footnoteReference w:id="1633"/>
      </w:r>
      <w:r>
        <w:rPr>
          <w:rFonts w:ascii="IRNazanin" w:hAnsi="IRNazanin" w:eastAsia="IRNazanin"/>
          <w:color w:val="111111"/>
          <w:sz w:val="28"/>
          <w:sz w:val="28"/>
          <w:szCs w:val="28"/>
          <w:rtl w:val="true"/>
          <w:lang w:bidi="fa-IR"/>
        </w:rPr>
        <w:t>بل المشهور</w:t>
      </w:r>
      <w:r>
        <w:rPr>
          <w:rStyle w:val="FootnoteAnchor"/>
          <w:rtl w:val="true"/>
        </w:rPr>
        <w:footnoteReference w:id="1634"/>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أمير المؤمنين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النّاس الإمام بوجوههم ويصغون إليه</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w:t>
      </w:r>
      <w:r>
        <w:rPr>
          <w:rStyle w:val="FootnoteAnchor"/>
          <w:rtl w:val="true"/>
        </w:rPr>
        <w:footnoteReference w:id="1636"/>
      </w:r>
      <w:r>
        <w:rPr>
          <w:rFonts w:ascii="Amiri" w:hAnsi="Amiri" w:eastAsia="Amiri" w:cs="Amiri"/>
          <w:color w:val="111111"/>
          <w:sz w:val="28"/>
          <w:sz w:val="28"/>
          <w:szCs w:val="28"/>
          <w:rtl w:val="true"/>
          <w:lang w:bidi="ar-SA"/>
        </w:rPr>
        <w:t>أنّه ورد في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وبانتفاء فائدة الخطبة بدونه، خصوصاً الوعظ منها الذي لا قائل بالفصل بينه وبين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وبفحوى النصوص</w:t>
      </w:r>
      <w:r>
        <w:rPr>
          <w:rStyle w:val="FootnoteAnchor"/>
          <w:rtl w:val="true"/>
        </w:rPr>
        <w:footnoteReference w:id="1637"/>
      </w:r>
      <w:r>
        <w:rPr>
          <w:rFonts w:ascii="Amiri" w:hAnsi="Amiri" w:eastAsia="Amiri" w:cs="Amiri"/>
          <w:color w:val="111111"/>
          <w:sz w:val="28"/>
          <w:sz w:val="28"/>
          <w:szCs w:val="28"/>
          <w:rtl w:val="true"/>
          <w:lang w:bidi="ar-SA"/>
        </w:rPr>
        <w:t>الآمرة بالصَّمت أثناء الخطبة، والناهية عن الكلام، فإنّها تدلّ على أنّ المقصود بهذا الاجتماع، إنّما هو الاتّعاظ والاستماع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المتبادر من الأمر بأن يخطب الإمام ويعِظَهم، إنّما هو إرادته على حسب ما جرت العادة في مثله من حيث الإسماع والإستماع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هذه الأدلّة وإنْ كان للمناقشة فيه مجالٌ واسع، إلّاأنّ ملاحظة مجموعها توجبُ التوقّف في الحكم بعدم الوجوب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89" w:name="pg11800_97245"/>
    </w:p>
    <w:p>
      <w:pPr>
        <w:pStyle w:val="BookText"/>
        <w:rPr/>
      </w:pPr>
      <w:bookmarkEnd w:id="689"/>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الثاني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البيع بعد النّداء وينعقد</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0478249_73709187"/>
      <w:bookmarkStart w:id="691" w:name="_Toc260"/>
      <w:bookmarkEnd w:id="690"/>
      <w:r>
        <w:rPr>
          <w:rtl w:val="true"/>
        </w:rPr>
        <w:t>مسائل حول صلاة الجمعة</w:t>
      </w:r>
      <w:bookmarkEnd w:id="691"/>
    </w:p>
    <w:p>
      <w:pPr>
        <w:pStyle w:val="Heading6"/>
        <w:numPr>
          <w:ilvl w:val="5"/>
          <w:numId w:val="1"/>
        </w:numPr>
        <w:rPr/>
      </w:pPr>
      <w:bookmarkStart w:id="692" w:name="__RefHeading___Toc10478251_73709187"/>
      <w:bookmarkStart w:id="693" w:name="_Toc261"/>
      <w:bookmarkEnd w:id="692"/>
      <w:r>
        <w:rPr>
          <w:rtl w:val="true"/>
        </w:rPr>
        <w:t>الأذان الثاني بدعة</w:t>
      </w:r>
      <w:bookmarkEnd w:id="6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المسمّى في عُرفهم بالأذان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الدليل على مشروعيّته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حفص بن غياث، عن جعفر، عن أبيه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10478253_73709187"/>
      <w:bookmarkStart w:id="695" w:name="_Toc262"/>
      <w:bookmarkEnd w:id="694"/>
      <w:r>
        <w:rPr>
          <w:rtl w:val="true"/>
        </w:rPr>
        <w:t>يحرم البيع بعد النّداء وينعقد</w:t>
      </w:r>
      <w:bookmarkEnd w:id="6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639"/>
      </w:r>
      <w:r>
        <w:rPr>
          <w:rFonts w:ascii="Amiri" w:hAnsi="Amiri" w:eastAsia="Amiri" w:cs="Amiri"/>
          <w:color w:val="111111"/>
          <w:sz w:val="28"/>
          <w:sz w:val="28"/>
          <w:szCs w:val="28"/>
          <w:rtl w:val="true"/>
          <w:lang w:bidi="ar-SA"/>
        </w:rPr>
        <w:t>، وتدلّ عليه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الآية الشريفة تعلّق زجرٍ مولوي استقلالي به، لأجل كونه منافياً للسّعي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تعقيبها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خَيْرٌ لَكُمْ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لا وجه للتخطّي عن موردها، لإمكان أنْ يكون للبيع خصوصيّة مقتضية لتحريمه، فلا وجه للقول بتحريم سائر العقود، وتختصّ الحرمة بالبيع المنافي المفوِّت كما لا يخفى وجهه</w:t>
      </w:r>
      <w:r>
        <w:rPr>
          <w:rFonts w:eastAsia="Amiri" w:cs="Amiri" w:ascii="Amiri" w:hAnsi="Amiri"/>
          <w:color w:val="111111"/>
          <w:sz w:val="28"/>
          <w:szCs w:val="28"/>
          <w:rtl w:val="true"/>
          <w:lang w:bidi="ar-SA"/>
        </w:rPr>
        <w:t xml:space="preserve">. </w:t>
      </w:r>
      <w:bookmarkStart w:id="696" w:name="pg11800_97246"/>
    </w:p>
    <w:p>
      <w:pPr>
        <w:pStyle w:val="BookText"/>
        <w:rPr/>
      </w:pPr>
      <w:bookmarkEnd w:id="696"/>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الاجتماع حال الغيبة، استحبّتِ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التنفّل بعشرين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لو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ولا يكون فاسداً، لما حقّقناه في الاُصول من أنّ النهي التحريمي النفسي المتعلّق بالمعاملة، لا يوجب فسادها، سواءٌ تعلّق بالاعتبار القائم بالمتعاملين، أم تعلّق بإظهارهما ذلك بمظهر خارجي من لفظٍ أو غيره، لأنّ الزجر عن تحقّق المتعلّق، لا يدلّ على عدم إمضائه على تقدير التحقّق</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10478255_73709187"/>
      <w:bookmarkStart w:id="698" w:name="_Toc263"/>
      <w:bookmarkEnd w:id="697"/>
      <w:r>
        <w:rPr>
          <w:rtl w:val="true"/>
        </w:rPr>
        <w:t>لو أمكن الاجتماع حال الغيبة استحبّت الجُمعة</w:t>
      </w:r>
      <w:bookmarkEnd w:id="69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الاجتماع حال الغيبة استحبّت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هذه المسألة مفصّلاً في مسألة اشتراط السلطان العادل، فراجع</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9" w:name="__RefHeading___Toc10478257_73709187"/>
      <w:bookmarkStart w:id="700" w:name="_Toc264"/>
      <w:bookmarkEnd w:id="699"/>
      <w:r>
        <w:rPr>
          <w:rtl w:val="true"/>
        </w:rPr>
        <w:t>في آداب الجمعة</w:t>
      </w:r>
      <w:bookmarkEnd w:id="7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التنفّل بعشرين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عن كلّ يوم بأربع ركعات تعظيماً لذلك اليوم، كما ورد التعليل بذلك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أخبار مستفيضة، بل قد يظهر من بعضها استحباب التنفّل باثنتين وعشرين ركعة، والأقوال والأخبار مختلفة بالنسبة إلى أزمنة وقوعها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محمّد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النافلة يوم الجمعة ستّ ركعات بُكرةً‌، وستُّ ركعات صَدر النهار، وركعتان إذا زالت الشّمس، ثمّ صَلِّ الفريضة، ثمّ صَلِّ بعدها ستّ ركعات</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وقريبٌ منه عدّة روايات 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وحَلْق الرأس، وقَصّ الأظفار، وأخذ الشّارب، والمشي بسكينة ووقار، وتنظيف البدن، والتطيّب،</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زُريق،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ربما يقدّم عشرين ركعة يوم الجمعة في صدر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المقام يعدّ من موارد المسامحة فيها فلا حاجة لنا الى البحث عن كيفيّة الجمع بينها، وترجيح بعضها على بعض، والعمل بالكلّ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مستند له سوى قول بعض الأكابر</w:t>
      </w:r>
      <w:r>
        <w:rPr>
          <w:rStyle w:val="FootnoteAnchor"/>
          <w:rtl w:val="true"/>
        </w:rPr>
        <w:footnoteReference w:id="1644"/>
      </w:r>
      <w:r>
        <w:rPr>
          <w:rFonts w:ascii="Amiri" w:hAnsi="Amiri" w:eastAsia="Amiri" w:cs="Amiri"/>
          <w:color w:val="111111"/>
          <w:sz w:val="28"/>
          <w:sz w:val="28"/>
          <w:szCs w:val="28"/>
          <w:rtl w:val="true"/>
          <w:lang w:bidi="ar-SA"/>
        </w:rPr>
        <w:t>ولعلّه بضميمة كونه من الزينة المحبوبة يوم الجمعة، يكفي الحكم بالاستحباب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وقَصّ الأظفار، وأخذ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حفص بن البختري،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الشّارب والأظفار من الجمعة إلى الجمعة أمانٌ من الجذام</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سنان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شاربه وقلَّم من أظفاره، وغَسل رأسه بالخطمي يوم الجمعة، كان كمَن عتق نسمة</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والمشي بسكينةٍ ووقار، وتنظيف البدن والتطيّب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وتسريح اللّحية، لرواية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يوم الجمعة؛ يغتسل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والدُّعاء، والجَهر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ويتطيّب ويُسرّح لحيته، ويلبس أنظف ثيابه، وليتهيّأ للجمعة، وليكن عليه في ذلك اليوم السكينة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توجّهه إلى المسجد، بما رواه أبو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في العيدين ويوم الجمعة إذا تهيّأت للخروج بهذا الدُّعاء،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ولا خلاف في رجحانه، للأخبار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ليقعد قعدةً بين الخطبتين، ويجهر بالقراءة</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يجهر الإمام فيها بالقراءة أي في الظهر، وإنّما يجهر إذا كانت خطبة</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الجمعة في السفر؟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تصنعون كما تصنعون في الظهر، ولا يجهر الإمام فيها بالقراءة، وإنّما يجهر إذا كانت خطبة</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الروايات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الأخبار إنّما هو وجوب الجهر فيها، وليس شيءٌ يدلّ على عدم الوجوب سوى الإجماعات المنقولة</w:t>
      </w:r>
      <w:r>
        <w:rPr>
          <w:rStyle w:val="FootnoteAnchor"/>
          <w:rtl w:val="true"/>
        </w:rPr>
        <w:footnoteReference w:id="1652"/>
      </w:r>
      <w:r>
        <w:rPr>
          <w:rFonts w:ascii="Amiri" w:hAnsi="Amiri" w:eastAsia="Amiri" w:cs="Amiri"/>
          <w:color w:val="111111"/>
          <w:sz w:val="28"/>
          <w:sz w:val="28"/>
          <w:szCs w:val="28"/>
          <w:rtl w:val="true"/>
          <w:lang w:bidi="ar-SA"/>
        </w:rPr>
        <w:t>، ولايبعد دعوى حجّيتها في أمثال المقام، ممّا تكون الروايات المستفيضة دالّة على شيء ولا تكون رواية معارضة لها، ومع ذلك فإنّ الأصحاب غير ملتزمين به، حيث يمكن من ذلك استكشاف رأي الإمام عليه السلام،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صلاة الجمعة، والحمدُ للّه أوّلاً وآخراً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01" w:name="pg11800_97250"/>
    </w:p>
    <w:p>
      <w:pPr>
        <w:pStyle w:val="BookText"/>
        <w:rPr/>
      </w:pPr>
      <w:bookmarkEnd w:id="701"/>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جماعةً بشروط الجمعة</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0478259_73709187"/>
      <w:bookmarkStart w:id="703" w:name="_Toc265"/>
      <w:bookmarkEnd w:id="702"/>
      <w:r>
        <w:rPr>
          <w:rtl w:val="true"/>
        </w:rPr>
        <w:t>الفصل الثاني في صلاة العيدين</w:t>
      </w:r>
      <w:bookmarkEnd w:id="703"/>
    </w:p>
    <w:p>
      <w:pPr>
        <w:pStyle w:val="Heading5"/>
        <w:numPr>
          <w:ilvl w:val="4"/>
          <w:numId w:val="1"/>
        </w:numPr>
        <w:rPr/>
      </w:pPr>
      <w:bookmarkStart w:id="704" w:name="__RefHeading___Toc10478261_73709187"/>
      <w:bookmarkStart w:id="705" w:name="_Toc266"/>
      <w:bookmarkEnd w:id="704"/>
      <w:r>
        <w:rPr>
          <w:rtl w:val="true"/>
        </w:rPr>
        <w:t>اشارة</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واجبة جماعةً بشروط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شبهة فيه،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قَدْ أَفْلَحَ مَنْ تَزَكّى وَ ذَكَرَ اِسْمَ رَبِّهِ فَصَلّى </w:t>
      </w:r>
      <w:r>
        <w:rPr>
          <w:rStyle w:val="FootnoteAnchor"/>
          <w:rtl w:val="true"/>
        </w:rPr>
        <w:footnoteReference w:id="1653"/>
      </w:r>
      <w:r>
        <w:rPr>
          <w:rFonts w:ascii="Amiri" w:hAnsi="Amiri" w:eastAsia="Amiri" w:cs="Amiri"/>
          <w:color w:val="111111"/>
          <w:sz w:val="28"/>
          <w:sz w:val="28"/>
          <w:szCs w:val="28"/>
          <w:rtl w:val="true"/>
          <w:lang w:bidi="ar-SA"/>
        </w:rPr>
        <w:t>المفسّر في النصوص</w:t>
      </w:r>
      <w:r>
        <w:rPr>
          <w:rStyle w:val="FootnoteAnchor"/>
          <w:rtl w:val="true"/>
        </w:rPr>
        <w:footnoteReference w:id="1654"/>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Style w:val="FootnoteAnchor"/>
          <w:rtl w:val="true"/>
        </w:rPr>
        <w:footnoteReference w:id="165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عن تفاسير العامّة أنّ المراد بالصلاة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كصحيحة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التكبير في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فريضة</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صلاة الكسوف فريضة</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اشتراط لزومها بحضور السلطان العادل، فهو المشهور بين الأصحاب، وقد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النبيّ صلى الله عليه و آله صلّاها مع شرائط الجمعة، فيجب الوقوف بمثل صورة وقوفه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اعتبار الإمام فيها، الظاهر في إمام الأصل، لا إمام الجماعة، كصحيح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الإمام في جماعةٍ يوم العيد، فلا صلاة له، ولا قضاء عليه</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يوم الفطر والأضحى؟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صلاة إلّامع إمام</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 العيدين إلّامع الإمام، فإنْ صلّيتَ وحدك فلا بأس</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ظهوره في نفسه في الإمام الأصل، بما أنّه في جملة من النصوص معرّف باللّام، فظهوره في إرادة المعصوم عليه السلام منه واضح، مع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 على إمام الجماعة، ينافي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صلّيت وحدك فلا بأس</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وبقصور أدلّة وجوبها عن إثباته، مع عدم حضوره عليه السلام، لأنّها غير مسوقة إلّالبيان أصل المشروعيّة، فليس لها إطلاق من جهة اعتبار كونها مع الإمام كي يتمسّك به لنفي الاشتراط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فعله صلى الله عليه و آله لا يدلّ على أزيد من أنّ كونها كذلك من أفراد المطلوب، ولا يدلّ على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w:t>
      </w:r>
      <w:r>
        <w:rPr>
          <w:rStyle w:val="FootnoteAnchor"/>
          <w:rtl w:val="true"/>
        </w:rPr>
        <w:footnoteReference w:id="1662"/>
      </w:r>
      <w:r>
        <w:rPr>
          <w:rFonts w:ascii="Amiri" w:hAnsi="Amiri" w:eastAsia="Amiri" w:cs="Amiri"/>
          <w:color w:val="111111"/>
          <w:sz w:val="28"/>
          <w:sz w:val="28"/>
          <w:szCs w:val="28"/>
          <w:rtl w:val="true"/>
          <w:lang w:bidi="ar-SA"/>
        </w:rPr>
        <w:t>مضافاً إلى عدم شموله لغير اليوميّة، قد عرفت أنّه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ظهور الإمام في إمام الأصل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اقترانه في بعضها بالجماعة مقابلتها بالمفرد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وكونه معرّفاً باللّام في بعضها، لا يكون قرينةً لإرادته منه، لإمكان إرادة الجنس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من يؤتمّ به في موثّق سماعة، لا ينافي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يمكن أن يكون قرينةً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لعدم إطلاق أدلّة الوجوب، لاحظ صحيح جميل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أنْ يستدلّ له بموثّق سماعة،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أرضٍ ليس فيها إمام، فاُصلّي بهم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تُصلّي وحدك، ولا صلاة إلّامع إمام</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الإمام بالحقّ‌، لقول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أرضٍ ليس فيها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إمام الجماعة، كما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فاُصلّي بهم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اعتبار حضور الإمام في وجوبها، ويؤيّده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النّاس لأمير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تخلّف رجلاً يُصلّي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اُخالف السُنّة</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اللّه بن ذبيان،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ما من يؤمّ عبدٌ للمسلمين أضحى ولا فطر، إلّاو هو يجدّد اللّه لال محمّد عليه السلام فيه حزناً،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حقّهم في أيدي غيرهم</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اختاره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666"/>
      </w:r>
      <w:r>
        <w:rPr>
          <w:rFonts w:ascii="Amiri" w:hAnsi="Amiri" w:eastAsia="Amiri" w:cs="Amiri"/>
          <w:color w:val="111111"/>
          <w:sz w:val="28"/>
          <w:sz w:val="28"/>
          <w:szCs w:val="28"/>
          <w:rtl w:val="true"/>
          <w:lang w:bidi="ar-SA"/>
        </w:rPr>
        <w:t>من وجوبها في زمان الغيبة أيضاً على الجامِع والمُنفرد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مضافاً الى صحيحي زرارة وابن مسلم المتقدّمين، رواية محمّد بن قيس،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الصَّلاة يوم العيد على من خَرَج إلى الجبّانة، ومَنْ لم يخرج فليس عليه صلاة</w:t>
      </w:r>
      <w:r>
        <w:rPr>
          <w:rFonts w:eastAsia="Amiri" w:cs="Amiri" w:ascii="Amiri" w:hAnsi="Amiri"/>
          <w:color w:val="111111"/>
          <w:sz w:val="28"/>
          <w:szCs w:val="28"/>
          <w:rtl w:val="true"/>
          <w:lang w:bidi="ar-SA"/>
        </w:rPr>
        <w:t>»</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عليها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القوم خمسة أو سبعة، فإنّهم يجمعون الصَّلاة كما يصنعون يوم الجمعة</w:t>
      </w:r>
      <w:r>
        <w:rPr>
          <w:rFonts w:eastAsia="Amiri" w:cs="Amiri" w:ascii="Amiri" w:hAnsi="Amiri"/>
          <w:color w:val="111111"/>
          <w:sz w:val="28"/>
          <w:szCs w:val="28"/>
          <w:rtl w:val="true"/>
          <w:lang w:bidi="ar-SA"/>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اعتبار سائر الشروط المعتبرة في وجوب الجمعة في وجوبها، فتشهد له جملةٌ من النصوص، وحيث أنّ شيئاً منها ممّا لا خلاف في اعتباره، فلا وجه لإطالة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شروط الوجوب</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06" w:name="pg11800_97254"/>
    </w:p>
    <w:p>
      <w:pPr>
        <w:pStyle w:val="Heading5"/>
        <w:numPr>
          <w:ilvl w:val="4"/>
          <w:numId w:val="1"/>
        </w:numPr>
        <w:rPr/>
      </w:pPr>
      <w:bookmarkStart w:id="707" w:name="__RefHeading___Toc10478263_73709187"/>
      <w:bookmarkStart w:id="708" w:name="_Toc267"/>
      <w:bookmarkEnd w:id="706"/>
      <w:bookmarkEnd w:id="707"/>
      <w:r>
        <w:rPr>
          <w:rtl w:val="true"/>
        </w:rPr>
        <w:t>شروط صحّة صلاة العيدين</w:t>
      </w:r>
      <w:bookmarkEnd w:id="708"/>
    </w:p>
    <w:p>
      <w:pPr>
        <w:pStyle w:val="BookText"/>
        <w:rPr/>
      </w:pPr>
      <w:r>
        <w:rPr>
          <w:rFonts w:ascii="Amiri" w:hAnsi="Amiri" w:eastAsia="Amiri" w:cs="Amiri"/>
          <w:color w:val="111111"/>
          <w:sz w:val="28"/>
          <w:sz w:val="28"/>
          <w:szCs w:val="28"/>
          <w:rtl w:val="true"/>
          <w:lang w:bidi="ar-SA"/>
        </w:rPr>
        <w:t>وأمّا شروط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يعتبر في صحّة الجمعة الخطبتان، وقيام جماعة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وحدة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 xml:space="preserve">التوقّف فيه، 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لاعتبارها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لم يُنقل عن النبيّ صلى الله عليه و آله أنّه صَلّى في زمانه صلاتين لعيدٍ واحد في بلدٍ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عليّاً عليه السلام لم يُخلّف رجلاً ليُصلّي بالنّاس في العيدين، معلّلاً بأنّي لا اُخالف السُنّة، كصحيح ابن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النّاس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تُخلّف رجلاً يصلّي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اُخالف السُنّة</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انعقاد جماعتين في زمان النبيّ صلى الله عليه و آله، لا يدلّ على عدم المشروعيّة واعتبار الوحدة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فقدها تستحبّ جماعةً وفرادى‌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أجنبيّة عن المُدّعى، إذ الظاهر أنّ النّاس قالوا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رجلاً نُصلّي العيدين في المسجد، كي يُصلّي معه كلّ من يصعب عليه الخروج إلى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يُصرّح به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أنّه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مَن يُصلّي بضعفاء النّاس يوم العيد في المسجد؟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أسنّ سُنّةً لم يسُنّها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فجوابه عليه السلام يدلّ على أنّ المسنون في صلاة العيدين هو الخروج إلى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اعتبارها، ولو سُلّم دلالة النصوص على اعتبارها، فحيث أنّها مختصّة بزمان الحضور، فلا تدلّ على اعتبارها حتّى مع كون الصّلاتين مندوبتين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الشروط يسقط الوجوب،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جماعةً وفرادى‌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الأكثر</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لاستحباب الإتيان بها فرادى‌، جملةٌ من الروايات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يشهد جماعة الناس في العيدين، فليغتسل، وليتطيّب بما وجد، وليصلِّ وحده، كما يُصلّي في الجماعة</w:t>
      </w:r>
      <w:r>
        <w:rPr>
          <w:rFonts w:eastAsia="Amiri" w:cs="Amiri" w:ascii="Amiri" w:hAnsi="Amiri"/>
          <w:color w:val="111111"/>
          <w:sz w:val="28"/>
          <w:szCs w:val="28"/>
          <w:rtl w:val="true"/>
          <w:lang w:bidi="ar-SA"/>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منصور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أبي يوم الأضحى‌، فصلّى في بيته ركعتين، ثمّ ضَحى</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الآمرة بفعلها وحده، المحمولة على الاستحباب، بقرينة غيرها من الروايات الدالّة على شرطيّة حضور الإمام والاجتماع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النافية للصَّلاة بدون الإمام</w:t>
      </w:r>
      <w:r>
        <w:rPr>
          <w:rStyle w:val="FootnoteAnchor"/>
          <w:rtl w:val="true"/>
        </w:rPr>
        <w:footnoteReference w:id="1677"/>
      </w:r>
      <w:r>
        <w:rPr>
          <w:rFonts w:ascii="Amiri" w:hAnsi="Amiri" w:eastAsia="Amiri" w:cs="Amiri"/>
          <w:color w:val="111111"/>
          <w:sz w:val="28"/>
          <w:sz w:val="28"/>
          <w:szCs w:val="28"/>
          <w:rtl w:val="true"/>
          <w:lang w:bidi="ar-SA"/>
        </w:rPr>
        <w:t>، فمحمولة على نفي الوجوب، للنصوص المتقدّمة الصريحة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 الإتيان بها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القوم خمسة أو سبعة، فإنّهم يجمعون الصَّلاة، كما يصنعون يوم الجمعة</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في خبر أبي 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صلّهما ركعتين في جماعة وغير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وبعمل جمهور الإماميّة</w:t>
      </w:r>
      <w:r>
        <w:rPr>
          <w:rStyle w:val="FootnoteAnchor"/>
          <w:rtl w:val="true"/>
        </w:rPr>
        <w:footnoteReference w:id="1679"/>
      </w:r>
      <w:r>
        <w:rPr>
          <w:rFonts w:ascii="Amiri" w:hAnsi="Amiri" w:eastAsia="Amiri" w:cs="Amiri"/>
          <w:color w:val="111111"/>
          <w:sz w:val="28"/>
          <w:sz w:val="28"/>
          <w:szCs w:val="28"/>
          <w:rtl w:val="true"/>
          <w:lang w:bidi="ar-SA"/>
        </w:rPr>
        <w:t>، وإجماع علمائهم عليه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وتقرير الإمام عليه السلام في موثّق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الصحيحة واردة في مقام بيان اعتبار التعدّد، فلا إطلاق لها من هذه الجهة، وبذلك ظهرت المناقشه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صلّهما ركعتين في جماعة وغير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لورود إطلاقه مورد حكم آخر، وهو بيان عدد ركعاتها على أيّ تقدير، لا يدلّ على شرعيّة الجماعة في حال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عمل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مستندٌ إلى فتوى علمائهم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عدم حجيّة المنقول منه، لا يكون حجّة في المقام، لإحتمال استنادهم إلى الوجوه التي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بان تُصلّي وحدك ولا صلاة إلّابالإمام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يكفي في الردع عن أنْ يُصلّي بهم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بعض الأكابر</w:t>
      </w:r>
      <w:r>
        <w:rPr>
          <w:rStyle w:val="FootnoteAnchor"/>
          <w:rtl w:val="true"/>
        </w:rPr>
        <w:footnoteReference w:id="1681"/>
      </w:r>
      <w:r>
        <w:rPr>
          <w:rFonts w:ascii="Amiri" w:hAnsi="Amiri" w:eastAsia="Amiri" w:cs="Amiri"/>
          <w:color w:val="111111"/>
          <w:sz w:val="28"/>
          <w:sz w:val="28"/>
          <w:szCs w:val="28"/>
          <w:rtl w:val="true"/>
          <w:lang w:bidi="ar-SA"/>
        </w:rPr>
        <w:t>بالعمومات الواردة في الحَثّ على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في محلّه أنّه لا إطلاق لها ليتمسّك به لاستحبابها، حتّى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استحبابها جماعة، فلا بدَّ من الرجوع إلى الأصل، وهو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صحيح ابن سنان المتقدّم، الآمر بأن يُصلّي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المرتضى رحمه الله</w:t>
      </w:r>
      <w:r>
        <w:rPr>
          <w:rStyle w:val="FootnoteAnchor"/>
          <w:rtl w:val="true"/>
        </w:rPr>
        <w:footnoteReference w:id="1682"/>
      </w:r>
      <w:r>
        <w:rPr>
          <w:rFonts w:ascii="Amiri" w:hAnsi="Amiri" w:eastAsia="Amiri" w:cs="Amiri"/>
          <w:color w:val="111111"/>
          <w:sz w:val="28"/>
          <w:sz w:val="28"/>
          <w:szCs w:val="28"/>
          <w:rtl w:val="true"/>
          <w:lang w:bidi="ar-SA"/>
        </w:rPr>
        <w:t>، وأبي الصلاح</w:t>
      </w:r>
      <w:r>
        <w:rPr>
          <w:rStyle w:val="FootnoteAnchor"/>
          <w:rtl w:val="true"/>
        </w:rPr>
        <w:footnoteReference w:id="1683"/>
      </w:r>
      <w:r>
        <w:rPr>
          <w:rFonts w:ascii="Amiri" w:hAnsi="Amiri" w:eastAsia="Amiri" w:cs="Amiri"/>
          <w:color w:val="111111"/>
          <w:sz w:val="28"/>
          <w:sz w:val="28"/>
          <w:szCs w:val="28"/>
          <w:rtl w:val="true"/>
          <w:lang w:bidi="ar-SA"/>
        </w:rPr>
        <w:t>، وكثيرٌ من القدماء والمتأخّرين</w:t>
      </w:r>
      <w:r>
        <w:rPr>
          <w:rStyle w:val="FootnoteAnchor"/>
          <w:rtl w:val="true"/>
        </w:rPr>
        <w:footnoteReference w:id="1684"/>
      </w:r>
      <w:r>
        <w:rPr>
          <w:rFonts w:ascii="Amiri" w:hAnsi="Amiri" w:eastAsia="Amiri" w:cs="Amiri"/>
          <w:color w:val="111111"/>
          <w:sz w:val="28"/>
          <w:sz w:val="28"/>
          <w:szCs w:val="28"/>
          <w:rtl w:val="true"/>
          <w:lang w:bidi="ar-SA"/>
        </w:rPr>
        <w:t>من أنّها مع فقد الشرائط لا تستحبّ جماعةً‌، هو الأقوى‌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9" w:name="pg11800_97258"/>
    </w:p>
    <w:p>
      <w:pPr>
        <w:pStyle w:val="BookText"/>
        <w:rPr/>
      </w:pPr>
      <w:bookmarkEnd w:id="709"/>
      <w:r>
        <w:rPr>
          <w:rFonts w:ascii="IRNazanin" w:hAnsi="IRNazanin" w:eastAsia="IRNazanin"/>
          <w:color w:val="111111"/>
          <w:sz w:val="28"/>
          <w:sz w:val="28"/>
          <w:szCs w:val="28"/>
          <w:rtl w:val="true"/>
          <w:lang w:bidi="fa-IR"/>
        </w:rPr>
        <w:t>ووقتها بعد طلوع الشّمس الى الزّوال</w:t>
      </w:r>
      <w:r>
        <w:rPr>
          <w:rFonts w:eastAsia="IRNazanin" w:cs="IRNazanin"/>
          <w:color w:val="111111"/>
          <w:sz w:val="28"/>
          <w:szCs w:val="28"/>
          <w:rtl w:val="true"/>
          <w:lang w:bidi="fa-IR"/>
        </w:rPr>
        <w:t>.</w:t>
      </w:r>
    </w:p>
    <w:p>
      <w:pPr>
        <w:pStyle w:val="Heading5"/>
        <w:numPr>
          <w:ilvl w:val="4"/>
          <w:numId w:val="1"/>
        </w:numPr>
        <w:rPr/>
      </w:pPr>
      <w:bookmarkStart w:id="710" w:name="__RefHeading___Toc10478265_73709187"/>
      <w:bookmarkStart w:id="711" w:name="_Toc268"/>
      <w:bookmarkEnd w:id="710"/>
      <w:r>
        <w:rPr>
          <w:rtl w:val="true"/>
        </w:rPr>
        <w:t>وقت صلاة العيدين</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ووقتها بعد طلوع الشّمس الى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w:t>
      </w:r>
      <w:r>
        <w:rPr>
          <w:rStyle w:val="FootnoteAnchor"/>
          <w:rtl w:val="true"/>
        </w:rPr>
        <w:footnoteReference w:id="1685"/>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أنّ أوّل وقتها طلوع الشّمس،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يوم الفطر ولا يوم الأضحى أذانٌ ولا إقامة، وأذانهما طلوع الشّمس، إذا طلعت خَرَجوا</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والمتبادر من تنزيل الطلوع منزلة الأذان، إنّما هو التنزيل في كونه إعلاماً بدخول الوقت،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نُسب إلى جماعة من القدماء من التصريح بأنّ وقتها انبساط الشّمس</w:t>
      </w:r>
      <w:r>
        <w:rPr>
          <w:rStyle w:val="FootnoteAnchor"/>
          <w:rtl w:val="true"/>
        </w:rPr>
        <w:footnoteReference w:id="1688"/>
      </w:r>
      <w:r>
        <w:rPr>
          <w:rFonts w:ascii="Amiri" w:hAnsi="Amiri" w:eastAsia="Amiri" w:cs="Amiri"/>
          <w:color w:val="111111"/>
          <w:sz w:val="28"/>
          <w:sz w:val="28"/>
          <w:szCs w:val="28"/>
          <w:rtl w:val="true"/>
          <w:lang w:bidi="ar-SA"/>
        </w:rPr>
        <w:t>، لابدّ من حمله على إرادة وقت الفضيلة، وإلّا فهو مردودٌ بالنصّ‌</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انتهاء وقتها بالزّوال، 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شهد عند الإمام شاهدان إنّهما رأيا الهلال منذ ثلاثين يوماً، أمر الإمام بالإفطار في ذلك اليوم إذا كانا شهدا قبل زوال الشّمس، فإنْ شهدا بعد زوال </w:t>
      </w:r>
    </w:p>
    <w:p>
      <w:pPr>
        <w:pStyle w:val="BookText"/>
        <w:rPr/>
      </w:pPr>
      <w:r>
        <w:rPr>
          <w:rFonts w:ascii="IRNazanin" w:hAnsi="IRNazanin" w:eastAsia="IRNazanin"/>
          <w:color w:val="111111"/>
          <w:sz w:val="28"/>
          <w:sz w:val="28"/>
          <w:szCs w:val="28"/>
          <w:rtl w:val="true"/>
          <w:lang w:bidi="fa-IR"/>
        </w:rPr>
        <w:t>ولا تُقضى لو فاتت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أمر الإمام بإفطار ذلك اليوم، وأخّر الصَّلاة إلى الغد فصلّى بهم</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يقيّد إطلاق قوله عليه السلام في مرفوعة محمّد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النّاس صياماً ولم يَروا الهلال، وجاء قومٌ عدول يشهدون على الرؤية، فليفطروا وليخرجوا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بما إذا كان ذلك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تُقضى لو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المنسوب إلى أكثر الأصحاب</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جعفر عليه السلام، 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مع الإمام في جماعةٍ‌، فلا صلاة له ولا قضاء عليه</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 عدم وجوب الصَّلاة على من فاتته الصَّلاة في مورد وجوبها، ولو مع بقاء الوقت، وهذا لا ينافي استحبابها مادام بقاء الوقت وبعد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القضاء، ويشهدله صحيح قيس، ومرفوع محمّدالمتقدّمان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والمناقشة فيهما بإعراض المشهور عنهما، وموافقتهما للعامّة في غير محلّها، لأنّ كثيراً من الأصحاب أفتوا بمضمونهما، ومجرّد الموافقة للعامّة غير مقتضٍ للطرح،ء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 من مرجّحات إحدى الحُجّتين على الاُخرى‌، لا من مميّزات الحجّة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الروايتان مختصّتان بما إذا لم يثبت العيد إلّابعد فوات وقت الصَّلاة، إلّا أنّه يثبت فيما لو ثبت قبل فوات الوقت، ولكن لم يؤتِ بها عمداً أو نسياناً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تبعاً لجماعةٍ من الفقهاء والمتأخّرين</w:t>
      </w:r>
      <w:r>
        <w:rPr>
          <w:rStyle w:val="FootnoteAnchor"/>
          <w:rtl w:val="true"/>
        </w:rPr>
        <w:footnoteReference w:id="1694"/>
      </w:r>
      <w:r>
        <w:rPr>
          <w:rFonts w:ascii="IRNazanin" w:hAnsi="IRNazanin" w:eastAsia="IRNazanin"/>
          <w:color w:val="111111"/>
          <w:sz w:val="28"/>
          <w:sz w:val="28"/>
          <w:szCs w:val="28"/>
          <w:rtl w:val="true"/>
          <w:lang w:bidi="fa-IR"/>
        </w:rPr>
        <w:t>استحباب قضائها مطلقاً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712" w:name="pg11800_97261"/>
    </w:p>
    <w:p>
      <w:pPr>
        <w:pStyle w:val="BookText"/>
        <w:rPr/>
      </w:pPr>
      <w:bookmarkEnd w:id="712"/>
      <w:r>
        <w:rPr>
          <w:rFonts w:ascii="Amiri" w:hAnsi="Amiri" w:eastAsia="Amiri" w:cs="Amiri"/>
          <w:color w:val="111111"/>
          <w:sz w:val="28"/>
          <w:sz w:val="28"/>
          <w:szCs w:val="28"/>
          <w:rtl w:val="true"/>
          <w:lang w:bidi="ar-SA"/>
        </w:rPr>
        <w:t>وهي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الاُولى الحَمد</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0478267_73709187"/>
      <w:bookmarkStart w:id="714" w:name="_Toc269"/>
      <w:bookmarkEnd w:id="713"/>
      <w:r>
        <w:rPr>
          <w:rtl w:val="true"/>
        </w:rPr>
        <w:t>كيفيّة صلاة العيدين</w:t>
      </w:r>
      <w:bookmarkEnd w:id="7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بيان كيفيّتها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الاُولى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يكبّر للإحرام، لأنّه لا صلاة بغير 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لوجوب الحمد،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Style w:val="FootnoteAnchor"/>
          <w:rtl w:val="true"/>
        </w:rPr>
        <w:footnoteReference w:id="1695"/>
      </w:r>
      <w:r>
        <w:rPr>
          <w:rFonts w:ascii="Amiri" w:hAnsi="Amiri" w:eastAsia="Amiri" w:cs="Amiri"/>
          <w:color w:val="111111"/>
          <w:sz w:val="28"/>
          <w:sz w:val="28"/>
          <w:szCs w:val="28"/>
          <w:rtl w:val="true"/>
          <w:lang w:bidi="ar-SA"/>
        </w:rPr>
        <w:t>، مضافاً إلى دلالة بعض الأخبار التي سنتعرّض لها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واجبة بلا خلافٍ‌؛ لصحيح إسماعيل الجُعفي،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العيدين، قال يكبِّر واحدة يفتتح بها الصَّلاة، ثمّ يقرأ اُمّ الكتاب وسورة، ثمّ يُكبِّر خمساً يقنت بينهنّ‌، ثمّ يكبّر واحدة ويركع بها، ثمّ يقوم فيقرأ اُمّ الكتاب وسورة، يقرأ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 ثمّ يكبِّر أربعاً ويقنت بينهنّ‌، ثمّ يركع بالخامسة</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فيه من الأمر بسورة خاصّة يُحمل على الفضل، لقوله عليه السلام في صحيحة جميل، في جواب السؤال عمّا يقرأ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و هَلْ أَتاكَ حَدِيثُ اَلْغاشِيَةِ‌ وأشباههما</w:t>
      </w:r>
      <w:r>
        <w:rPr>
          <w:rFonts w:eastAsia="Amiri" w:cs="Amiri" w:ascii="Amiri" w:hAnsi="Amiri"/>
          <w:color w:val="111111"/>
          <w:sz w:val="28"/>
          <w:szCs w:val="28"/>
          <w:rtl w:val="true"/>
          <w:lang w:bidi="ar-SA"/>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والأعلى‌، ثمّ يكبِّر خمساً، ويقنتُ بينها، ثمّ يُكبِّر السادسة للرّكوع، ويسجد سَجدتين، ثمّ يقوم فيقرأ الحمد والشّمس، ثمّ يُكبِّر أربعاً ويقنت بينهما، ثُمّ يُكبِّر الخامسة للرّكوع، ويسجد 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يظهر أنّ الأفضل أن يقرأ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ثمّ يُكبِّر خمساً ويقنتُ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عقيب كلّ تكبيرةٍ قنوتاً، والتعبير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لمتابعة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يُكبِّر السادسة للرّكوع، ويسجد سجدتين، ثمّ يقومُ فيقرأ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والأفضل أن 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ثمّ يُكبِّر أربعاً ثمّ يُكبّر الخامسة للرّكوع ويسجد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جميع ذلك خبر إسماعيل المتقدّم، وغيره من الروايات، فيكون الزائد عن المعتاد من التكبيرة تسعاً، خمسٌ منها في الاُولى‌، وأربعٌ في الثانية، وهي غير تكبيرة الإحرام وتكبيرتي الركوعين، ومعهما يكون المجموع اثنتي عشر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الملك بن أعين سأل أبا جعفر عليه السلام عن الصَّلاة في العيدين‌؟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فيهما سواء، يُكبِّر الإمام تكبيرة الصَّلاة قائماً، كما يصنع في الفريضة، ثمّ يزيد في الرّكعة الاُولى ثلاث تكبيرات، وفي الاُخرى ثلاثاً سوى تكبيرة الصَّلاة والرّكوع والسّجود، إنْ شاء ثلاثاً وإنْ شاء خمساً، وإنْ شاء سبعاً بعد أنْ يلحق ذلك إلى وتر</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صريحة في عدم وجوب التكبيرات بالنهج المذكور في الأخبار الآنفة،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فترفع اليد عن ظهور تلك الأخبار في الوجوب، وتُحمل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وجوب الثلاث ولا قائل به، مضافاً الى إعراض المشهور عنها، وموافقتها لمذهب العامّة، فيتعيّن الأخذ بظاهر الأخبار، وردّ علم الصحيح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من أنّه من أخلَّ بالتكبيرات التسع لم يكن مأثوماً،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700"/>
      </w:r>
      <w:r>
        <w:rPr>
          <w:rFonts w:ascii="Amiri" w:hAnsi="Amiri" w:eastAsia="Amiri" w:cs="Amiri"/>
          <w:color w:val="111111"/>
          <w:sz w:val="28"/>
          <w:sz w:val="28"/>
          <w:szCs w:val="28"/>
          <w:rtl w:val="true"/>
          <w:lang w:bidi="ar-SA"/>
        </w:rPr>
        <w:t>أنّه اختار أنّ التكبير في الاُولى قبل القراءة، وفي الثانية بعدها، واستدلّ له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العيدين في الاُولى سبعٌ قبل القراءة، وفي الآخرة خمسٌ بعد القراءة</w:t>
      </w:r>
      <w:r>
        <w:rPr>
          <w:rFonts w:eastAsia="Amiri" w:cs="Amiri" w:ascii="Amiri" w:hAnsi="Amiri"/>
          <w:color w:val="111111"/>
          <w:sz w:val="28"/>
          <w:szCs w:val="28"/>
          <w:rtl w:val="true"/>
          <w:lang w:bidi="ar-SA"/>
        </w:rPr>
        <w:t>»</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بالنصوص المتقدّمة، وهي تقدَّم لأنّها اشتهرت بين الأصحاب</w:t>
      </w:r>
      <w:r>
        <w:rPr>
          <w:rStyle w:val="FootnoteAnchor"/>
          <w:rtl w:val="true"/>
        </w:rPr>
        <w:footnoteReference w:id="1702"/>
      </w:r>
      <w:r>
        <w:rPr>
          <w:rFonts w:ascii="Amiri" w:hAnsi="Amiri" w:eastAsia="Amiri" w:cs="Amiri"/>
          <w:color w:val="111111"/>
          <w:sz w:val="28"/>
          <w:sz w:val="28"/>
          <w:szCs w:val="28"/>
          <w:rtl w:val="true"/>
          <w:lang w:bidi="ar-SA"/>
        </w:rPr>
        <w:t>، ومخالفة للعامّة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15" w:name="pg11800_97264"/>
    </w:p>
    <w:p>
      <w:pPr>
        <w:pStyle w:val="BookText"/>
        <w:rPr/>
      </w:pPr>
      <w:bookmarkEnd w:id="715"/>
      <w:r>
        <w:rPr>
          <w:rFonts w:ascii="Amiri" w:hAnsi="Amiri" w:eastAsia="Amiri" w:cs="Amiri"/>
          <w:color w:val="111111"/>
          <w:sz w:val="28"/>
          <w:sz w:val="28"/>
          <w:szCs w:val="28"/>
          <w:rtl w:val="true"/>
          <w:lang w:bidi="ar-SA"/>
        </w:rPr>
        <w:t>ويُستحبّ الإصحار بها والخروج حافياً بسكينةٍ ووقار، وأن يُطعم قبل خروجه في الفطر، وبعد عوده في الأضحى ممّا يُضحّي به</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0478269_73709187"/>
      <w:bookmarkStart w:id="717" w:name="_Toc270"/>
      <w:bookmarkEnd w:id="716"/>
      <w:r>
        <w:rPr>
          <w:rtl w:val="true"/>
        </w:rPr>
        <w:t>مستحبّات صلاة العيدين</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الصَّلاة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الإصحار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القيام بأدائها في الصحراء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الإجماع</w:t>
      </w:r>
      <w:r>
        <w:rPr>
          <w:rStyle w:val="FootnoteAnchor"/>
          <w:rtl w:val="true"/>
        </w:rPr>
        <w:footnoteReference w:id="1703"/>
      </w:r>
      <w:r>
        <w:rPr>
          <w:rFonts w:ascii="Amiri" w:hAnsi="Amiri" w:eastAsia="Amiri" w:cs="Amiri"/>
          <w:color w:val="111111"/>
          <w:sz w:val="28"/>
          <w:sz w:val="28"/>
          <w:szCs w:val="28"/>
          <w:rtl w:val="true"/>
          <w:lang w:bidi="ar-SA"/>
        </w:rPr>
        <w:t>،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يُصلّى صلاة العيد في مسجدٍ مسقّف، ولا في بيتٍ‌، إنّما يُصلّى في الصحراء أو في مكانٍ بارز</w:t>
      </w:r>
      <w:r>
        <w:rPr>
          <w:rFonts w:eastAsia="Amiri" w:cs="Amiri" w:ascii="Amiri" w:hAnsi="Amiri"/>
          <w:color w:val="111111"/>
          <w:sz w:val="28"/>
          <w:szCs w:val="28"/>
          <w:rtl w:val="true"/>
          <w:lang w:bidi="ar-SA"/>
        </w:rPr>
        <w:t>»</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 حافياً بسكينةٍ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لهما ولغيرهما من السُّنن والآداب حديث</w:t>
      </w:r>
      <w:r>
        <w:rPr>
          <w:rStyle w:val="FootnoteAnchor"/>
          <w:rtl w:val="true"/>
        </w:rPr>
        <w:footnoteReference w:id="1705"/>
      </w:r>
      <w:r>
        <w:rPr>
          <w:rFonts w:ascii="Amiri" w:hAnsi="Amiri" w:eastAsia="Amiri" w:cs="Amiri"/>
          <w:color w:val="111111"/>
          <w:sz w:val="28"/>
          <w:sz w:val="28"/>
          <w:szCs w:val="28"/>
          <w:rtl w:val="true"/>
          <w:lang w:bidi="ar-SA"/>
        </w:rPr>
        <w:t xml:space="preserve">خروج الرِّضا عليه السلام إلى صلاة العيد بطلبٍ من المأمون والمرويّ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يُطعم قبل خروجه في الفطر، وبعد عوده في الأضحى ممّا يُضحّي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والتكبير عقيب أربع صلوات أوّلها المغرب وآخرها العيد في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عامّة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جرّاح المدائني،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يوم الفطر قبل أنْ تُصلّي، ولا تُطعم يوم الأضحى حتّى ينصرف الإمام</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عقيب أربع صلوات أوّلها المغرب، وآخرها العيد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الظهرين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النوافل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السيّد</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وتشهد لما اختاره المشهور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نقل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سعيد النقّاش،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في الفطر تكبيراً ولكنّه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الفطر في المغرب والعشاء الآخرة، وفي صلاة الفجر، وفي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إلّااللّه واللّه أكبر، اللّه أكبر وللّه الحمد، اللّه أكبرُ على ما هدانا،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لِتُكْمِلُوا اَلْعِدَّةَ يعني الصيام وَ لِتُكَبِّرُوا اَللّهَ عَلى ما هَداكُمْ‌ </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لأجل ما فيها من التصريح بوقوعها امتثالاً للأمر بالتكبير الوارد في الكتاب، تكون نصّاً في أنّ المراد من المسنون هو المستحبّ‌، لا ما يثبت وجوبه بغير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لِتُكَبِّرُوا اَللّهَ عَلى ما هَداكُمْ‌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 بن شاذان، عن الرّضا عليه السلام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والتكبير في العيدين واجبٌ في الفطر في دَبْر خمس صلوات، ويبدأ في دَبْر الصَّلاة المغرب ليلة الفطر</w:t>
      </w:r>
      <w:r>
        <w:rPr>
          <w:rFonts w:eastAsia="Amiri" w:cs="Amiri" w:ascii="Amiri" w:hAnsi="Amiri"/>
          <w:color w:val="111111"/>
          <w:sz w:val="28"/>
          <w:szCs w:val="28"/>
          <w:rtl w:val="true"/>
          <w:lang w:bidi="ar-SA"/>
        </w:rPr>
        <w:t>»</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الآية الشريفة قد فُسِّرت في خبر سعيد المتقدّم باستحباب التكبير على النهج المزبور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والوجوب في النصوص، لو سُلّم ظهوره في الوجوب المصطلح، يتعيّن حمله على تأكّد الاستحباب، لخبر سعيد الذي هو كالنصّ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الجمع بين خبر الفضل، وما يدلّ على استحبابه عقيب صلاة العيد، هو استحباب التكبير عقيب الفرائض اليوميّة وصلاة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اختاره الصدوق رحمه الله هو الأقوى‌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المنسوب إلى ابن الجُنيد فممّا لم يعرف مستنده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الأضحى عقيب خَمْسَ عَشَرة، أوّلها الظهر يوم العيد لمن كان بمنى، وفي غيرها عقيب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الأضحى عقيبَ خَمس عَشَرة، أوّلها الظهر يوم العيد لمن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الفجر من اليوم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غيرها عقيب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الظهر المزبور، وآخرها الفجر من اليوم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فِي أَيّامٍ مَعْدُوداتٍ‌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من صلاة الظهر، من يوم النّحر إلى الصَّلاة الفجر من اليوم الثالث، وفي الأمصار عشر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وإنْ كان وجوب التكبير، إلّاأنّه يرفع اليد عن هذا الظاهر بشهادة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التكبير أيّام التشريق واجبٌ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فإنْ نسي فليس عليه شيء</w:t>
      </w:r>
      <w:r>
        <w:rPr>
          <w:rFonts w:eastAsia="Amiri" w:cs="Amiri" w:ascii="Amiri" w:hAnsi="Amiri"/>
          <w:color w:val="111111"/>
          <w:sz w:val="28"/>
          <w:szCs w:val="28"/>
          <w:rtl w:val="true"/>
          <w:lang w:bidi="ar-SA"/>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فما عن السيّد</w:t>
      </w:r>
      <w:r>
        <w:rPr>
          <w:rStyle w:val="FootnoteAnchor"/>
          <w:rtl w:val="true"/>
        </w:rPr>
        <w:footnoteReference w:id="1718"/>
      </w:r>
      <w:r>
        <w:rPr>
          <w:rFonts w:ascii="Amiri" w:hAnsi="Amiri" w:eastAsia="Amiri" w:cs="Amiri"/>
          <w:color w:val="111111"/>
          <w:sz w:val="28"/>
          <w:sz w:val="28"/>
          <w:szCs w:val="28"/>
          <w:rtl w:val="true"/>
          <w:lang w:bidi="ar-SA"/>
        </w:rPr>
        <w:t>والشيخ</w:t>
      </w:r>
      <w:r>
        <w:rPr>
          <w:rStyle w:val="FootnoteAnchor"/>
          <w:rtl w:val="true"/>
        </w:rPr>
        <w:footnoteReference w:id="1719"/>
      </w:r>
      <w:r>
        <w:rPr>
          <w:rFonts w:ascii="Amiri" w:hAnsi="Amiri" w:eastAsia="Amiri" w:cs="Amiri"/>
          <w:color w:val="111111"/>
          <w:sz w:val="28"/>
          <w:sz w:val="28"/>
          <w:szCs w:val="28"/>
          <w:rtl w:val="true"/>
          <w:lang w:bidi="ar-SA"/>
        </w:rPr>
        <w:t>وابن الجُنيد</w:t>
      </w:r>
      <w:r>
        <w:rPr>
          <w:rStyle w:val="FootnoteAnchor"/>
          <w:rtl w:val="true"/>
        </w:rPr>
        <w:footnoteReference w:id="1720"/>
      </w:r>
      <w:r>
        <w:rPr>
          <w:rFonts w:ascii="Amiri" w:hAnsi="Amiri" w:eastAsia="Amiri" w:cs="Amiri"/>
          <w:color w:val="111111"/>
          <w:sz w:val="28"/>
          <w:sz w:val="28"/>
          <w:szCs w:val="28"/>
          <w:rtl w:val="true"/>
          <w:lang w:bidi="ar-SA"/>
        </w:rPr>
        <w:t>من القول بالوجوب، ضعيفٌ‌</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718" w:name="pg11800_97269"/>
    </w:p>
    <w:p>
      <w:pPr>
        <w:pStyle w:val="BookText"/>
        <w:rPr/>
      </w:pPr>
      <w:bookmarkEnd w:id="718"/>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التنفّل قبلها وبعدها إلّافي مسجد النبيّ صلى الله عليه و آله قبل خروجه</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0478271_73709187"/>
      <w:bookmarkStart w:id="720" w:name="_Toc271"/>
      <w:bookmarkEnd w:id="719"/>
      <w:r>
        <w:rPr>
          <w:rtl w:val="true"/>
        </w:rPr>
        <w:t>فروع صلاة العيدين</w:t>
      </w:r>
      <w:bookmarkEnd w:id="720"/>
    </w:p>
    <w:p>
      <w:pPr>
        <w:pStyle w:val="Heading6"/>
        <w:numPr>
          <w:ilvl w:val="5"/>
          <w:numId w:val="1"/>
        </w:numPr>
        <w:rPr/>
      </w:pPr>
      <w:bookmarkStart w:id="721" w:name="__RefHeading___Toc10478273_73709187"/>
      <w:bookmarkStart w:id="722" w:name="_Toc272"/>
      <w:bookmarkEnd w:id="721"/>
      <w:r>
        <w:rPr>
          <w:rtl w:val="true"/>
        </w:rPr>
        <w:t>يُكره التنفّل قبلها وبعدها</w:t>
      </w:r>
      <w:bookmarkEnd w:id="7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التنفّل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مسجد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يستحبّ أن يُصلّي فيه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صلاة العيد، بلا خلافٍ يعتدّ به في شيءٍ من ذلك نصّاً وفتوىً‌،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مع الإمام سُنّة، وليس قبلهما ولا بعدهما صلاة ذلك اليوم إلّا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 آخر نحوه لكن فيه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الوِتر في ليلتك، قضيته بعد الزّوال</w:t>
      </w:r>
      <w:r>
        <w:rPr>
          <w:rFonts w:eastAsia="Amiri" w:cs="Amiri" w:ascii="Amiri" w:hAnsi="Amiri"/>
          <w:color w:val="111111"/>
          <w:sz w:val="28"/>
          <w:szCs w:val="28"/>
          <w:rtl w:val="true"/>
          <w:lang w:bidi="ar-SA"/>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 وِتر ليلتك إنْ كان فاتك حتّى تُصلّي الزّوال في يوم العيدين</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الروايتان من جهة دلالتهما على عدم قضاء الوتر، تكونان نصّين في إرادة مطلق النافلة، حتّى قضاء الرواتب، ولا يمكن حملهما على إرادة نفي شرعيّة </w:t>
      </w:r>
      <w:bookmarkStart w:id="723" w:name="pg11800_97270"/>
    </w:p>
    <w:p>
      <w:pPr>
        <w:pStyle w:val="BookText"/>
        <w:rPr/>
      </w:pPr>
      <w:bookmarkEnd w:id="72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التكبيرُ الزائد واجبٌ‌، وكذا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على سبيل التوظيف، وظاهرهما وإنْ كان الحرمة، إلّاأنّ شيوع وقوع التعبير بمثله بالنسبة إلى المكروهات، يمنع عن هذا الظهور، ولذا لم يستنتج الأصحاب منهما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الركعتين في مسجد النبيّ صلى الله عليه و آله، فيدلّ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محمّد بن الفضل الهاشمي،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في مسجد رسول اللّه صلى الله عليه و آله في العيد قبل أنْ يخرج إلى المُصلّى، ليس ذلك إلّابالمدينة، لأنّ رسول اللّه صلى الله عليه و آله فعله</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10478275_73709187"/>
      <w:bookmarkStart w:id="725" w:name="_Toc273"/>
      <w:bookmarkEnd w:id="724"/>
      <w:r>
        <w:rPr>
          <w:rtl w:val="true"/>
        </w:rPr>
        <w:t>قيل التكبير الزائد واجبٌ‌</w:t>
      </w:r>
      <w:bookmarkEnd w:id="7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التكبير الزائد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 مفصّلاً، وعرفت أنّه لو لم يكن أقوى فهو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المشهور</w:t>
      </w:r>
      <w:r>
        <w:rPr>
          <w:rStyle w:val="FootnoteAnchor"/>
          <w:rtl w:val="true"/>
        </w:rPr>
        <w:footnoteReference w:id="1726"/>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727"/>
      </w:r>
      <w:r>
        <w:rPr>
          <w:rFonts w:ascii="Amiri" w:hAnsi="Amiri" w:eastAsia="Amiri" w:cs="Amiri"/>
          <w:color w:val="111111"/>
          <w:sz w:val="28"/>
          <w:sz w:val="28"/>
          <w:szCs w:val="28"/>
          <w:rtl w:val="true"/>
          <w:lang w:bidi="ar-SA"/>
        </w:rPr>
        <w:t>دعوى الإجماع عليه، للأمر به في جملةٍ من النصوص، كصحيح الجُعفي المتقدّم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728"/>
      </w:r>
      <w:r>
        <w:rPr>
          <w:rFonts w:ascii="Amiri" w:hAnsi="Amiri" w:eastAsia="Amiri" w:cs="Amiri"/>
          <w:color w:val="111111"/>
          <w:sz w:val="28"/>
          <w:sz w:val="28"/>
          <w:szCs w:val="28"/>
          <w:rtl w:val="true"/>
          <w:lang w:bidi="ar-SA"/>
        </w:rPr>
        <w:t>، والمحقّق</w:t>
      </w:r>
      <w:r>
        <w:rPr>
          <w:rStyle w:val="FootnoteAnchor"/>
          <w:rtl w:val="true"/>
        </w:rPr>
        <w:footnoteReference w:id="1729"/>
      </w:r>
      <w:r>
        <w:rPr>
          <w:rFonts w:ascii="Amiri" w:hAnsi="Amiri" w:eastAsia="Amiri" w:cs="Amiri"/>
          <w:color w:val="111111"/>
          <w:sz w:val="28"/>
          <w:sz w:val="28"/>
          <w:szCs w:val="28"/>
          <w:rtl w:val="true"/>
          <w:lang w:bidi="ar-SA"/>
        </w:rPr>
        <w:t>، وابن سعيد</w:t>
      </w:r>
      <w:r>
        <w:rPr>
          <w:rStyle w:val="FootnoteAnchor"/>
          <w:rtl w:val="true"/>
        </w:rPr>
        <w:footnoteReference w:id="1730"/>
      </w:r>
      <w:r>
        <w:rPr>
          <w:rFonts w:ascii="IRNazanin" w:hAnsi="IRNazanin" w:eastAsia="IRNazanin"/>
          <w:color w:val="111111"/>
          <w:sz w:val="28"/>
          <w:sz w:val="28"/>
          <w:szCs w:val="28"/>
          <w:rtl w:val="true"/>
          <w:lang w:bidi="fa-IR"/>
        </w:rPr>
        <w:t>، والفاضل</w:t>
      </w:r>
      <w:r>
        <w:rPr>
          <w:rStyle w:val="FootnoteAnchor"/>
          <w:rtl w:val="true"/>
        </w:rPr>
        <w:footnoteReference w:id="1731"/>
      </w:r>
      <w:r>
        <w:rPr>
          <w:rFonts w:ascii="IRNazanin" w:hAnsi="IRNazanin" w:eastAsia="IRNazanin"/>
          <w:color w:val="111111"/>
          <w:sz w:val="28"/>
          <w:sz w:val="28"/>
          <w:szCs w:val="28"/>
          <w:rtl w:val="true"/>
          <w:lang w:bidi="fa-IR"/>
        </w:rPr>
        <w:t>القول بالاستحباب</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bookmarkStart w:id="726" w:name="pg11800_97271"/>
    </w:p>
    <w:p>
      <w:pPr>
        <w:pStyle w:val="BookText"/>
        <w:rPr/>
      </w:pPr>
      <w:bookmarkEnd w:id="726"/>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الخُطبتان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بخلوّ عدّة من الروايات الواردة في بيان الكيفيّة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ظهور ما تعرّض له فيه، لشهادةٍ سوقها بتعلّق الغرض ببيان ما هو أعمّ من الواجب والمندوب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يتضرّع بين كلّ تكبيرتين ويدعو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ينبغي 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خلوّ بعض الروايات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عدم الوجوب، لأنّه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عدم ظهور الروايات المتعرّضة له، فهي مكابرة، إذ لا وجه لها سوى اشتمالها على ما ليس بواجب، وهو لا يوجب عدم ظهورها في وجوبه، خصوصاً والروايات المتعرّضة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اشتمالها على ما هو واجب قطعاً كتقديم الصَّلاة على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هو الوجوب</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0478277_73709187"/>
      <w:bookmarkStart w:id="728" w:name="_Toc274"/>
      <w:bookmarkEnd w:id="727"/>
      <w:r>
        <w:rPr>
          <w:rtl w:val="true"/>
        </w:rPr>
        <w:t>تجب الخُطبتان بعدها</w:t>
      </w:r>
      <w:bookmarkEnd w:id="7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الخُطبتان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بيننا</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أصل وجوب الخطبتين، فلما يستفاد من الأخبار، لا سيّما النصوص المتعرّضة لبيان محلّها في العيدين، من أنّ هذه الصَّلاة وصلاة الجمعة من سنخٍ واحد من حيث الشرائط، فكما يشترط فيها الخطبتان، كذلك يشترط في هذه، وإلّا فالروايات المتعرّضة لهما لا تدلّ على وجوبهما في المقام، لورودها مورد حكم آخر</w:t>
      </w:r>
      <w:r>
        <w:rPr>
          <w:rFonts w:eastAsia="Amiri" w:cs="Amiri" w:ascii="Amiri" w:hAnsi="Amiri"/>
          <w:color w:val="111111"/>
          <w:sz w:val="28"/>
          <w:szCs w:val="28"/>
          <w:rtl w:val="true"/>
          <w:lang w:bidi="ar-SA"/>
        </w:rPr>
        <w:t xml:space="preserve">. </w:t>
      </w:r>
      <w:bookmarkStart w:id="729" w:name="pg11800_97272"/>
    </w:p>
    <w:p>
      <w:pPr>
        <w:pStyle w:val="BookText"/>
        <w:rPr/>
      </w:pPr>
      <w:bookmarkEnd w:id="729"/>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السَّفر بعد طلوع الشّمس قبلها، ويُكره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الدالّة على أنّه بعد الصَّلاة مستفيضة، كصحيحة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قبل الخطبتين</w:t>
      </w:r>
      <w:r>
        <w:rPr>
          <w:rFonts w:eastAsia="Amiri" w:cs="Amiri" w:ascii="Amiri" w:hAnsi="Amiri"/>
          <w:color w:val="111111"/>
          <w:sz w:val="28"/>
          <w:szCs w:val="28"/>
          <w:rtl w:val="true"/>
          <w:lang w:bidi="ar-SA"/>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10478279_73709187"/>
      <w:bookmarkStart w:id="731" w:name="_Toc275"/>
      <w:bookmarkEnd w:id="730"/>
      <w:r>
        <w:rPr>
          <w:rtl w:val="true"/>
        </w:rPr>
        <w:t>يُحرم السَّفر بعد طلوع الشّمس قبلها</w:t>
      </w:r>
      <w:bookmarkEnd w:id="7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السَّفر بعد طلوع الشّمس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اجتماع شروط وجوبها، لتعيّن صلاة العيد عليه، فليس له إيجاد ما هو سببٌ لفوتها من غير ضرورة شرعيّة أو حاجة مبيحة لتركها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مثل زماننا، فحيثُ لا تكون واجبة، فلا يحرم السَّفر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الفجر، كما هو المشهور</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صحيحة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الشخوص في يوم عيدٍ، فانفجر الصبح وأنتَ بالبلد فلا تخرج حتّى تشهد ذلك</w:t>
      </w:r>
      <w:r>
        <w:rPr>
          <w:rFonts w:eastAsia="Amiri" w:cs="Amiri" w:ascii="Amiri" w:hAnsi="Amiri"/>
          <w:color w:val="111111"/>
          <w:sz w:val="28"/>
          <w:szCs w:val="28"/>
          <w:rtl w:val="true"/>
          <w:lang w:bidi="ar-SA"/>
        </w:rPr>
        <w:t>»</w:t>
      </w:r>
      <w:r>
        <w:rPr>
          <w:rStyle w:val="FootnoteAnchor"/>
          <w:rtl w:val="true"/>
        </w:rPr>
        <w:footnoteReference w:id="1735"/>
      </w:r>
      <w:r>
        <w:rPr>
          <w:rFonts w:ascii="Amiri" w:hAnsi="Amiri" w:eastAsia="Amiri" w:cs="Amiri"/>
          <w:color w:val="111111"/>
          <w:sz w:val="28"/>
          <w:sz w:val="28"/>
          <w:szCs w:val="28"/>
          <w:rtl w:val="true"/>
          <w:lang w:bidi="ar-SA"/>
        </w:rPr>
        <w:t>أي تشهد العيد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وظاهرها وإنْ كان الحرمة، إلّاأنّها تُحمل على الكراهة، لدعوى اتّفاق الأصحاب</w:t>
      </w:r>
      <w:r>
        <w:rPr>
          <w:rStyle w:val="FootnoteAnchor"/>
          <w:rtl w:val="true"/>
        </w:rPr>
        <w:footnoteReference w:id="1736"/>
      </w:r>
      <w:r>
        <w:rPr>
          <w:rFonts w:ascii="Amiri" w:hAnsi="Amiri" w:eastAsia="Amiri" w:cs="Amiri"/>
          <w:color w:val="111111"/>
          <w:sz w:val="28"/>
          <w:sz w:val="28"/>
          <w:szCs w:val="28"/>
          <w:rtl w:val="true"/>
          <w:lang w:bidi="ar-SA"/>
        </w:rPr>
        <w:t>على عدم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واختصاصها بما إذا كانت العيد واجبة غير محتاج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يتعلّق بصلاة العيدين،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السابع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مؤلّفه الأحقر،</w:t>
      </w:r>
    </w:p>
    <w:p>
      <w:pPr>
        <w:pStyle w:val="BookText"/>
        <w:rPr/>
      </w:pPr>
      <w:r>
        <w:rPr>
          <w:rFonts w:ascii="Amiri" w:hAnsi="Amiri" w:eastAsia="Amiri" w:cs="Amiri"/>
          <w:color w:val="111111"/>
          <w:sz w:val="28"/>
          <w:sz w:val="28"/>
          <w:szCs w:val="28"/>
          <w:rtl w:val="true"/>
          <w:lang w:bidi="ar-SA"/>
        </w:rPr>
        <w:t>محمّد صادق الحسيني الروحاني عفى اللّه عنه،</w:t>
      </w:r>
    </w:p>
    <w:p>
      <w:pPr>
        <w:pStyle w:val="BookText"/>
        <w:rPr/>
      </w:pPr>
      <w:r>
        <w:rPr>
          <w:rFonts w:ascii="Amiri" w:hAnsi="Amiri" w:eastAsia="Amiri" w:cs="Amiri"/>
          <w:color w:val="111111"/>
          <w:sz w:val="28"/>
          <w:sz w:val="28"/>
          <w:szCs w:val="28"/>
          <w:rtl w:val="true"/>
          <w:lang w:bidi="ar-SA"/>
        </w:rPr>
        <w:t>ويتلوه الجزء الثامن إنْ شاء اللّه تعالى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إلّاباللّه، والحمدُ للّه أوّلاً وآخراً وظاهراً وباطناً</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11800_97275"/>
      <w:bookmarkStart w:id="733" w:name="pg11800_97275"/>
      <w:bookmarkEnd w:id="733"/>
    </w:p>
    <w:p>
      <w:pPr>
        <w:pStyle w:val="Heading2"/>
        <w:numPr>
          <w:ilvl w:val="1"/>
          <w:numId w:val="1"/>
        </w:numPr>
        <w:rPr/>
      </w:pPr>
      <w:bookmarkStart w:id="734" w:name="pg11800_97275"/>
      <w:bookmarkStart w:id="735" w:name="__RefHeading___Toc10478281_73709187"/>
      <w:bookmarkStart w:id="736" w:name="_Toc276"/>
      <w:bookmarkEnd w:id="734"/>
      <w:bookmarkEnd w:id="735"/>
      <w:r>
        <w:rPr>
          <w:rtl w:val="true"/>
        </w:rPr>
        <w:t>فهرس الموضوعات</w:t>
      </w:r>
      <w:bookmarkEnd w:id="736"/>
    </w:p>
    <w:p>
      <w:pPr>
        <w:pStyle w:val="BookText"/>
        <w:rPr/>
      </w:pPr>
      <w:r>
        <w:rPr>
          <w:rFonts w:ascii="Amiri" w:hAnsi="Amiri" w:eastAsia="Amiri" w:cs="Amiri"/>
          <w:color w:val="111111"/>
          <w:sz w:val="28"/>
          <w:sz w:val="28"/>
          <w:szCs w:val="28"/>
          <w:rtl w:val="true"/>
          <w:lang w:bidi="ar-SA"/>
        </w:rPr>
        <w:t>نيّة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لزوم التعيّين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اعتبار استمرار النيّة إلى آخر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نيّة القطع أو القاطع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حكم الضميمة المحرّمة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أقسام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الضميمة الرّاجحة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الضميمة المُباحة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العدول من صلاةٍ إلى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موارد جَواز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في تكبيرة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تكبيرة الإحرام من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صورة تكبيرة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العاجز عن النطق بالتكبيرة صحيحاً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تكبيرة الأخرس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رَفعُ اليدين حال التكبيرة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في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ما يعتبرُ في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نسيان الإنتصاب أو الاستقلال أو الاستقرار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دوران الأمر بين القيام الاضطراري والجلوس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دوران الأمر بين الاُمور المعتبرة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بدليّة الجلوس عن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صلاة المُضطَجع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الإيماء للرّكوع والسّجود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الواجبُ هو الإيماء المجرّد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هل يجوز للعاجز البدار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في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أدلّة وجوبُ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عدم وجوب السّورة الكاملة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موارد سقوط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حُكم من لا يُحسِنُ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حكم من لا يُحسِن القراءة، ولا يتمكّن من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قراءة الأخرس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 يجبُ في الرّكعات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القراءة أفضل أو التسبيح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إجزاء المرّة من التسبيحات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الخَلل في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أقسام المَدّ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الإدغام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الوقف بالحركة، والوصل بالسّكون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القراءات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جُزئيّة البَسملة من كلّ 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تعيين البسملة للسُّورة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العدول مِنْ سورةٍ إلى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العدول من الجَحد والتوحيد إلى الجمعة والمنافقين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لا يجوز العدول بعد الثُّلثين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العدول في مورد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نذر قراءة سورة معيّنة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القراءة من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اتّحاد الفيل ولإيلاف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الجَهرُ بالقراءة على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الإخفات في الرّكعتين الأخيرتين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الجَهرُ في ظهر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لا جَهر على النِّساء في الصّلوات الجَهريّة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حكم الجهر في موضع الإخفات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التمييز بين الجهر والإخفات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قراءة العزيمة في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استماع آية السَّجدة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قراءة العزيمة سهواً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المُحرّم قراءة آية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لا يجوزُ قراءة ما يفوت الوقت بقراءته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في القِران بين سورتين أو أزيد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يستحبُّ الجهر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يستحبُّ قراءة بعض السّور في بعض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ركوع الجالس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اعتبار الطمأنينة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اعتبار الذّكر في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الانتصاب بعد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التكبير للرّكوع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مستحبّات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مكروهات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يجبُ السّجود على سبعة 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حَدّ الجَبهة وما يجب وضعه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حدود سائر ما يجبُ وضعه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مساواة موضع الجبهة للموقف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المراد من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حكم السّجود على المرتفع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وضع الجبهة على ما لا يَصحّ السّجود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حكم الطين اللّاصق بالجَبهة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حكم الجَبهة المندملة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مستحبّات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الإرغام بالأنف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جِلْسة الإستراحة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مكروهات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الإقعاء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سجودُ العَزيمة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أحكام سجود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ما يعتبر في سجود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في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واجبات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كيفيّة الشهادتين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مستحبّات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حكم من لا يُحسِنُ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أدلّة عدم وجوب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صورة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مسائل باب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لا يعتبر نيّة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مستحبّات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مندوبات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ما به الإفتتاح من التكبيرات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محلّ القنوت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ما يُعتبر في القنوت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حكم القنوت بغير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البحث عن نواقض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تعمّد الإلتفات عن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الإلتفات بتمام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الإلتفات بالوجه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تعمّد الكلام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القهقهة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الفعل الماحي لصورة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في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التكتّف والتكفير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مكروهات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حرمة قطع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حكم عَقْصِ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تسميت العاطس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حكم رَدّ السَّلام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في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وقت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في خروج وقت الجمعة وهو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إدراك الإمام في الرّكعة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اشتراط وجوب الجمعة بالسّلطان العادل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أدلّة وجوبها 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أدلّة اشتراط السلطان العادل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في اشتراط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اشتراط الخطبتين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تجبُ عليه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لو تكلّف الحضور للجمعة من لا تجب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ما يعتبر في الخُطبتين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شروط صحّة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وقت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كيفيّة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مستحبّات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الرسالة مؤخّراً في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لسان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جواب المؤلّف والعلماء على أدلّة المُجْبِرة لما ذهبوا إليه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لأمير المؤمنين عليه السلام العلّامة في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شوقاً لجنّتك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طمعاً في ثوابك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كاشف الغطاء في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9/161</w:t>
      </w:r>
      <w:r>
        <w:rPr>
          <w:rFonts w:ascii="IRNazanin" w:hAnsi="IRNazanin" w:eastAsia="IRNazanin"/>
          <w:b w:val="false"/>
          <w:b w:val="false"/>
          <w:bCs w:val="false"/>
          <w:i w:val="false"/>
          <w:i w:val="false"/>
          <w:iCs w:val="false"/>
          <w:color w:val="333333"/>
          <w:sz w:val="20"/>
          <w:sz w:val="20"/>
          <w:szCs w:val="20"/>
          <w:rtl w:val="true"/>
        </w:rPr>
        <w:t>، والهمداني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دلالة صيغة الأمر على الوجوب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 عن كشف الالتباس،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والكاشاني في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ونهاية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والشهيد الثاني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أبواب النيّة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والمحقّق الحِلّي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الفاضل الأصبهاني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رواية أبي بصير،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زاد في صلاته فعليه الإعادة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الضميمة المباحة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في 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كظاهر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والكركي في 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ونسبه إلى المشهور 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والمحقّق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والعاملي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الاستصحاب التعليقي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خبر ناصح المؤذّن،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اُصلّي في البيت وأخرج إليهم،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إجعلها نافلة ولا تكبّر معهم في الصَّلاة، فإن مفتاح الصَّلاة التكبير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والفاضل الاصبهاني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للمشهور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التفسير لمشهور المتأخّرين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الدعوى هو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زبدة الاُصول، 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على وجوب التعلّم لهؤلاء، أو كراهة الصَّلاة جماعة، أو عدم صحّتها بإمامتهم، بما دلَّ على وجوب التعلّم والقراءة على الوجه المخصوص، نعم ربما يستدلّ بل بعضهم كصاحب الحدائق استدلّ برواية الحميري في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قد ترى من المحرّم من العجم لا يراد منه ما يُراد من العالم الفصيح، وكذلك الأخرس في القرآءة في الصَّلاة والتشهّد وما أشبه ذلك، فهذا بمنزلة العجم المحرم لا يُراد منه ما يراد من العاقل المتكلّم الفصيح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لا يستطيع أن يؤدِّي الفاء، وقيل الذي يكرّر الفاء، فالأوّل لا تصحّ إمامته، والثاني تصحّ كما عليه 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يؤدّي التاء، وقيل الذي يكرّر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بينهما كسابقه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يجعل الرّاء عيناً، وفي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الألثغ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يبدل السين ثاء، وقال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يبدِّل مكان حرف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يأتي بالحروف على البيان والصحّة كما في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ناصح المؤذّن، عن أبي عبد اللّه عليه السلام، في حديثٍ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مفتاح الصَّلاة التكبير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تخريجهما تحت العنوان السابق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قدس سره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والمحقّق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والشهيد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والشهيد الأوّل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الإجماع عن إرشاد الجعفريّة 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 في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والميرزا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تكيبرة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الشهيدالأوّل في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والمحدِّث البحراني قدس سره في الحدائق عن أبي الفتح الكراجكي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روي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والمختصر النافع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وابن فهد الحِلّي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وتحرير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التكبير من هذا المجلّد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طرف منها آنفاً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زاد في صلاته فعليه الإعادة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والبهبهاني في 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له 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والبهبهاني في 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والمقدّس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قوّاه 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والنراقي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والفاضل الشهيد الإصبهاني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والجواهري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ascii="IRNazanin" w:hAnsi="IRNazanin" w:eastAsia="IRNazanin"/>
          <w:b w:val="false"/>
          <w:b w:val="false"/>
          <w:bCs w:val="false"/>
          <w:i w:val="false"/>
          <w:i w:val="false"/>
          <w:iCs w:val="false"/>
          <w:color w:val="333333"/>
          <w:sz w:val="20"/>
          <w:sz w:val="20"/>
          <w:szCs w:val="20"/>
          <w:rtl w:val="true"/>
        </w:rPr>
        <w:t xml:space="preserve">، والسيّد اليزدي في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والميرزا النائيني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يدلّ عليه في أوّل مبحث القيام،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والسبزواري في ذخيرة المعاد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والفاضل الإصبهاني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الحكيم قدس سره في الستمسك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عن 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الأنصاري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القاعدة في زبدة الاُصول، 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والسيّد الخوئي في 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قدس سره في مستمسك العروة الوثقى وردّه، ولم يتعرّض فيه الى التخيّر، راجع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رأى المصنّف دام ظله هو أنّ المرجع إلى أخبار الترجيح والتخيير، وحيث لا مرجع لشيءٍ منهمافيحكم بالتخيير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منه في كتاب الصَّلاة للنائيني تقريرات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من 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منهاج الصالحين للسيد الخوئى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والمحقّق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والفاضل الإصبهاني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وصاحب الجواهر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9/257</w:t>
      </w:r>
      <w:r>
        <w:rPr>
          <w:rFonts w:ascii="IRNazanin" w:hAnsi="IRNazanin" w:eastAsia="IRNazanin"/>
          <w:b w:val="false"/>
          <w:b w:val="false"/>
          <w:bCs w:val="false"/>
          <w:i w:val="false"/>
          <w:i w:val="false"/>
          <w:iCs w:val="false"/>
          <w:color w:val="333333"/>
          <w:sz w:val="20"/>
          <w:sz w:val="20"/>
          <w:szCs w:val="20"/>
          <w:rtl w:val="true"/>
        </w:rPr>
        <w:t xml:space="preserve">، والشيخ الأنصاري في كتاب الصَّلاة 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المجلّد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المحقّق قدس سره عن حمّاد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المرتضى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للأعظم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المبحث السابق،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للمشهور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وأبو المجد الحلبي في 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للمشهور السيّد الطباطبائي قدس سره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للأصحاب الشيخ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والشهيد الثاني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القيام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والميرزا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والمحقّق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إلّاأنّه حكى الشيخ الأنصاري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المحقّق والعلّامة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فيما تأخّر من كتبهما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المقداد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والفيض الكاشاني في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والقول به خرقٌ للإجماع المركّب كما عن السيّد الخوئي قدس سره في 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القراة في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الكسوف والآيات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فاتحة الكتاب وحدها تجزي في الفريضة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فاتحة الكتاب تجزي وحدها في الفريضة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نسبة وجوب قراءة سورة كاملة إلى ظاهر المذهب،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بعض السّورة أو أكثرها يجوز مع الاختيار، غير أنّه إذا قرأ بعض السّورة، أو قرن بين سورتين بعد الحمد، لا يحكم ببطلان الصَّلاة، ويجوز كلّ ذلك في حال الضرورة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والفاضل الإصبهاني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أوّل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وجوب السّورة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التعلّم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ما ورد في رواية زرارة، عن أبي عبد اللّه عليه السلام في حكم الحائض المرويّ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تدعُ الصَّلاة على حال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التعليق عليها، وذكرنا أنّ الظاهر أنّ أوّل من ذكر هذا الحديث بهذا اللّفظ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ويشبهه تعبير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يسقط عن هؤلاء الصَّلاة بحال، وهو مستفادٌ ممّا رواه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لا تدع الصَّلاة على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 أبي عبد اللّه عليه السلام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بحر العلوم في منظومته الدرّة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وابن فهد في الموجز 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والميرزا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الشهيد الثاني في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مبحث القراءة،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ما ورد في رواية زرارة، عن أبي عبد اللّه عليه السلام في حكم الحائض المرويّ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تدعُ الصَّلاة على حال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دوران الأمر بين الأقلّ والأكثر الارتباطيين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مبحث القراءة،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لمشهور المتأخّرين المحدِّث البحراني قدس سره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8/112</w:t>
      </w:r>
      <w:r>
        <w:rPr>
          <w:rFonts w:ascii="IRNazanin" w:hAnsi="IRNazanin" w:eastAsia="IRNazanin"/>
          <w:b w:val="false"/>
          <w:b w:val="false"/>
          <w:bCs w:val="false"/>
          <w:i w:val="false"/>
          <w:i w:val="false"/>
          <w:iCs w:val="false"/>
          <w:color w:val="333333"/>
          <w:sz w:val="20"/>
          <w:sz w:val="20"/>
          <w:szCs w:val="20"/>
          <w:rtl w:val="true"/>
        </w:rPr>
        <w:t>، وللمشهور السيّد الطباطبائي قدس سره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تكبيرة الإحرام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الصَّلاة للشيخ الأنصاري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ومدارك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ومفاتيح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وحكاه الشيخ عن والد الصدوق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عن ابن أبي عقيل العماني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الفاضل المقداد عن الشيخين في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وما شهد بوجدانه في كتب الأخبار المحدِّث البحراني رحمه الله في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وعن والد الصدوق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8/388</w:t>
      </w:r>
      <w:r>
        <w:rPr>
          <w:rFonts w:ascii="IRNazanin" w:hAnsi="IRNazanin" w:eastAsia="IRNazanin"/>
          <w:b w:val="false"/>
          <w:b w:val="false"/>
          <w:bCs w:val="false"/>
          <w:i w:val="false"/>
          <w:i w:val="false"/>
          <w:iCs w:val="false"/>
          <w:color w:val="333333"/>
          <w:sz w:val="20"/>
          <w:sz w:val="20"/>
          <w:szCs w:val="20"/>
          <w:rtl w:val="true"/>
        </w:rPr>
        <w:t>، والمحقّق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في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والشهيد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والمحقّق الأردبيلي في مجمع الفائدة ج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ونسبه الشهيد الثاني إلى المشهور في الفوائد العليّة كما عن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والألفيّة والنفليّة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والشهيدالثاني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والفاضل المقداد في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 عن كتاب المصابيح الطباطبائيّة،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الإيراد للسيّد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كتاب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الصَّلاة 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قدر التسبيح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سليمان الماحوزي البحراني قدس سره، وذكر السيّد الخوئي قدس سره فيما استدل به على وثاقته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زهاءستمائة مورد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وذهب إليه 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والجمل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وعمل يوم وليلة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عن مصباح السيّد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علي بن محمّد القمّي في جامع الخلاف والوفاق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وسلار الديلمي في المراسم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والقاضي في شرح الجمل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والموجود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الصّلاح الحلبي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جهة التخيير في الرّكعتين الأخرتين من الرباعيّات وثالثة المغرب بين الحمد وحدها وبين ثلاث تسبيحات سبحان اللّه والحمدُ للّه ولا إله إلّااللّه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الإسكافي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لابن طاووس 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والسبزواري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التخيير بين ما ورد في خصوص الصحاح، والتخيير بين ما في صحيحي زرارة، والتخيير بين الأربع والتسع والعشر والإثنتي عشرة، والتخيير بين العشر والإثنتي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6/259</w:t>
      </w:r>
      <w:r>
        <w:rPr>
          <w:rFonts w:ascii="IRNazanin" w:hAnsi="IRNazanin" w:eastAsia="IRNazanin"/>
          <w:b w:val="false"/>
          <w:b w:val="false"/>
          <w:bCs w:val="false"/>
          <w:i w:val="false"/>
          <w:i w:val="false"/>
          <w:iCs w:val="false"/>
          <w:color w:val="333333"/>
          <w:sz w:val="20"/>
          <w:sz w:val="20"/>
          <w:szCs w:val="20"/>
          <w:rtl w:val="true"/>
        </w:rPr>
        <w:t xml:space="preserve">، وانظر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الجواهر والسيّد الحكيم حكاية الوجوب عن البهائي وصاحب المعالم وولده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والذخيرة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9/138</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حكاه عنه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 عن الأصحاب،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كاشف الغطاء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والشيخ الأنصاري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والمحقّق الهمداني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للرَّضي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شافية ابن الحاجب ضمن شرح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كالرَّضي في 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وابن مالك في ألفيّته، وابن عقيل في شرحها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المجلسي الأوّل رحمه الله،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وتبعه الشيخ الأنصاري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العاملي في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علمائنا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والسيّد ابن طاووس في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والسيّد نجم الدين الرّضي في موضعين من شرح الكافية كما عن السيّد نعمة اللّه الجزائري في نور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والخوانساري والبهائي كما عن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والميرزا القمّي في القوانين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والشيخ الآخوند في 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والسيّد الخوئي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كونها من الفاتحة يجب قراءتها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وبتفاوت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والمحقّق الهمداني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والشهيدالثاني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الهمداني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عن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والمحكيّ عن ظاهر الموجز في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8/211</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الهمداني رحمه الله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كالفقيه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والجامع للشرائع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والموجز الحاوي، حكاه عنه العاملي في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والحدائق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وظاهر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والسبزواري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الحكيم في المستسمك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عن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وزبدة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عن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وابن العلّامة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وبتفاوت في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واحدة عند آل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علماءنا يذهبون إلى كونها سورة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روض الجنان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الأكثر المحدِّث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العبارة في الكتاب، والموجود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وعندنا أنّه لا يجوز قراءة هاتين السورتين إلّافي ركعة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والأردبيلي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الطبرسي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له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وتشهد له رواية سماعة عن الإمام الصادق عليه السلام في حديثٍ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المخافة دون سمعك، والجهر أن ترفع صوتك شديداً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 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عن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 وحكاه عنه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والشهيد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8/140</w:t>
      </w:r>
      <w:r>
        <w:rPr>
          <w:rFonts w:ascii="IRNazanin" w:hAnsi="IRNazanin" w:eastAsia="IRNazanin"/>
          <w:b w:val="false"/>
          <w:b w:val="false"/>
          <w:bCs w:val="false"/>
          <w:i w:val="false"/>
          <w:i w:val="false"/>
          <w:iCs w:val="false"/>
          <w:color w:val="333333"/>
          <w:sz w:val="20"/>
          <w:sz w:val="20"/>
          <w:szCs w:val="20"/>
          <w:rtl w:val="true"/>
        </w:rPr>
        <w:t xml:space="preserve">، والمحقّق الهمداني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الجواد الكاظمي في مسالك الأفهام إلى آيات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وحكاه عنه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ومجمع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وحكاه السيّد العاملي عن كشف الالتباس وإرشاد الجعفريّة وشرح جمل السيّد للقاضي في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لغير واحد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منهم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والفاضل الاصبهاني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ويظهر من صاحب الجواهر أنّه المعروف،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عن ابن الجنيد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وذهب له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الهمداني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من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من المواقيت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لمشهورهم الشيخ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93/741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والمحقّق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والشهيد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لجمهور المتأخّرين المحدِّث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 المكروهة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الكلام عن ذلك في غير موضع هنا، منها ما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لايجوز قراءة ما يفوت الوقت بقراءته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الأكثر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إرشاد الجعفريّة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الشهيد الثاني في شرح النفليّة كما حكاه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للمشهور 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وروض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رحمه الله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في 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في 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وابن شهرآشوب في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الركوع ووجوبه وركنيّته إجماعي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ركنٌ‌إجماعاً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ركنٌ بغير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التحديد المذكور فهو قول العلماء كافّة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مسنده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ومثله الطبراني في المجمع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ورواه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ضبط بعض الألفاظ،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ركعت فألقم ركبتيك كفّيك</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التحديد المذكور فهو قول العلماء كافّة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بحيث لو أراد وضع يديه لأمكنه ذلك بالإجماع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وطويل اليدين ينحني كالمستوي وكذا قصيرهما ومقطوعهما حملاً لألفاظالنصوص على الغالب، ولأنّه الراجح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نسبه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الخلاف سوى ما في مجمع البرهان، ونسبه السيّد في المستمسك الى المشهور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غير واحد إرسال المُسلَّمات، وحكاه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العلماء كافّة كما سيأتي، وفي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خلاف فيه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دليلنا أنّه لا خلاف إذا صلّى مَنْ هذه صفته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العجز عن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في أنّ صلاته ماضية، وليس على قول من إنّه إذا صلّى جالساً تصحّ صلاته دليل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 قائماً ويؤمى للرّكوع، وعليه علماؤنا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مراراً أنّ المرجع في تعارض العامّين من وجه أخبار الترجيح والتخيير، وحيث لا مرجّح لشيءمنهما فيحكم بالتخيير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أنّ الأوجه هو الرجوع إلى أخبار الترجيح، وهي تقتضي تقديم الأوّل، لكونه أشهر، فما أفاده المشهورأقوى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الأصحاب على وجوب الذّكر في الرّكوع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الذّكر في الرّكوع بإجماعنا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الذّكر في الرّكوع بإجماعنا، وأكثر الأصحاب قالوا بتعيين التسبيح، واختاره الشيخ في الخلاف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تجزي تسبيحة واحدة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الأصحاب على وجوب الذّكر في الرّكوع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بينهم في أنّ التسبيح لا يتعيّن، بل ذكر اللّه تعالى‌، ولا خلاف في أنّ مَن قال سبحان اللّه فقد ذكر اللّه تعالى‌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8041</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بينهم في أنّ التسبيح لا يتعيّن، بل ذكر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يتعيّن التسبيح‌؟ الأقوى المنع لقول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نُسب تعيّن التسبيحة الكبرى إلى بعض علمائنا وإلى آخرين مرّة أو ثلاث مرّات سبحان اللّه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فيه عدَّة روايات في ذلك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العلماء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الموجبون للتسبيح من علمائناعلى أنّ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الضرورة يجزي الواحدة مع الصغرى‌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 منّا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لاعتباره أنّه ركن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إلى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اختيار ابن فهد الحِلّي في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يعتبر في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ترك الاعتدال عن الرّكوع والسّجود في صلاة النفل عمداً، لم تبطل صلاته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ويستحبّ التكبير وقال به أكثر أهل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عند علمائنا الاستحباب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عقيل وسلّار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الفقيه الشيخ أبي يعلى حمزة بن عبد العزيز الديلمي،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قال فيه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أصحابنا من ألحق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بواجبات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تكبيرات الرّكوع والسّجود والقيام والقعود والجلوس في التشهّدين، والتسليم وهو الأصحّ في نفسي، وما عدا ذلك فمسنون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انفردت به الإماميّة القول بوجوب رفع اليدين في كلّ تكبيرات الصَّلاة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1/226/856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104/303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التكبير قائماً فإذا فرغ منه أهوى إلى السّجود عند علمائنا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التكبير للرّكوع قائماً وفي الخلاف يجوز هاوياً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استدلال السيّد الخوئي قدس سره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 قال جميع العلماء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ذلك من المحقّق الهمداني في غير مورد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تحدّث عن المستحبّات المتزاحمة، منها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8099</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الإنحناء وشرعاً وضع الجبهة على الأرض وشبهها، وهو واجب بالنصّ والإجماع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والشهيد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الأعظُم التي يقع عليها السّجود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على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علمائنا أجمع إلّاالمرتضى فإنّه قال عوض الكفّين مفصل الكفّين عند الزّندين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وفي الموردين صرّح بأفضليّة الاستيعاب بعد تصريحه بعدم الوجوب، وفي الرسائل السعديّة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للاستيعاب، ولكنّه أطلق في وضع الجبهة مقابل طرف الأنف، الذي اعتبره غير صحيح، وفي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بكفاية المسمّى، فراجع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وأقلّ ما يجزي أن يصيب الأرض من جبهتك قَدَر الدرهم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من الأصحاب أنّه يكفي فيما عدا الجبهة من هذه الأعضاء مايصدق عليه الاسم ولا يجب الاستيعاب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اعتبره المشهور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xml:space="preserve">، وفي كتاب الصَّلاة للشيخ عبد الكريم الحائري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اعتبره المشهور، ونقل دعوى الإجماع على ذلك عن بعض</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يجب استيعاب جميع الكفّ بالسجود؟ عندي فيه تردّد، والحمل على الجبهة يحتاج إلى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والوجه تعيّن الإبهامين إلّامع تعذّر السّجود عليهما لعدمهما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وإبهامي الرجلين لايتعيّن رؤوسهما، وإنْ كان أحوط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النساء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وأطراف أصابع الرجلين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ولكنّه يظهر منه غير ذلك في بحث تحنيط الميّت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 أصابع الرجلين لأنّهما تمام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ذكر ظاهر الأصابع دون الأطراف معلّلاً بأنّها من المساجد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وضع بعض كفّيه أو ركبتيه أو بعض أصابع رجليه أجزء، والكمال أن يضع العضو بكامله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لأبي الصّلاح الحلبي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 على سبع،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وأطراف الأصابع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أنْ يكون موضع السّجود أعلى من موقف المصلّى بالمعتدّ اختياراً عند علمائنا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أغلب من تعرّض لدعوى الإجماع هو ناقل لكلام المعتبر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علماؤنا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أرفع من قيامه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الشهيدالثاني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 كلام المتقدّمين عدم لحوق الانخفاض بالارتفاع، فيجوز بأيّ قدَر، وعن التذكرة الإجماع وهو الحقّ والأصل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الهمداني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على المرتفع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فيها صعود ونزول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الرسائل العشر لابن فهد الحِلّي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مثل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ascii="IRNazanin" w:hAnsi="IRNazanin" w:eastAsia="IRNazanin"/>
          <w:b w:val="false"/>
          <w:b w:val="false"/>
          <w:bCs w:val="false"/>
          <w:i w:val="false"/>
          <w:i w:val="false"/>
          <w:iCs w:val="false"/>
          <w:color w:val="333333"/>
          <w:sz w:val="20"/>
          <w:sz w:val="20"/>
          <w:szCs w:val="20"/>
          <w:rtl w:val="true"/>
        </w:rPr>
        <w:t>، ورواه الشيخ أيضاً في التهذيب والاستبصار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وبمعناه ما في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الاعتدال في الرّكوع، والسنن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الطمأنينة في الرّكوع والقيام منه والسّجود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تستوي قائماً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تعتدل قائماً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أجاد العلّامة الطباطبائي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بالزائد ما به يتمّ فرض ونفل في الصَّلاة فاستقم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عن ظاهر المبسوط كما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ولم يتعرّض الشيخ لخصوص ذلك، ولكنّه قال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السّجود على كور العمامة ولا على شيء هو لابسه، ولا على شيء من جوارحه مثل كفّه إلّاعند الضرورة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الوجوه التي ذكرها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قول علمائنا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علمائنا وأكثر العامّة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المقدس 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 على أحد الجبينين ذكره الأصحاب، بل يفهم عدم الخلاف في تقديمه على الذقن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استظهر قدس سره التخيير بين أحد الجبينين والسّجود على الذقن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المجلّد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 الهدى في المصباح</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إذا ركع ثمّ رفع رأسه، أيبدأ فيضع يديه على الأرض أو ركبتيه‌؟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يضرّه بأيّ ذلك بدأ هو مقبول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وضع الرّكبتين على الأرض في السّجود قبل اليدين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استحباب الإرغام فعليه علماؤنا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وصف الصَّلاة من فاتحتها إلى خاتمتها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والإرغام بالأنف في السّجود ولو بقول الإجماع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استحباب الإرغام فعليه علماؤنا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أرسل استحباب ذلك غير واحد من الفقهاء إرسال المُسلَّمات، كالشهيد في مجمل كتبه، وكثير من المتأخّرين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الأنف على ما يصحّ السّجود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والإرغام بطرف الأنف ممّا يلي الحاجبين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السّجود وواجباته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والإرغام بطرف الأنف ممّا يلي الحاجبين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يماس الأرض بطرف الأنف وحدبته إذا أمكن للرجل والمرأة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واستحباب هذه الجلسة مذهب أكثر الأصحاب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فقد عبّر عن إيجاب السّجدة بأنّه مظنّ انفراد الإماميّة،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والحُجّة بعد إجماع الطائفة طريقة براءة الذمّة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الجُنيد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 رأسه من السّجدة الثانية في الرّكعة الاُولى والثالثة حتّى تماس إلياه الأرض أو اليسرى وحدها يسيراً ثمّ يقوم جاز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أبي عقيل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النهوض ألزم إلييه الأرض ثمّ نهض معتمداً على 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غير واحد عن المعتبر كالشهيد الثاني وصاحب المدارك وغيرهما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الجُنيد وابن إدريس ونقله أصحابنا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فعندي فيه تردّد وأحوطه الوجوب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بنينا أخيراً على أصالة التداخل، ممّا يعني كفاية السّجدة الواحدة في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المجلّد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مذهب علمائنا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تحدّث عن التشهّد في ضمن حديثه عن المعتقدات والعبادات التي هي من دين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وفي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ونفى عنه الخلاف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9120</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بالمشهور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الشيخ الأنصاري في كتابه الصَّلاة عن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وآل محمّد وما زاد فهو مستحبّ بلاخلاف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المجلّد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الكشّاف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خلاصة الأذكار للكاشاني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وقد فصّل في ذلك في 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المجلّد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المتقدّمين والمتأخّرين،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وفاقاً للصدوق والحسن والجُعفي والمرتضى وابني حمزة وزهرة وسلّار والتقي ويحيى بن سعيد وأبي صالح وأبي سعيد من علمائنا الحلبيين، والقطب الراوندي وابن المتوج وابن طاووس والفاضل في المنتهى، بل عن ولده أنّه الذي استقرَّ عليه رأيه، والآبي والشهيد والمقداد وابن فهد والصيمري والبهائي والحرّ العاملي والكاشاني والمحدّث البحراني والفاضل الإصبهاني والمحقّق البهبهاني والعلّامة الطباطبائي وشيخنا المعتبر الأوحد الشيخ جعفر على ما حكي عن البعض، بل لعلّه هو الذي استقرّ عليه المذهب في عصرنا وما راهقه، كما أنّه في المحكيّ عن الروض نسبته إلى أكثر المتأخّرين، بل عن الأمالي نسبته إلى دين الإماميّة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الذي ذكر الفضل بن شاذان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الحبل المتين والمفاتيح أنّه واجب خارج عن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إليه أو قال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قطع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يميل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نقل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أن يكون 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بالسلام علينا وعلى عباد اللّه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للحديث الذي رواه ابن اُذينة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الأنصاري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 أحدهما تكبيرة الإحرام على المشهور المعروف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قال في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عندي من التأمّل في أخبار المسألة أنّها الأولى خاصّة، وممّن تفطّن إلى ذلك من محقّقي متأخّري المتأخّرين شيخنا البهائي في حواشي الرسالة الاثني عشريّة والمحدّث الكاشاني في الوافي والسيّد الفاضل المحدّث السيّد نعمة اللّه الجزائري، بل صرّح بتعيين الأُولى لذلك</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الأفضل جعلها الأخيرة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وتكبيرة الإحرام هي التي ينوي بها الدخول في الصَّلاة، سواء قصد بالأولى وبالأخيرة أو بالوسطى أو غيرها، فإنْ نوى بالأولى تكبيرة الإحرام، كان ما عداها واقعاً في الصَّلاة، وإنْ نوى بالأخيرة ذلك كان ما عداها واقعاً خارج الصَّلاة، والأفضل أن ينوي بالأخيرة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وأوجبه ابن أبي عقيل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ابن أبي عقيل العماني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ثانية قبل الرّكوع بعد القراءة، والناسي يقضيه بعد الرّكوع، وآكده في الغداة والمغرب، وأدون منه الجهريّة، ثمّ الفريضة مطلقاً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جواهر الفقه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ومحلّه الأفضل قبل الرّكوع وهو مذهب علمائنا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ومحلّها قبل الرّكوع بعد الفراغ من القراءة لا ينبغي تركه مع الاختيار، إلّافي حال الضرورة أو التقيّة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في من لا يحضر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شيخنا محمّد بن الحسن بن أحمد بن الوليد، عن سعد بن عبد اللّه إنّه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الدُّعاء في القنوت بالفارسيّة، وكان محمّد بن الحسن الصفّار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يجوز، والذي أقول به إنّه يجوز</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شيخنا أبو جعفر بن بابويه رحمه الله عن شيخه محمّد بن الحسن بن أحمد بن الوليد، عن سعد بن عبد اللّه رضى الله عنه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الدُّعاء في القنوت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أقوال بعض المجوّزين، والروايات التي يستدلّ بها على الجواز،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اختاره ابن بابويه هو الحقّ عندي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7/233</w:t>
      </w:r>
      <w:r>
        <w:rPr>
          <w:rFonts w:ascii="IRNazanin" w:hAnsi="IRNazanin" w:eastAsia="IRNazanin"/>
          <w:b w:val="false"/>
          <w:b w:val="false"/>
          <w:bCs w:val="false"/>
          <w:i w:val="false"/>
          <w:i w:val="false"/>
          <w:iCs w:val="false"/>
          <w:color w:val="333333"/>
          <w:sz w:val="20"/>
          <w:sz w:val="20"/>
          <w:szCs w:val="20"/>
          <w:rtl w:val="true"/>
        </w:rPr>
        <w:t xml:space="preserve">، 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قواطع الصَّلاة وما يجوز فيها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أمالي الصدوق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وأيضاً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 التالية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الحَدَث الواقع في أثناء الصَّلاة والقهقهة والنوم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عند عَدّ النواقض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استدبار القبلة مطلقاً، أو اليمين أو اليسار مع بقاء الوقت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المفاتيح، الالتفات الفاحش عمداً مبطل وفاقاً للمشهور،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غير الفاحش، وأمّا سهواً فإن لم يبلغ اليمين واليسار لم يضرّه، وإن بلغ وأتى بشيءٍ من الأفعال أعاد في الوقت دون خارجه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استقبال القبلة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حديث رقم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أيضاً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الصَّلاة إلى غير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الأبواب لا سيّما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بل ما عليه الإجماع عن غير واحد أنّ التكلّم عن سهو، يوجب سجدتي السَّهو، ولا إعادة، وهذا يعني صحّة الصَّلاة، وفي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المشهور بين الأصحاب قديماً وحديثاً نقلاً وتحصيلاً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وكذلك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 منّا وعليه أكثر العلماء</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مذهب أهل العلم كافّة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زهرة في غُنية النزوع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تعمّد القهقهة في الصَّلاة وتبطلها إجماعاً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مدَّ ورجع، وإذا خفَّف قيل قه الضَّاحك</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الناسي فلا يأثم ولا تبطل صلاته إجماعاً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 أهل العلم كافّة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الإثنا عشريّة للشيخ البهائي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الأصحاب على أنّ الأكل والشرب عمداً 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فيه عدّة روايات على ذلك</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المجلّد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الخوئي قدس سره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الإتمام عن الشيخ بالنسبة إلى الصبي إذا بلغ أثناء الصَّلاة، ولم يتبنّى ذلك، ولكن في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صلاة الكسوف تبنّى وجوب الإتمام بقوله بعد ذكر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على وجوب الإتمام مع سعة الحاضرة، أنّه قد شرع في صلاةٍ واجبة، فيجب عليه إكمالها، ولا يجوز له إبطالها، لأنّ المقتضي لتحريم الإبطال موجود 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تُبْطِلُوا أَعْمالَكُمْ‌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والنهي للتحريم ويجوز عند الضرورة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غير واحد عن المفيد قوله بالحرمة تارةً وبالكراهة اُخرى‌، وسبب اختلاف الحكاية عنه يرجع إلى استظهارهم من عباراته، وعبارته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ينبغي للرّجل إذا كان له شعر أن يُصلّي وهو معقوص حتّى يحلّه، وقد رُخّص في ذلك للنساء</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هو مذهب الأصحاب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7/268/9306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المجلّد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المسألة الثامنة والسبعون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الشهيد في ذكرى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القديمة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المجلسيين تحديد وقتيها من الزّوال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السيّد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وصاحب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أنّه يدرك الرّكعة بإدراك الإمام راكعاً وإن لم يدرك تكبيرة الرّكوع بل يدرك الرّكعة لو اجتمع مع الإمام في جزء منه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يظهر من كتاب الصَّلاة للسيّد الخوئي قدس سره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صلاة الجمعة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كان فيثبت بالآية المباركة وجوب صلاة الجمعة تعييناً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الفقيه الكبير آية اللّه العظمى السيّد حسين البروجردي في كتابه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سبقه إلى هذا الاحتمال السيّد بحر العلوم،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في حواشي الفقيه المطبوع بالهند أنّ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جمعة لأقلّ‌، 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لعلّه من كلام المؤلّف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تجب عليه الجمعة،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ذلك في بداية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اشتراط وجوب الجمعة بالسلطان العادل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المعلّق على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الأشعثيّات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جعفر بن محمّد عن آبائه عن علي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يجب عليه الجمعة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المجلّد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17/320</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والرسائل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للحائري اليزدي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شرائط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الأوّل العدد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حنيفة، أنّه تجزي الخطبة الواحدة، وفي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عن الحسن البصري الجواز بغير خطبة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ما تكون الخطبة أن يحمد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9526</w:t>
      </w:r>
      <w:r>
        <w:rPr>
          <w:rFonts w:ascii="IRNazanin" w:hAnsi="IRNazanin" w:eastAsia="IRNazanin"/>
          <w:b w:val="false"/>
          <w:b w:val="false"/>
          <w:bCs w:val="false"/>
          <w:i w:val="false"/>
          <w:i w:val="false"/>
          <w:iCs w:val="false"/>
          <w:color w:val="333333"/>
          <w:sz w:val="20"/>
          <w:sz w:val="20"/>
          <w:szCs w:val="20"/>
          <w:rtl w:val="true"/>
        </w:rPr>
        <w:t>، ولم ينقل الحديث بكامله كما هو في الكافي والتهذيب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علم الهدى في المصباح</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الاقتصاد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تسبق إحداهما الأخرى وتعلم السابقة، فهي الصحيحة إن كان الإمام الراتب فيها إجماعاً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 والذكرى والدروس والبيان والموجزالحاوي وكشف الالتباس والجعفريّة، وشرحيها، وفوائد الشرائع، وتعليق النافع والميسية والمسالك، والروض، والروضة والمقاصد العلية والمدارك والذخيرة والشافية والرياض</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العلّامة في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 من لا يجب عليه السعي إلى الجمعة يجب عليه الصَّلاة مع الحضور، وممّن صرّح بذلك المفيد في المقنعة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الذين وضع اللّه عنهم الجمعة متى حضروها لزمهم الدخول فيها، وأن يصلّوها كغيرهم، ويلزمهم استماع الخطبة والصَّلاة ركعتين، ومتى لم يحضروها لم تجب عليهم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ولأجل ما قلته عملت الطائفة بما رواه حفص</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تضمّنه من وجوب الجمعة على المرأة مع حضورها ففيه تردّد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وقطع المحقّق في المعتبر بعدم الوجوب على المرأة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وجوب الجمعة عليها مخالف لما عليه اتّفاق فقهاء الأمصار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ما نقله 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ومثلهما في الحكاية عن المحقّق في المعتبر المحقّق السبزواري في ذخيرة المعاد 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الشيخين في المقنعة والنهاية هو الوجوب على المرأة، واستدلّ عليه الشيخ برواية حفص، ونوّه في النهاية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اعتبر رحمه الله أنّ الخطبتين تقومان مقام الركعتين الموضوعتين، فيثبت بالملازمة أنّوقتهما بعد الزّوال، لكن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نقل اختيار السيّد في المصباح أنّه لا تجوز الخطبة إلّابعد الزّوال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زالت الشّمس صعد الإمام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فتاوى ابن الجُنيد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وخطبة في أوّل الوقت</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علمائنا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مذهب الأصحاب</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أنّ السامع يجب عليه الإصغاء</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العلماء كافّة على تحريم البيع بعد النِّداء للجمعة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المجلّد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6586</w:t>
      </w:r>
      <w:r>
        <w:rPr>
          <w:rFonts w:ascii="IRNazanin" w:hAnsi="IRNazanin" w:eastAsia="IRNazanin"/>
          <w:b w:val="false"/>
          <w:b w:val="false"/>
          <w:bCs w:val="false"/>
          <w:i w:val="false"/>
          <w:i w:val="false"/>
          <w:iCs w:val="false"/>
          <w:color w:val="333333"/>
          <w:sz w:val="20"/>
          <w:sz w:val="20"/>
          <w:szCs w:val="20"/>
          <w:rtl w:val="true"/>
        </w:rPr>
        <w:t>، عن دعائم الإسلام، قال في تفسير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صلاة العيد في 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اِسْمَ رَبِّهِ فَصَلّى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الفطر والأضحى‌، وغيرهما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الصَّلاة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مشروعيّة الجماعة فيها، مضافاً إلى الإجماع المدّعى في كلمات غير واحد، بل قد استقرّ عليه عمل جمهور الإماميّة خلفاً عن سلف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ظاهر كثير من القدماء وجماعة من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منفرداً ولا يشرع له الجماعة ندباً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ووقت هذه الصَّلاة عند انبساط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 الجنان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بعض الأصحاب إلى أنّ وقتها انبساط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 والمبسوط والانتصار والكافي والغنية والوسيلة والإصباح والسرائر، حيث قالوا وقتها انبساط الشّمس وارتفاعها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تُقضى لو فاتت عند أكثر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 الفرقة على أنّه إذا فاتت صلاة العيد لا تُقضى‌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تُقض على المشهور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9745</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في الوسيلة لابن حمزة لزوم القضاء عن بعض، وما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قال باستحباب القضاء</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قال باستحباب القضاء</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العيدين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الوجوب ذهب السيّد المرتضى</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العيدين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بإجماع العلماء</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به قبل الفجر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خلاف كما ذكره في التذكرة في جواز السَّفر قبله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72805</Words>
  <Characters>331455</Characters>
  <CharactersWithSpaces>400344</CharactersWithSpaces>
  <Paragraphs>4332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2026-08-22T07:50:01Z</dcterms:created>
  <dc:creator>ghaemiyeh.com</dc:creator>
  <dc:description/>
  <dc:language>en-US</dc:language>
  <cp:lastModifiedBy/>
  <dcterms:modified xsi:type="dcterms:W3CDTF">2026-08-22T11:20:24Z</dcterms:modified>
  <cp:revision>1</cp:revision>
  <dc:subject/>
  <dc:title>فقه الصادق علیه السلام جلد 7</dc:title>
</cp:coreProperties>
</file>

<file path=docProps/custom.xml><?xml version="1.0" encoding="utf-8"?>
<Properties xmlns="http://schemas.openxmlformats.org/officeDocument/2006/custom-properties" xmlns:vt="http://schemas.openxmlformats.org/officeDocument/2006/docPropsVTypes"/>
</file>