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90900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390902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390904_73709187">
            <w:r>
              <w:rPr>
                <w:webHidden/>
                <w:rStyle w:val="IndexLink"/>
                <w:rtl w:val="true"/>
              </w:rPr>
              <w:t>تتمة كتاب الطهارة</w:t>
            </w:r>
            <w:r>
              <w:rPr>
                <w:rStyle w:val="IndexLink"/>
                <w:rtl w:val="true"/>
              </w:rPr>
              <w:tab/>
            </w:r>
            <w:r>
              <w:rPr>
                <w:rStyle w:val="IndexLink"/>
              </w:rPr>
              <w:t>12</w:t>
            </w:r>
          </w:hyperlink>
        </w:p>
        <w:p>
          <w:pPr>
            <w:pStyle w:val="Contents3"/>
            <w:tabs>
              <w:tab w:val="clear" w:pos="8459"/>
              <w:tab w:val="right" w:pos="9026" w:leader="dot"/>
            </w:tabs>
            <w:rPr/>
          </w:pPr>
          <w:hyperlink w:anchor="__RefHeading___Toc10390906_73709187">
            <w:r>
              <w:rPr>
                <w:webHidden/>
                <w:rStyle w:val="IndexLink"/>
                <w:rtl w:val="true"/>
              </w:rPr>
              <w:t>تتمة الباب الثالث في الغسل وكيفيّتها أنْ يُكبِّر بعد النيّة خَمْساً؛</w:t>
            </w:r>
            <w:r>
              <w:rPr>
                <w:rStyle w:val="IndexLink"/>
                <w:rtl w:val="true"/>
              </w:rPr>
              <w:tab/>
            </w:r>
            <w:r>
              <w:rPr>
                <w:rStyle w:val="IndexLink"/>
              </w:rPr>
              <w:t>12</w:t>
            </w:r>
          </w:hyperlink>
        </w:p>
        <w:p>
          <w:pPr>
            <w:pStyle w:val="Contents4"/>
            <w:tabs>
              <w:tab w:val="clear" w:pos="8176"/>
              <w:tab w:val="right" w:pos="9026" w:leader="dot"/>
            </w:tabs>
            <w:rPr/>
          </w:pPr>
          <w:hyperlink w:anchor="__RefHeading___Toc10390908_73709187">
            <w:r>
              <w:rPr>
                <w:webHidden/>
                <w:rStyle w:val="IndexLink"/>
                <w:rtl w:val="true"/>
              </w:rPr>
              <w:t>تتمة الفصل الخامس في غسل الأموات</w:t>
            </w:r>
            <w:r>
              <w:rPr>
                <w:rStyle w:val="IndexLink"/>
                <w:rtl w:val="true"/>
              </w:rPr>
              <w:tab/>
            </w:r>
            <w:r>
              <w:rPr>
                <w:rStyle w:val="IndexLink"/>
              </w:rPr>
              <w:t>12</w:t>
            </w:r>
          </w:hyperlink>
        </w:p>
        <w:p>
          <w:pPr>
            <w:pStyle w:val="Contents5"/>
            <w:tabs>
              <w:tab w:val="clear" w:pos="7892"/>
              <w:tab w:val="right" w:pos="9026" w:leader="dot"/>
            </w:tabs>
            <w:rPr/>
          </w:pPr>
          <w:hyperlink w:anchor="__RefHeading___Toc10390910_73709187">
            <w:r>
              <w:rPr>
                <w:webHidden/>
                <w:rStyle w:val="IndexLink"/>
                <w:rtl w:val="true"/>
              </w:rPr>
              <w:t>تتمة البحث الرابع في الصلاة عليه كيفيّة صلاة الميّت</w:t>
            </w:r>
            <w:r>
              <w:rPr>
                <w:rStyle w:val="IndexLink"/>
                <w:rtl w:val="true"/>
              </w:rPr>
              <w:tab/>
            </w:r>
            <w:r>
              <w:rPr>
                <w:rStyle w:val="IndexLink"/>
              </w:rPr>
              <w:t>12</w:t>
            </w:r>
          </w:hyperlink>
        </w:p>
        <w:p>
          <w:pPr>
            <w:pStyle w:val="Contents6"/>
            <w:tabs>
              <w:tab w:val="clear" w:pos="7609"/>
              <w:tab w:val="right" w:pos="9026" w:leader="dot"/>
            </w:tabs>
            <w:rPr/>
          </w:pPr>
          <w:hyperlink w:anchor="__RefHeading___Toc10390912_73709187">
            <w:r>
              <w:rPr>
                <w:webHidden/>
                <w:rStyle w:val="IndexLink"/>
                <w:rtl w:val="true"/>
              </w:rPr>
              <w:t>القسم الثالث</w:t>
            </w:r>
            <w:r>
              <w:rPr>
                <w:rStyle w:val="IndexLink"/>
                <w:rtl w:val="true"/>
              </w:rPr>
              <w:t xml:space="preserve">: </w:t>
            </w:r>
            <w:r>
              <w:rPr>
                <w:rStyle w:val="IndexLink"/>
                <w:rtl w:val="true"/>
              </w:rPr>
              <w:t>في كيفيّتها</w:t>
            </w:r>
            <w:r>
              <w:rPr>
                <w:rStyle w:val="IndexLink"/>
                <w:rtl w:val="true"/>
              </w:rPr>
              <w:tab/>
            </w:r>
            <w:r>
              <w:rPr>
                <w:rStyle w:val="IndexLink"/>
              </w:rPr>
              <w:t>12</w:t>
            </w:r>
          </w:hyperlink>
        </w:p>
        <w:p>
          <w:pPr>
            <w:pStyle w:val="Contents6"/>
            <w:tabs>
              <w:tab w:val="clear" w:pos="7609"/>
              <w:tab w:val="right" w:pos="9026" w:leader="dot"/>
            </w:tabs>
            <w:rPr/>
          </w:pPr>
          <w:hyperlink w:anchor="__RefHeading___Toc10390914_73709187">
            <w:r>
              <w:rPr>
                <w:webHidden/>
                <w:rStyle w:val="IndexLink"/>
                <w:rtl w:val="true"/>
              </w:rPr>
              <w:t>القسم الرابع</w:t>
            </w:r>
            <w:r>
              <w:rPr>
                <w:rStyle w:val="IndexLink"/>
                <w:rtl w:val="true"/>
              </w:rPr>
              <w:t xml:space="preserve">: </w:t>
            </w:r>
            <w:r>
              <w:rPr>
                <w:rStyle w:val="IndexLink"/>
                <w:rtl w:val="true"/>
              </w:rPr>
              <w:t>في شروطها،</w:t>
            </w:r>
            <w:r>
              <w:rPr>
                <w:rStyle w:val="IndexLink"/>
                <w:rtl w:val="true"/>
              </w:rPr>
              <w:tab/>
            </w:r>
            <w:r>
              <w:rPr>
                <w:rStyle w:val="IndexLink"/>
              </w:rPr>
              <w:t>21</w:t>
            </w:r>
          </w:hyperlink>
        </w:p>
        <w:p>
          <w:pPr>
            <w:pStyle w:val="Contents6"/>
            <w:tabs>
              <w:tab w:val="clear" w:pos="7609"/>
              <w:tab w:val="right" w:pos="9026" w:leader="dot"/>
            </w:tabs>
            <w:rPr/>
          </w:pPr>
          <w:hyperlink w:anchor="__RefHeading___Toc10390916_73709187">
            <w:r>
              <w:rPr>
                <w:webHidden/>
                <w:rStyle w:val="IndexLink"/>
                <w:rtl w:val="true"/>
              </w:rPr>
              <w:t>مسائل</w:t>
            </w:r>
            <w:r>
              <w:rPr>
                <w:rStyle w:val="IndexLink"/>
                <w:rtl w:val="true"/>
              </w:rPr>
              <w:t xml:space="preserve">: </w:t>
            </w:r>
            <w:r>
              <w:rPr>
                <w:rStyle w:val="IndexLink"/>
                <w:rtl w:val="true"/>
              </w:rPr>
              <w:t>الأُولى</w:t>
            </w:r>
            <w:r>
              <w:rPr>
                <w:rStyle w:val="IndexLink"/>
                <w:rtl w:val="true"/>
              </w:rPr>
              <w:t xml:space="preserve">: </w:t>
            </w:r>
            <w:r>
              <w:rPr>
                <w:rStyle w:val="IndexLink"/>
                <w:rtl w:val="true"/>
              </w:rPr>
              <w:t>لا يُصلّى عليه إلّابعد تغسيله وتكفينه</w:t>
            </w:r>
            <w:r>
              <w:rPr>
                <w:rStyle w:val="IndexLink"/>
                <w:rtl w:val="true"/>
              </w:rPr>
              <w:t>.</w:t>
              <w:tab/>
            </w:r>
            <w:r>
              <w:rPr>
                <w:rStyle w:val="IndexLink"/>
              </w:rPr>
              <w:t>23</w:t>
            </w:r>
          </w:hyperlink>
        </w:p>
        <w:p>
          <w:pPr>
            <w:pStyle w:val="Contents6"/>
            <w:tabs>
              <w:tab w:val="clear" w:pos="7609"/>
              <w:tab w:val="right" w:pos="9026" w:leader="dot"/>
            </w:tabs>
            <w:rPr/>
          </w:pPr>
          <w:hyperlink w:anchor="__RefHeading___Toc10390918_73709187">
            <w:r>
              <w:rPr>
                <w:webHidden/>
                <w:rStyle w:val="IndexLink"/>
                <w:rtl w:val="true"/>
              </w:rPr>
              <w:t>اشتراط وقوع الصَّلاة بعد الغُسل والتكفين</w:t>
            </w:r>
            <w:r>
              <w:rPr>
                <w:rStyle w:val="IndexLink"/>
                <w:rtl w:val="true"/>
              </w:rPr>
              <w:tab/>
            </w:r>
            <w:r>
              <w:rPr>
                <w:rStyle w:val="IndexLink"/>
              </w:rPr>
              <w:t>23</w:t>
            </w:r>
          </w:hyperlink>
        </w:p>
        <w:p>
          <w:pPr>
            <w:pStyle w:val="Contents6"/>
            <w:tabs>
              <w:tab w:val="clear" w:pos="7609"/>
              <w:tab w:val="right" w:pos="9026" w:leader="dot"/>
            </w:tabs>
            <w:rPr/>
          </w:pPr>
          <w:hyperlink w:anchor="__RefHeading___Toc10390920_73709187">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10390922_73709187">
            <w:r>
              <w:rPr>
                <w:webHidden/>
                <w:rStyle w:val="IndexLink"/>
                <w:rtl w:val="true"/>
              </w:rPr>
              <w:t>الصَّلاة على العاري</w:t>
            </w:r>
            <w:r>
              <w:rPr>
                <w:rStyle w:val="IndexLink"/>
                <w:rtl w:val="true"/>
              </w:rPr>
              <w:tab/>
            </w:r>
            <w:r>
              <w:rPr>
                <w:rStyle w:val="IndexLink"/>
              </w:rPr>
              <w:t>26</w:t>
            </w:r>
          </w:hyperlink>
        </w:p>
        <w:p>
          <w:pPr>
            <w:pStyle w:val="Contents6"/>
            <w:tabs>
              <w:tab w:val="clear" w:pos="7609"/>
              <w:tab w:val="right" w:pos="9026" w:leader="dot"/>
            </w:tabs>
            <w:rPr/>
          </w:pPr>
          <w:hyperlink w:anchor="__RefHeading___Toc10390924_73709187">
            <w:r>
              <w:rPr>
                <w:webHidden/>
                <w:rStyle w:val="IndexLink"/>
                <w:rtl w:val="true"/>
              </w:rPr>
              <w:t>كراهة الصَّلاة على الجنازة مرّتين</w:t>
            </w:r>
            <w:r>
              <w:rPr>
                <w:rStyle w:val="IndexLink"/>
                <w:rtl w:val="true"/>
              </w:rPr>
              <w:tab/>
            </w:r>
            <w:r>
              <w:rPr>
                <w:rStyle w:val="IndexLink"/>
              </w:rPr>
              <w:t>29</w:t>
            </w:r>
          </w:hyperlink>
        </w:p>
        <w:p>
          <w:pPr>
            <w:pStyle w:val="Contents6"/>
            <w:tabs>
              <w:tab w:val="clear" w:pos="7609"/>
              <w:tab w:val="right" w:pos="9026" w:leader="dot"/>
            </w:tabs>
            <w:rPr/>
          </w:pPr>
          <w:hyperlink w:anchor="__RefHeading___Toc10390926_73709187">
            <w:r>
              <w:rPr>
                <w:webHidden/>
                <w:rStyle w:val="IndexLink"/>
                <w:rtl w:val="true"/>
              </w:rPr>
              <w:t>الصَّلاة على الميّت بعد الدفن</w:t>
            </w:r>
            <w:r>
              <w:rPr>
                <w:rStyle w:val="IndexLink"/>
                <w:rtl w:val="true"/>
              </w:rPr>
              <w:tab/>
            </w:r>
            <w:r>
              <w:rPr>
                <w:rStyle w:val="IndexLink"/>
              </w:rPr>
              <w:t>33</w:t>
            </w:r>
          </w:hyperlink>
        </w:p>
        <w:p>
          <w:pPr>
            <w:pStyle w:val="Contents6"/>
            <w:tabs>
              <w:tab w:val="clear" w:pos="7609"/>
              <w:tab w:val="right" w:pos="9026" w:leader="dot"/>
            </w:tabs>
            <w:rPr/>
          </w:pPr>
          <w:hyperlink w:anchor="__RefHeading___Toc10390928_73709187">
            <w:r>
              <w:rPr>
                <w:webHidden/>
                <w:rStyle w:val="IndexLink"/>
                <w:rtl w:val="true"/>
              </w:rPr>
              <w:t>وقوف الإمام عند وسط الرَّجل وصدر المرأة</w:t>
            </w:r>
            <w:r>
              <w:rPr>
                <w:rStyle w:val="IndexLink"/>
                <w:rtl w:val="true"/>
              </w:rPr>
              <w:tab/>
            </w:r>
            <w:r>
              <w:rPr>
                <w:rStyle w:val="IndexLink"/>
              </w:rPr>
              <w:t>37</w:t>
            </w:r>
          </w:hyperlink>
        </w:p>
        <w:p>
          <w:pPr>
            <w:pStyle w:val="Contents6"/>
            <w:tabs>
              <w:tab w:val="clear" w:pos="7609"/>
              <w:tab w:val="right" w:pos="9026" w:leader="dot"/>
            </w:tabs>
            <w:rPr/>
          </w:pPr>
          <w:hyperlink w:anchor="__RefHeading___Toc10390930_73709187">
            <w:r>
              <w:rPr>
                <w:webHidden/>
                <w:rStyle w:val="IndexLink"/>
                <w:rtl w:val="true"/>
              </w:rPr>
              <w:t>وجوب جعل رأس الميّت على يمين المُصلّي</w:t>
            </w:r>
            <w:r>
              <w:rPr>
                <w:rStyle w:val="IndexLink"/>
                <w:rtl w:val="true"/>
              </w:rPr>
              <w:tab/>
            </w:r>
            <w:r>
              <w:rPr>
                <w:rStyle w:val="IndexLink"/>
              </w:rPr>
              <w:t>40</w:t>
            </w:r>
          </w:hyperlink>
        </w:p>
        <w:p>
          <w:pPr>
            <w:pStyle w:val="Contents6"/>
            <w:tabs>
              <w:tab w:val="clear" w:pos="7609"/>
              <w:tab w:val="right" w:pos="9026" w:leader="dot"/>
            </w:tabs>
            <w:rPr/>
          </w:pPr>
          <w:hyperlink w:anchor="__RefHeading___Toc10390932_73709187">
            <w:r>
              <w:rPr>
                <w:webHidden/>
                <w:rStyle w:val="IndexLink"/>
                <w:rtl w:val="true"/>
              </w:rPr>
              <w:t>يجب فيها استقبال المُصلّي القبلة</w:t>
            </w:r>
            <w:r>
              <w:rPr>
                <w:rStyle w:val="IndexLink"/>
                <w:rtl w:val="true"/>
              </w:rPr>
              <w:tab/>
            </w:r>
            <w:r>
              <w:rPr>
                <w:rStyle w:val="IndexLink"/>
              </w:rPr>
              <w:t>40</w:t>
            </w:r>
          </w:hyperlink>
        </w:p>
        <w:p>
          <w:pPr>
            <w:pStyle w:val="Contents6"/>
            <w:tabs>
              <w:tab w:val="clear" w:pos="7609"/>
              <w:tab w:val="right" w:pos="9026" w:leader="dot"/>
            </w:tabs>
            <w:rPr/>
          </w:pPr>
          <w:hyperlink w:anchor="__RefHeading___Toc10390934_73709187">
            <w:r>
              <w:rPr>
                <w:webHidden/>
                <w:rStyle w:val="IndexLink"/>
                <w:rtl w:val="true"/>
              </w:rPr>
              <w:t>يجبُ فيها القيام بلا خلافٍ‌</w:t>
            </w:r>
            <w:r>
              <w:rPr>
                <w:rStyle w:val="IndexLink"/>
                <w:rtl w:val="true"/>
              </w:rPr>
              <w:tab/>
            </w:r>
            <w:r>
              <w:rPr>
                <w:rStyle w:val="IndexLink"/>
              </w:rPr>
              <w:t>41</w:t>
            </w:r>
          </w:hyperlink>
        </w:p>
        <w:p>
          <w:pPr>
            <w:pStyle w:val="Contents6"/>
            <w:tabs>
              <w:tab w:val="clear" w:pos="7609"/>
              <w:tab w:val="right" w:pos="9026" w:leader="dot"/>
            </w:tabs>
            <w:rPr/>
          </w:pPr>
          <w:hyperlink w:anchor="__RefHeading___Toc10390936_73709187">
            <w:r>
              <w:rPr>
                <w:webHidden/>
                <w:rStyle w:val="IndexLink"/>
                <w:rtl w:val="true"/>
              </w:rPr>
              <w:t>استحبابُ إتيان الصَّلاة جماعة</w:t>
            </w:r>
            <w:r>
              <w:rPr>
                <w:rStyle w:val="IndexLink"/>
                <w:rtl w:val="true"/>
              </w:rPr>
              <w:tab/>
            </w:r>
            <w:r>
              <w:rPr>
                <w:rStyle w:val="IndexLink"/>
              </w:rPr>
              <w:t>42</w:t>
            </w:r>
          </w:hyperlink>
        </w:p>
        <w:p>
          <w:pPr>
            <w:pStyle w:val="Contents5"/>
            <w:tabs>
              <w:tab w:val="clear" w:pos="7892"/>
              <w:tab w:val="right" w:pos="9026" w:leader="dot"/>
            </w:tabs>
            <w:rPr/>
          </w:pPr>
          <w:hyperlink w:anchor="__RefHeading___Toc10390938_73709187">
            <w:r>
              <w:rPr>
                <w:webHidden/>
                <w:rStyle w:val="IndexLink"/>
                <w:rtl w:val="true"/>
              </w:rPr>
              <w:t>البحث الخامس</w:t>
            </w:r>
            <w:r>
              <w:rPr>
                <w:rStyle w:val="IndexLink"/>
                <w:rtl w:val="true"/>
              </w:rPr>
              <w:t xml:space="preserve">: </w:t>
            </w:r>
            <w:r>
              <w:rPr>
                <w:rStyle w:val="IndexLink"/>
                <w:rtl w:val="true"/>
              </w:rPr>
              <w:t>في الدفن</w:t>
            </w:r>
            <w:r>
              <w:rPr>
                <w:rStyle w:val="IndexLink"/>
                <w:rtl w:val="true"/>
              </w:rPr>
              <w:tab/>
            </w:r>
            <w:r>
              <w:rPr>
                <w:rStyle w:val="IndexLink"/>
              </w:rPr>
              <w:t>47</w:t>
            </w:r>
          </w:hyperlink>
        </w:p>
        <w:p>
          <w:pPr>
            <w:pStyle w:val="Contents6"/>
            <w:tabs>
              <w:tab w:val="clear" w:pos="7609"/>
              <w:tab w:val="right" w:pos="9026" w:leader="dot"/>
            </w:tabs>
            <w:rPr/>
          </w:pPr>
          <w:hyperlink w:anchor="__RefHeading___Toc10390940_73709187">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10390942_73709187">
            <w:r>
              <w:rPr>
                <w:webHidden/>
                <w:rStyle w:val="IndexLink"/>
                <w:rtl w:val="true"/>
              </w:rPr>
              <w:t>مسائل</w:t>
            </w:r>
            <w:r>
              <w:rPr>
                <w:rStyle w:val="IndexLink"/>
                <w:rtl w:val="true"/>
              </w:rPr>
              <w:t>:</w:t>
              <w:tab/>
            </w:r>
            <w:r>
              <w:rPr>
                <w:rStyle w:val="IndexLink"/>
              </w:rPr>
              <w:t>53</w:t>
            </w:r>
          </w:hyperlink>
        </w:p>
        <w:p>
          <w:pPr>
            <w:pStyle w:val="Contents6"/>
            <w:tabs>
              <w:tab w:val="clear" w:pos="7609"/>
              <w:tab w:val="right" w:pos="9026" w:leader="dot"/>
            </w:tabs>
            <w:rPr/>
          </w:pPr>
          <w:hyperlink w:anchor="__RefHeading___Toc10390944_73709187">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10390946_73709187">
            <w:r>
              <w:rPr>
                <w:webHidden/>
                <w:rStyle w:val="IndexLink"/>
                <w:rtl w:val="true"/>
              </w:rPr>
              <w:t>كيفيّة تجهيز الشهيد</w:t>
            </w:r>
            <w:r>
              <w:rPr>
                <w:rStyle w:val="IndexLink"/>
                <w:rtl w:val="true"/>
              </w:rPr>
              <w:tab/>
            </w:r>
            <w:r>
              <w:rPr>
                <w:rStyle w:val="IndexLink"/>
              </w:rPr>
              <w:t>53</w:t>
            </w:r>
          </w:hyperlink>
        </w:p>
        <w:p>
          <w:pPr>
            <w:pStyle w:val="Contents6"/>
            <w:tabs>
              <w:tab w:val="clear" w:pos="7609"/>
              <w:tab w:val="right" w:pos="9026" w:leader="dot"/>
            </w:tabs>
            <w:rPr/>
          </w:pPr>
          <w:hyperlink w:anchor="__RefHeading___Toc10390948_73709187">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10390950_73709187">
            <w:r>
              <w:rPr>
                <w:webHidden/>
                <w:rStyle w:val="IndexLink"/>
                <w:rtl w:val="true"/>
              </w:rPr>
              <w:t>في معنى الشهيد</w:t>
            </w:r>
            <w:r>
              <w:rPr>
                <w:rStyle w:val="IndexLink"/>
                <w:rtl w:val="true"/>
              </w:rPr>
              <w:tab/>
            </w:r>
            <w:r>
              <w:rPr>
                <w:rStyle w:val="IndexLink"/>
              </w:rPr>
              <w:t>55</w:t>
            </w:r>
          </w:hyperlink>
        </w:p>
        <w:p>
          <w:pPr>
            <w:pStyle w:val="Contents6"/>
            <w:tabs>
              <w:tab w:val="clear" w:pos="7609"/>
              <w:tab w:val="right" w:pos="9026" w:leader="dot"/>
            </w:tabs>
            <w:rPr/>
          </w:pPr>
          <w:hyperlink w:anchor="__RefHeading___Toc10390952_73709187">
            <w:r>
              <w:rPr>
                <w:webHidden/>
                <w:rStyle w:val="IndexLink"/>
                <w:rtl w:val="true"/>
              </w:rPr>
              <w:t>اعتبار الموت في المعركة</w:t>
            </w:r>
            <w:r>
              <w:rPr>
                <w:rStyle w:val="IndexLink"/>
                <w:rtl w:val="true"/>
              </w:rPr>
              <w:tab/>
            </w:r>
            <w:r>
              <w:rPr>
                <w:rStyle w:val="IndexLink"/>
              </w:rPr>
              <w:t>58</w:t>
            </w:r>
          </w:hyperlink>
        </w:p>
        <w:p>
          <w:pPr>
            <w:pStyle w:val="Contents6"/>
            <w:tabs>
              <w:tab w:val="clear" w:pos="7609"/>
              <w:tab w:val="right" w:pos="9026" w:leader="dot"/>
            </w:tabs>
            <w:rPr/>
          </w:pPr>
          <w:hyperlink w:anchor="__RefHeading___Toc10390954_73709187">
            <w:r>
              <w:rPr>
                <w:webHidden/>
                <w:rStyle w:val="IndexLink"/>
                <w:rtl w:val="true"/>
              </w:rPr>
              <w:t>البحث عن عمر الشهيد وجنسه</w:t>
            </w:r>
            <w:r>
              <w:rPr>
                <w:rStyle w:val="IndexLink"/>
                <w:rtl w:val="true"/>
              </w:rPr>
              <w:tab/>
            </w:r>
            <w:r>
              <w:rPr>
                <w:rStyle w:val="IndexLink"/>
              </w:rPr>
              <w:t>61</w:t>
            </w:r>
          </w:hyperlink>
        </w:p>
        <w:p>
          <w:pPr>
            <w:pStyle w:val="Contents6"/>
            <w:tabs>
              <w:tab w:val="clear" w:pos="7609"/>
              <w:tab w:val="right" w:pos="9026" w:leader="dot"/>
            </w:tabs>
            <w:rPr/>
          </w:pPr>
          <w:hyperlink w:anchor="__RefHeading___Toc10390956_73709187">
            <w:r>
              <w:rPr>
                <w:webHidden/>
                <w:rStyle w:val="IndexLink"/>
                <w:rtl w:val="true"/>
              </w:rPr>
              <w:t>في حكم الشهيد المُجنب</w:t>
            </w:r>
            <w:r>
              <w:rPr>
                <w:rStyle w:val="IndexLink"/>
                <w:rtl w:val="true"/>
              </w:rPr>
              <w:tab/>
            </w:r>
            <w:r>
              <w:rPr>
                <w:rStyle w:val="IndexLink"/>
              </w:rPr>
              <w:t>63</w:t>
            </w:r>
          </w:hyperlink>
        </w:p>
        <w:p>
          <w:pPr>
            <w:pStyle w:val="Contents6"/>
            <w:tabs>
              <w:tab w:val="clear" w:pos="7609"/>
              <w:tab w:val="right" w:pos="9026" w:leader="dot"/>
            </w:tabs>
            <w:rPr/>
          </w:pPr>
          <w:hyperlink w:anchor="__RefHeading___Toc10390958_73709187">
            <w:r>
              <w:rPr>
                <w:webHidden/>
                <w:rStyle w:val="IndexLink"/>
                <w:rtl w:val="true"/>
              </w:rPr>
              <w:t>دفن الشهيدبثيابه</w:t>
            </w:r>
            <w:r>
              <w:rPr>
                <w:rStyle w:val="IndexLink"/>
                <w:rtl w:val="true"/>
              </w:rPr>
              <w:tab/>
            </w:r>
            <w:r>
              <w:rPr>
                <w:rStyle w:val="IndexLink"/>
              </w:rPr>
              <w:t>64</w:t>
            </w:r>
          </w:hyperlink>
        </w:p>
        <w:p>
          <w:pPr>
            <w:pStyle w:val="Contents6"/>
            <w:tabs>
              <w:tab w:val="clear" w:pos="7609"/>
              <w:tab w:val="right" w:pos="9026" w:leader="dot"/>
            </w:tabs>
            <w:rPr/>
          </w:pPr>
          <w:hyperlink w:anchor="__RefHeading___Toc10390960_73709187">
            <w:r>
              <w:rPr>
                <w:webHidden/>
                <w:rStyle w:val="IndexLink"/>
                <w:rtl w:val="true"/>
              </w:rPr>
              <w:t>في مَن شُكَّ في شهادته</w:t>
            </w:r>
            <w:r>
              <w:rPr>
                <w:rStyle w:val="IndexLink"/>
                <w:rtl w:val="true"/>
              </w:rPr>
              <w:tab/>
            </w:r>
            <w:r>
              <w:rPr>
                <w:rStyle w:val="IndexLink"/>
              </w:rPr>
              <w:t>66</w:t>
            </w:r>
          </w:hyperlink>
        </w:p>
        <w:p>
          <w:pPr>
            <w:pStyle w:val="Contents6"/>
            <w:tabs>
              <w:tab w:val="clear" w:pos="7609"/>
              <w:tab w:val="right" w:pos="9026" w:leader="dot"/>
            </w:tabs>
            <w:rPr/>
          </w:pPr>
          <w:hyperlink w:anchor="__RefHeading___Toc10390962_73709187">
            <w:r>
              <w:rPr>
                <w:webHidden/>
                <w:rStyle w:val="IndexLink"/>
                <w:rtl w:val="true"/>
              </w:rPr>
              <w:t>في حكم المقتول برجمٍ أو قصاص</w:t>
            </w:r>
            <w:r>
              <w:rPr>
                <w:rStyle w:val="IndexLink"/>
                <w:rtl w:val="true"/>
              </w:rPr>
              <w:tab/>
            </w:r>
            <w:r>
              <w:rPr>
                <w:rStyle w:val="IndexLink"/>
              </w:rPr>
              <w:t>68</w:t>
            </w:r>
          </w:hyperlink>
        </w:p>
        <w:p>
          <w:pPr>
            <w:pStyle w:val="Contents6"/>
            <w:tabs>
              <w:tab w:val="clear" w:pos="7609"/>
              <w:tab w:val="right" w:pos="9026" w:leader="dot"/>
            </w:tabs>
            <w:rPr/>
          </w:pPr>
          <w:hyperlink w:anchor="__RefHeading___Toc10390964_73709187">
            <w:r>
              <w:rPr>
                <w:webHidden/>
                <w:rStyle w:val="IndexLink"/>
                <w:rtl w:val="true"/>
              </w:rPr>
              <w:t>في حكم صَدر الميّت</w:t>
            </w:r>
            <w:r>
              <w:rPr>
                <w:rStyle w:val="IndexLink"/>
                <w:rtl w:val="true"/>
              </w:rPr>
              <w:tab/>
            </w:r>
            <w:r>
              <w:rPr>
                <w:rStyle w:val="IndexLink"/>
              </w:rPr>
              <w:t>73</w:t>
            </w:r>
          </w:hyperlink>
        </w:p>
        <w:p>
          <w:pPr>
            <w:pStyle w:val="Contents6"/>
            <w:tabs>
              <w:tab w:val="clear" w:pos="7609"/>
              <w:tab w:val="right" w:pos="9026" w:leader="dot"/>
            </w:tabs>
            <w:rPr/>
          </w:pPr>
          <w:hyperlink w:anchor="__RefHeading___Toc10390966_73709187">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10390968_73709187">
            <w:r>
              <w:rPr>
                <w:webHidden/>
                <w:rStyle w:val="IndexLink"/>
                <w:rtl w:val="true"/>
              </w:rPr>
              <w:t>حكم غير الصّدر</w:t>
            </w:r>
            <w:r>
              <w:rPr>
                <w:rStyle w:val="IndexLink"/>
                <w:rtl w:val="true"/>
              </w:rPr>
              <w:tab/>
            </w:r>
            <w:r>
              <w:rPr>
                <w:rStyle w:val="IndexLink"/>
              </w:rPr>
              <w:t>82</w:t>
            </w:r>
          </w:hyperlink>
        </w:p>
        <w:p>
          <w:pPr>
            <w:pStyle w:val="Contents6"/>
            <w:tabs>
              <w:tab w:val="clear" w:pos="7609"/>
              <w:tab w:val="right" w:pos="9026" w:leader="dot"/>
            </w:tabs>
            <w:rPr/>
          </w:pPr>
          <w:hyperlink w:anchor="__RefHeading___Toc10390970_73709187">
            <w:r>
              <w:rPr>
                <w:webHidden/>
                <w:rStyle w:val="IndexLink"/>
                <w:rtl w:val="true"/>
              </w:rPr>
              <w:t>في حكم السِّقط وبعض الميّت</w:t>
            </w:r>
            <w:r>
              <w:rPr>
                <w:rStyle w:val="IndexLink"/>
                <w:rtl w:val="true"/>
              </w:rPr>
              <w:tab/>
            </w:r>
            <w:r>
              <w:rPr>
                <w:rStyle w:val="IndexLink"/>
              </w:rPr>
              <w:t>87</w:t>
            </w:r>
          </w:hyperlink>
        </w:p>
        <w:p>
          <w:pPr>
            <w:pStyle w:val="Contents6"/>
            <w:tabs>
              <w:tab w:val="clear" w:pos="7609"/>
              <w:tab w:val="right" w:pos="9026" w:leader="dot"/>
            </w:tabs>
            <w:rPr/>
          </w:pPr>
          <w:hyperlink w:anchor="__RefHeading___Toc10390972_73709187">
            <w:r>
              <w:rPr>
                <w:webHidden/>
                <w:rStyle w:val="IndexLink"/>
                <w:rtl w:val="true"/>
              </w:rPr>
              <w:t>في أخذ الكَفن من أصل التركة</w:t>
            </w:r>
            <w:r>
              <w:rPr>
                <w:rStyle w:val="IndexLink"/>
                <w:rtl w:val="true"/>
              </w:rPr>
              <w:tab/>
            </w:r>
            <w:r>
              <w:rPr>
                <w:rStyle w:val="IndexLink"/>
              </w:rPr>
              <w:t>89</w:t>
            </w:r>
          </w:hyperlink>
        </w:p>
        <w:p>
          <w:pPr>
            <w:pStyle w:val="Contents6"/>
            <w:tabs>
              <w:tab w:val="clear" w:pos="7609"/>
              <w:tab w:val="right" w:pos="9026" w:leader="dot"/>
            </w:tabs>
            <w:rPr/>
          </w:pPr>
          <w:hyperlink w:anchor="__RefHeading___Toc10390974_73709187">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10390976_73709187">
            <w:r>
              <w:rPr>
                <w:webHidden/>
                <w:rStyle w:val="IndexLink"/>
                <w:rtl w:val="true"/>
              </w:rPr>
              <w:t>إذا لم يكن للميّت كفنٌ‌</w:t>
            </w:r>
            <w:r>
              <w:rPr>
                <w:rStyle w:val="IndexLink"/>
                <w:rtl w:val="true"/>
              </w:rPr>
              <w:tab/>
            </w:r>
            <w:r>
              <w:rPr>
                <w:rStyle w:val="IndexLink"/>
              </w:rPr>
              <w:t>92</w:t>
            </w:r>
          </w:hyperlink>
        </w:p>
        <w:p>
          <w:pPr>
            <w:pStyle w:val="Contents6"/>
            <w:tabs>
              <w:tab w:val="clear" w:pos="7609"/>
              <w:tab w:val="right" w:pos="9026" w:leader="dot"/>
            </w:tabs>
            <w:rPr/>
          </w:pPr>
          <w:hyperlink w:anchor="__RefHeading___Toc10390978_73709187">
            <w:r>
              <w:rPr>
                <w:webHidden/>
                <w:rStyle w:val="IndexLink"/>
                <w:rtl w:val="true"/>
              </w:rPr>
              <w:t>كفن الزوجة على زوجها</w:t>
            </w:r>
            <w:r>
              <w:rPr>
                <w:rStyle w:val="IndexLink"/>
                <w:rtl w:val="true"/>
              </w:rPr>
              <w:tab/>
            </w:r>
            <w:r>
              <w:rPr>
                <w:rStyle w:val="IndexLink"/>
              </w:rPr>
              <w:t>95</w:t>
            </w:r>
          </w:hyperlink>
        </w:p>
        <w:p>
          <w:pPr>
            <w:pStyle w:val="Contents6"/>
            <w:tabs>
              <w:tab w:val="clear" w:pos="7609"/>
              <w:tab w:val="right" w:pos="9026" w:leader="dot"/>
            </w:tabs>
            <w:rPr/>
          </w:pPr>
          <w:hyperlink w:anchor="__RefHeading___Toc10390980_73709187">
            <w:r>
              <w:rPr>
                <w:webHidden/>
                <w:rStyle w:val="IndexLink"/>
                <w:rtl w:val="true"/>
              </w:rPr>
              <w:t>شروط كون الكفن على الزَّوج</w:t>
            </w:r>
            <w:r>
              <w:rPr>
                <w:rStyle w:val="IndexLink"/>
                <w:rtl w:val="true"/>
              </w:rPr>
              <w:tab/>
            </w:r>
            <w:r>
              <w:rPr>
                <w:rStyle w:val="IndexLink"/>
              </w:rPr>
              <w:t>98</w:t>
            </w:r>
          </w:hyperlink>
        </w:p>
        <w:p>
          <w:pPr>
            <w:pStyle w:val="Contents6"/>
            <w:tabs>
              <w:tab w:val="clear" w:pos="7609"/>
              <w:tab w:val="right" w:pos="9026" w:leader="dot"/>
            </w:tabs>
            <w:rPr/>
          </w:pPr>
          <w:hyperlink w:anchor="__RefHeading___Toc10390982_73709187">
            <w:r>
              <w:rPr>
                <w:webHidden/>
                <w:rStyle w:val="IndexLink"/>
                <w:rtl w:val="true"/>
              </w:rPr>
              <w:t>في حكم الميّت المُحْرِم</w:t>
            </w:r>
            <w:r>
              <w:rPr>
                <w:rStyle w:val="IndexLink"/>
                <w:rtl w:val="true"/>
              </w:rPr>
              <w:tab/>
            </w:r>
            <w:r>
              <w:rPr>
                <w:rStyle w:val="IndexLink"/>
              </w:rPr>
              <w:t>105</w:t>
            </w:r>
          </w:hyperlink>
        </w:p>
        <w:p>
          <w:pPr>
            <w:pStyle w:val="Contents6"/>
            <w:tabs>
              <w:tab w:val="clear" w:pos="7609"/>
              <w:tab w:val="right" w:pos="9026" w:leader="dot"/>
            </w:tabs>
            <w:rPr/>
          </w:pPr>
          <w:hyperlink w:anchor="__RefHeading___Toc10390984_73709187">
            <w:r>
              <w:rPr>
                <w:webHidden/>
                <w:rStyle w:val="IndexLink"/>
                <w:rtl w:val="true"/>
              </w:rPr>
              <w:t>وجوب الغُسل بمسّ الميّت</w:t>
            </w:r>
            <w:r>
              <w:rPr>
                <w:rStyle w:val="IndexLink"/>
                <w:rtl w:val="true"/>
              </w:rPr>
              <w:tab/>
            </w:r>
            <w:r>
              <w:rPr>
                <w:rStyle w:val="IndexLink"/>
              </w:rPr>
              <w:t>108</w:t>
            </w:r>
          </w:hyperlink>
        </w:p>
        <w:p>
          <w:pPr>
            <w:pStyle w:val="Contents6"/>
            <w:tabs>
              <w:tab w:val="clear" w:pos="7609"/>
              <w:tab w:val="right" w:pos="9026" w:leader="dot"/>
            </w:tabs>
            <w:rPr/>
          </w:pPr>
          <w:hyperlink w:anchor="__RefHeading___Toc10390986_73709187">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10390988_73709187">
            <w:r>
              <w:rPr>
                <w:webHidden/>
                <w:rStyle w:val="IndexLink"/>
                <w:rtl w:val="true"/>
              </w:rPr>
              <w:t>فروع غُسل الميّت</w:t>
            </w:r>
            <w:r>
              <w:rPr>
                <w:rStyle w:val="IndexLink"/>
                <w:rtl w:val="true"/>
              </w:rPr>
              <w:tab/>
            </w:r>
            <w:r>
              <w:rPr>
                <w:rStyle w:val="IndexLink"/>
              </w:rPr>
              <w:t>113</w:t>
            </w:r>
          </w:hyperlink>
        </w:p>
        <w:p>
          <w:pPr>
            <w:pStyle w:val="Contents6"/>
            <w:tabs>
              <w:tab w:val="clear" w:pos="7609"/>
              <w:tab w:val="right" w:pos="9026" w:leader="dot"/>
            </w:tabs>
            <w:rPr/>
          </w:pPr>
          <w:hyperlink w:anchor="__RefHeading___Toc10390990_73709187">
            <w:r>
              <w:rPr>
                <w:webHidden/>
                <w:rStyle w:val="IndexLink"/>
                <w:rtl w:val="true"/>
              </w:rPr>
              <w:t>المناط في وجوب الغُسل برد تمام جسده</w:t>
            </w:r>
            <w:r>
              <w:rPr>
                <w:rStyle w:val="IndexLink"/>
                <w:rtl w:val="true"/>
              </w:rPr>
              <w:tab/>
            </w:r>
            <w:r>
              <w:rPr>
                <w:rStyle w:val="IndexLink"/>
              </w:rPr>
              <w:t>113</w:t>
            </w:r>
          </w:hyperlink>
        </w:p>
        <w:p>
          <w:pPr>
            <w:pStyle w:val="Contents6"/>
            <w:tabs>
              <w:tab w:val="clear" w:pos="7609"/>
              <w:tab w:val="right" w:pos="9026" w:leader="dot"/>
            </w:tabs>
            <w:rPr/>
          </w:pPr>
          <w:hyperlink w:anchor="__RefHeading___Toc10390992_73709187">
            <w:r>
              <w:rPr>
                <w:webHidden/>
                <w:rStyle w:val="IndexLink"/>
                <w:rtl w:val="true"/>
              </w:rPr>
              <w:t>هل المعتبر في سقوط الغُسل تمام الأغسال الثلاثة</w:t>
            </w:r>
            <w:r>
              <w:rPr>
                <w:rStyle w:val="IndexLink"/>
                <w:rtl w:val="true"/>
              </w:rPr>
              <w:tab/>
            </w:r>
            <w:r>
              <w:rPr>
                <w:rStyle w:val="IndexLink"/>
              </w:rPr>
              <w:t>114</w:t>
            </w:r>
          </w:hyperlink>
        </w:p>
        <w:p>
          <w:pPr>
            <w:pStyle w:val="Contents6"/>
            <w:tabs>
              <w:tab w:val="clear" w:pos="7609"/>
              <w:tab w:val="right" w:pos="9026" w:leader="dot"/>
            </w:tabs>
            <w:rPr/>
          </w:pPr>
          <w:hyperlink w:anchor="__RefHeading___Toc10390994_73709187">
            <w:r>
              <w:rPr>
                <w:webHidden/>
                <w:rStyle w:val="IndexLink"/>
                <w:rtl w:val="true"/>
              </w:rPr>
              <w:t>حكم الغُسل الاضطراري</w:t>
            </w:r>
            <w:r>
              <w:rPr>
                <w:rStyle w:val="IndexLink"/>
                <w:rtl w:val="true"/>
              </w:rPr>
              <w:tab/>
            </w:r>
            <w:r>
              <w:rPr>
                <w:rStyle w:val="IndexLink"/>
              </w:rPr>
              <w:t>116</w:t>
            </w:r>
          </w:hyperlink>
        </w:p>
        <w:p>
          <w:pPr>
            <w:pStyle w:val="Contents6"/>
            <w:tabs>
              <w:tab w:val="clear" w:pos="7609"/>
              <w:tab w:val="right" w:pos="9026" w:leader="dot"/>
            </w:tabs>
            <w:rPr/>
          </w:pPr>
          <w:hyperlink w:anchor="__RefHeading___Toc10390996_73709187">
            <w:r>
              <w:rPr>
                <w:webHidden/>
                <w:rStyle w:val="IndexLink"/>
                <w:rtl w:val="true"/>
              </w:rPr>
              <w:t>وجوب الغُسل بمسّ الكافر</w:t>
            </w:r>
            <w:r>
              <w:rPr>
                <w:rStyle w:val="IndexLink"/>
                <w:rtl w:val="true"/>
              </w:rPr>
              <w:tab/>
            </w:r>
            <w:r>
              <w:rPr>
                <w:rStyle w:val="IndexLink"/>
              </w:rPr>
              <w:t>119</w:t>
            </w:r>
          </w:hyperlink>
        </w:p>
        <w:p>
          <w:pPr>
            <w:pStyle w:val="Contents6"/>
            <w:tabs>
              <w:tab w:val="clear" w:pos="7609"/>
              <w:tab w:val="right" w:pos="9026" w:leader="dot"/>
            </w:tabs>
            <w:rPr/>
          </w:pPr>
          <w:hyperlink w:anchor="__RefHeading___Toc10390998_73709187">
            <w:r>
              <w:rPr>
                <w:webHidden/>
                <w:rStyle w:val="IndexLink"/>
                <w:rtl w:val="true"/>
              </w:rPr>
              <w:t>لا فرق في الممسوس بين ما تحلّه الحياة وغيره</w:t>
            </w:r>
            <w:r>
              <w:rPr>
                <w:rStyle w:val="IndexLink"/>
                <w:rtl w:val="true"/>
              </w:rPr>
              <w:tab/>
            </w:r>
            <w:r>
              <w:rPr>
                <w:rStyle w:val="IndexLink"/>
              </w:rPr>
              <w:t>121</w:t>
            </w:r>
          </w:hyperlink>
        </w:p>
        <w:p>
          <w:pPr>
            <w:pStyle w:val="Contents6"/>
            <w:tabs>
              <w:tab w:val="clear" w:pos="7609"/>
              <w:tab w:val="right" w:pos="9026" w:leader="dot"/>
            </w:tabs>
            <w:rPr/>
          </w:pPr>
          <w:hyperlink w:anchor="__RefHeading___Toc10391000_73709187">
            <w:r>
              <w:rPr>
                <w:webHidden/>
                <w:rStyle w:val="IndexLink"/>
                <w:rtl w:val="true"/>
              </w:rPr>
              <w:t>مسّ الشهيد والمقتول بقصاصٍ أو حَدّ</w:t>
            </w:r>
            <w:r>
              <w:rPr>
                <w:rStyle w:val="IndexLink"/>
                <w:rtl w:val="true"/>
              </w:rPr>
              <w:tab/>
            </w:r>
            <w:r>
              <w:rPr>
                <w:rStyle w:val="IndexLink"/>
              </w:rPr>
              <w:t>124</w:t>
            </w:r>
          </w:hyperlink>
        </w:p>
        <w:p>
          <w:pPr>
            <w:pStyle w:val="Contents6"/>
            <w:tabs>
              <w:tab w:val="clear" w:pos="7609"/>
              <w:tab w:val="right" w:pos="9026" w:leader="dot"/>
            </w:tabs>
            <w:rPr/>
          </w:pPr>
          <w:hyperlink w:anchor="__RefHeading___Toc10391002_73709187">
            <w:r>
              <w:rPr>
                <w:webHidden/>
                <w:rStyle w:val="IndexLink"/>
                <w:rtl w:val="true"/>
              </w:rPr>
              <w:t>مسّ القِطعة المُبانة</w:t>
            </w:r>
            <w:r>
              <w:rPr>
                <w:rStyle w:val="IndexLink"/>
                <w:rtl w:val="true"/>
              </w:rPr>
              <w:tab/>
            </w:r>
            <w:r>
              <w:rPr>
                <w:rStyle w:val="IndexLink"/>
              </w:rPr>
              <w:t>127</w:t>
            </w:r>
          </w:hyperlink>
        </w:p>
        <w:p>
          <w:pPr>
            <w:pStyle w:val="Contents6"/>
            <w:tabs>
              <w:tab w:val="clear" w:pos="7609"/>
              <w:tab w:val="right" w:pos="9026" w:leader="dot"/>
            </w:tabs>
            <w:rPr/>
          </w:pPr>
          <w:hyperlink w:anchor="__RefHeading___Toc10391004_73709187">
            <w:r>
              <w:rPr>
                <w:webHidden/>
                <w:rStyle w:val="IndexLink"/>
                <w:rtl w:val="true"/>
              </w:rPr>
              <w:t>وجوب غُسل المسّ شَرطي</w:t>
            </w:r>
            <w:r>
              <w:rPr>
                <w:rStyle w:val="IndexLink"/>
                <w:rtl w:val="true"/>
              </w:rPr>
              <w:tab/>
            </w:r>
            <w:r>
              <w:rPr>
                <w:rStyle w:val="IndexLink"/>
              </w:rPr>
              <w:t>131</w:t>
            </w:r>
          </w:hyperlink>
        </w:p>
        <w:p>
          <w:pPr>
            <w:pStyle w:val="Contents6"/>
            <w:tabs>
              <w:tab w:val="clear" w:pos="7609"/>
              <w:tab w:val="right" w:pos="9026" w:leader="dot"/>
            </w:tabs>
            <w:rPr/>
          </w:pPr>
          <w:hyperlink w:anchor="__RefHeading___Toc10391006_73709187">
            <w:r>
              <w:rPr>
                <w:webHidden/>
                <w:rStyle w:val="IndexLink"/>
                <w:rtl w:val="true"/>
              </w:rPr>
              <w:t>حكم الشكّ في المسّ الموجب للغُسل</w:t>
            </w:r>
            <w:r>
              <w:rPr>
                <w:rStyle w:val="IndexLink"/>
                <w:rtl w:val="true"/>
              </w:rPr>
              <w:tab/>
            </w:r>
            <w:r>
              <w:rPr>
                <w:rStyle w:val="IndexLink"/>
              </w:rPr>
              <w:t>133</w:t>
            </w:r>
          </w:hyperlink>
        </w:p>
        <w:p>
          <w:pPr>
            <w:pStyle w:val="Contents6"/>
            <w:tabs>
              <w:tab w:val="clear" w:pos="7609"/>
              <w:tab w:val="right" w:pos="9026" w:leader="dot"/>
            </w:tabs>
            <w:rPr/>
          </w:pPr>
          <w:hyperlink w:anchor="__RefHeading___Toc10391008_73709187">
            <w:r>
              <w:rPr>
                <w:webHidden/>
                <w:rStyle w:val="IndexLink"/>
                <w:rtl w:val="true"/>
              </w:rPr>
              <w:t>حكم مَسّ القطعة المشكوكة</w:t>
            </w:r>
            <w:r>
              <w:rPr>
                <w:rStyle w:val="IndexLink"/>
                <w:rtl w:val="true"/>
              </w:rPr>
              <w:tab/>
            </w:r>
            <w:r>
              <w:rPr>
                <w:rStyle w:val="IndexLink"/>
              </w:rPr>
              <w:t>135</w:t>
            </w:r>
          </w:hyperlink>
        </w:p>
        <w:p>
          <w:pPr>
            <w:pStyle w:val="Contents4"/>
            <w:tabs>
              <w:tab w:val="clear" w:pos="8176"/>
              <w:tab w:val="right" w:pos="9026" w:leader="dot"/>
            </w:tabs>
            <w:rPr/>
          </w:pPr>
          <w:hyperlink w:anchor="__RefHeading___Toc10391010_73709187">
            <w:r>
              <w:rPr>
                <w:webHidden/>
                <w:rStyle w:val="IndexLink"/>
                <w:rtl w:val="true"/>
              </w:rPr>
              <w:t>الفصل السادس في الأغسال المَسنُونة</w:t>
            </w:r>
            <w:r>
              <w:rPr>
                <w:rStyle w:val="IndexLink"/>
                <w:rtl w:val="true"/>
              </w:rPr>
              <w:tab/>
            </w:r>
            <w:r>
              <w:rPr>
                <w:rStyle w:val="IndexLink"/>
              </w:rPr>
              <w:t>138</w:t>
            </w:r>
          </w:hyperlink>
        </w:p>
        <w:p>
          <w:pPr>
            <w:pStyle w:val="Contents3"/>
            <w:tabs>
              <w:tab w:val="clear" w:pos="8459"/>
              <w:tab w:val="right" w:pos="9026" w:leader="dot"/>
            </w:tabs>
            <w:rPr/>
          </w:pPr>
          <w:hyperlink w:anchor="__RefHeading___Toc10391012_73709187">
            <w:r>
              <w:rPr>
                <w:webHidden/>
                <w:rStyle w:val="IndexLink"/>
                <w:rtl w:val="true"/>
              </w:rPr>
              <w:t>الباب الرابع</w:t>
            </w:r>
            <w:r>
              <w:rPr>
                <w:rStyle w:val="IndexLink"/>
                <w:rtl w:val="true"/>
              </w:rPr>
              <w:t xml:space="preserve">: </w:t>
            </w:r>
            <w:r>
              <w:rPr>
                <w:rStyle w:val="IndexLink"/>
                <w:rtl w:val="true"/>
              </w:rPr>
              <w:t>في التيمّم</w:t>
            </w:r>
            <w:r>
              <w:rPr>
                <w:rStyle w:val="IndexLink"/>
                <w:rtl w:val="true"/>
              </w:rPr>
              <w:tab/>
            </w:r>
            <w:r>
              <w:rPr>
                <w:rStyle w:val="IndexLink"/>
              </w:rPr>
              <w:t>139</w:t>
            </w:r>
          </w:hyperlink>
        </w:p>
        <w:p>
          <w:pPr>
            <w:pStyle w:val="Contents4"/>
            <w:tabs>
              <w:tab w:val="clear" w:pos="8176"/>
              <w:tab w:val="right" w:pos="9026" w:leader="dot"/>
            </w:tabs>
            <w:rPr/>
          </w:pPr>
          <w:hyperlink w:anchor="__RefHeading___Toc10391014_73709187">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0391016_73709187">
            <w:r>
              <w:rPr>
                <w:webHidden/>
                <w:rStyle w:val="IndexLink"/>
                <w:rtl w:val="true"/>
              </w:rPr>
              <w:t>الفصل الأوّل</w:t>
            </w:r>
            <w:r>
              <w:rPr>
                <w:rStyle w:val="IndexLink"/>
                <w:rtl w:val="true"/>
              </w:rPr>
              <w:t xml:space="preserve">: </w:t>
            </w:r>
            <w:r>
              <w:rPr>
                <w:rStyle w:val="IndexLink"/>
                <w:rtl w:val="true"/>
              </w:rPr>
              <w:t>في مسوّغات التيمّم</w:t>
            </w:r>
            <w:r>
              <w:rPr>
                <w:rStyle w:val="IndexLink"/>
                <w:rtl w:val="true"/>
              </w:rPr>
              <w:t>.</w:t>
              <w:tab/>
            </w:r>
            <w:r>
              <w:rPr>
                <w:rStyle w:val="IndexLink"/>
              </w:rPr>
              <w:t>143</w:t>
            </w:r>
          </w:hyperlink>
        </w:p>
        <w:p>
          <w:pPr>
            <w:pStyle w:val="Contents5"/>
            <w:tabs>
              <w:tab w:val="clear" w:pos="7892"/>
              <w:tab w:val="right" w:pos="9026" w:leader="dot"/>
            </w:tabs>
            <w:rPr/>
          </w:pPr>
          <w:hyperlink w:anchor="__RefHeading___Toc10391018_73709187">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0391020_73709187">
            <w:r>
              <w:rPr>
                <w:webHidden/>
                <w:rStyle w:val="IndexLink"/>
                <w:rtl w:val="true"/>
              </w:rPr>
              <w:t>فَقْد الماء</w:t>
            </w:r>
            <w:r>
              <w:rPr>
                <w:rStyle w:val="IndexLink"/>
                <w:rtl w:val="true"/>
              </w:rPr>
              <w:tab/>
            </w:r>
            <w:r>
              <w:rPr>
                <w:rStyle w:val="IndexLink"/>
              </w:rPr>
              <w:t>144</w:t>
            </w:r>
          </w:hyperlink>
        </w:p>
        <w:p>
          <w:pPr>
            <w:pStyle w:val="Contents5"/>
            <w:tabs>
              <w:tab w:val="clear" w:pos="7892"/>
              <w:tab w:val="right" w:pos="9026" w:leader="dot"/>
            </w:tabs>
            <w:rPr/>
          </w:pPr>
          <w:hyperlink w:anchor="__RefHeading___Toc10391022_73709187">
            <w:r>
              <w:rPr>
                <w:webHidden/>
                <w:rStyle w:val="IndexLink"/>
                <w:rtl w:val="true"/>
              </w:rPr>
              <w:t>تعذّر استعمال الماء</w:t>
            </w:r>
            <w:r>
              <w:rPr>
                <w:rStyle w:val="IndexLink"/>
                <w:rtl w:val="true"/>
              </w:rPr>
              <w:tab/>
            </w:r>
            <w:r>
              <w:rPr>
                <w:rStyle w:val="IndexLink"/>
              </w:rPr>
              <w:t>148</w:t>
            </w:r>
          </w:hyperlink>
        </w:p>
        <w:p>
          <w:pPr>
            <w:pStyle w:val="Contents6"/>
            <w:tabs>
              <w:tab w:val="clear" w:pos="7609"/>
              <w:tab w:val="right" w:pos="9026" w:leader="dot"/>
            </w:tabs>
            <w:rPr/>
          </w:pPr>
          <w:hyperlink w:anchor="__RefHeading___Toc10391024_73709187">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10391026_73709187">
            <w:r>
              <w:rPr>
                <w:webHidden/>
                <w:rStyle w:val="IndexLink"/>
                <w:rtl w:val="true"/>
              </w:rPr>
              <w:t>تنبيهات باب التيمّم</w:t>
            </w:r>
            <w:r>
              <w:rPr>
                <w:rStyle w:val="IndexLink"/>
                <w:rtl w:val="true"/>
              </w:rPr>
              <w:tab/>
            </w:r>
            <w:r>
              <w:rPr>
                <w:rStyle w:val="IndexLink"/>
              </w:rPr>
              <w:t>153</w:t>
            </w:r>
          </w:hyperlink>
        </w:p>
        <w:p>
          <w:pPr>
            <w:pStyle w:val="Contents6"/>
            <w:tabs>
              <w:tab w:val="clear" w:pos="7609"/>
              <w:tab w:val="right" w:pos="9026" w:leader="dot"/>
            </w:tabs>
            <w:rPr/>
          </w:pPr>
          <w:hyperlink w:anchor="__RefHeading___Toc10391028_73709187">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10391030_73709187">
            <w:r>
              <w:rPr>
                <w:webHidden/>
                <w:rStyle w:val="IndexLink"/>
                <w:rtl w:val="true"/>
              </w:rPr>
              <w:t>لا يعتبر العلم بالمذكورات، بل يكفي الظنّ‌</w:t>
            </w:r>
            <w:r>
              <w:rPr>
                <w:rStyle w:val="IndexLink"/>
                <w:rtl w:val="true"/>
              </w:rPr>
              <w:tab/>
            </w:r>
            <w:r>
              <w:rPr>
                <w:rStyle w:val="IndexLink"/>
              </w:rPr>
              <w:t>153</w:t>
            </w:r>
          </w:hyperlink>
        </w:p>
        <w:p>
          <w:pPr>
            <w:pStyle w:val="Contents6"/>
            <w:tabs>
              <w:tab w:val="clear" w:pos="7609"/>
              <w:tab w:val="right" w:pos="9026" w:leader="dot"/>
            </w:tabs>
            <w:rPr/>
          </w:pPr>
          <w:hyperlink w:anchor="__RefHeading___Toc10391032_73709187">
            <w:r>
              <w:rPr>
                <w:webHidden/>
                <w:rStyle w:val="IndexLink"/>
                <w:rtl w:val="true"/>
              </w:rPr>
              <w:t>لو خاف من الشين</w:t>
            </w:r>
            <w:r>
              <w:rPr>
                <w:rStyle w:val="IndexLink"/>
                <w:rtl w:val="true"/>
              </w:rPr>
              <w:tab/>
            </w:r>
            <w:r>
              <w:rPr>
                <w:rStyle w:val="IndexLink"/>
              </w:rPr>
              <w:t>155</w:t>
            </w:r>
          </w:hyperlink>
        </w:p>
        <w:p>
          <w:pPr>
            <w:pStyle w:val="Contents6"/>
            <w:tabs>
              <w:tab w:val="clear" w:pos="7609"/>
              <w:tab w:val="right" w:pos="9026" w:leader="dot"/>
            </w:tabs>
            <w:rPr/>
          </w:pPr>
          <w:hyperlink w:anchor="__RefHeading___Toc10391034_73709187">
            <w:r>
              <w:rPr>
                <w:webHidden/>
                <w:rStyle w:val="IndexLink"/>
                <w:rtl w:val="true"/>
              </w:rPr>
              <w:t>لا يكفي المرض اليسير في انتقال الفرض إلى التيمّم</w:t>
            </w:r>
            <w:r>
              <w:rPr>
                <w:rStyle w:val="IndexLink"/>
                <w:rtl w:val="true"/>
              </w:rPr>
              <w:tab/>
            </w:r>
            <w:r>
              <w:rPr>
                <w:rStyle w:val="IndexLink"/>
              </w:rPr>
              <w:t>157</w:t>
            </w:r>
          </w:hyperlink>
        </w:p>
        <w:p>
          <w:pPr>
            <w:pStyle w:val="Contents6"/>
            <w:tabs>
              <w:tab w:val="clear" w:pos="7609"/>
              <w:tab w:val="right" w:pos="9026" w:leader="dot"/>
            </w:tabs>
            <w:rPr/>
          </w:pPr>
          <w:hyperlink w:anchor="__RefHeading___Toc10391036_73709187">
            <w:r>
              <w:rPr>
                <w:webHidden/>
                <w:rStyle w:val="IndexLink"/>
                <w:rtl w:val="true"/>
              </w:rPr>
              <w:t>في حكم من تحمّل الضَّرر وتوضّأ</w:t>
            </w:r>
            <w:r>
              <w:rPr>
                <w:rStyle w:val="IndexLink"/>
                <w:rtl w:val="true"/>
              </w:rPr>
              <w:tab/>
            </w:r>
            <w:r>
              <w:rPr>
                <w:rStyle w:val="IndexLink"/>
              </w:rPr>
              <w:t>159</w:t>
            </w:r>
          </w:hyperlink>
        </w:p>
        <w:p>
          <w:pPr>
            <w:pStyle w:val="Contents6"/>
            <w:tabs>
              <w:tab w:val="clear" w:pos="7609"/>
              <w:tab w:val="right" w:pos="9026" w:leader="dot"/>
            </w:tabs>
            <w:rPr/>
          </w:pPr>
          <w:hyperlink w:anchor="__RefHeading___Toc10391038_73709187">
            <w:r>
              <w:rPr>
                <w:webHidden/>
                <w:rStyle w:val="IndexLink"/>
                <w:rtl w:val="true"/>
              </w:rPr>
              <w:t>إذا تيمّم باعتقاد الضَّرر</w:t>
            </w:r>
            <w:r>
              <w:rPr>
                <w:rStyle w:val="IndexLink"/>
                <w:rtl w:val="true"/>
              </w:rPr>
              <w:tab/>
            </w:r>
            <w:r>
              <w:rPr>
                <w:rStyle w:val="IndexLink"/>
              </w:rPr>
              <w:t>163</w:t>
            </w:r>
          </w:hyperlink>
        </w:p>
        <w:p>
          <w:pPr>
            <w:pStyle w:val="Contents6"/>
            <w:tabs>
              <w:tab w:val="clear" w:pos="7609"/>
              <w:tab w:val="right" w:pos="9026" w:leader="dot"/>
            </w:tabs>
            <w:rPr/>
          </w:pPr>
          <w:hyperlink w:anchor="__RefHeading___Toc10391040_73709187">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10391042_73709187">
            <w:r>
              <w:rPr>
                <w:webHidden/>
                <w:rStyle w:val="IndexLink"/>
                <w:rtl w:val="true"/>
              </w:rPr>
              <w:t>لو توضّأ باعتقاد عدم الضَّرر</w:t>
            </w:r>
            <w:r>
              <w:rPr>
                <w:rStyle w:val="IndexLink"/>
                <w:rtl w:val="true"/>
              </w:rPr>
              <w:tab/>
            </w:r>
            <w:r>
              <w:rPr>
                <w:rStyle w:val="IndexLink"/>
              </w:rPr>
              <w:t>166</w:t>
            </w:r>
          </w:hyperlink>
        </w:p>
        <w:p>
          <w:pPr>
            <w:pStyle w:val="Contents6"/>
            <w:tabs>
              <w:tab w:val="clear" w:pos="7609"/>
              <w:tab w:val="right" w:pos="9026" w:leader="dot"/>
            </w:tabs>
            <w:rPr/>
          </w:pPr>
          <w:hyperlink w:anchor="__RefHeading___Toc10391044_73709187">
            <w:r>
              <w:rPr>
                <w:webHidden/>
                <w:rStyle w:val="IndexLink"/>
                <w:rtl w:val="true"/>
              </w:rPr>
              <w:t>لو خاف العَطَش على نفسه أو غيره</w:t>
            </w:r>
            <w:r>
              <w:rPr>
                <w:rStyle w:val="IndexLink"/>
                <w:rtl w:val="true"/>
              </w:rPr>
              <w:tab/>
            </w:r>
            <w:r>
              <w:rPr>
                <w:rStyle w:val="IndexLink"/>
              </w:rPr>
              <w:t>168</w:t>
            </w:r>
          </w:hyperlink>
        </w:p>
        <w:p>
          <w:pPr>
            <w:pStyle w:val="Contents5"/>
            <w:tabs>
              <w:tab w:val="clear" w:pos="7892"/>
              <w:tab w:val="right" w:pos="9026" w:leader="dot"/>
            </w:tabs>
            <w:rPr/>
          </w:pPr>
          <w:hyperlink w:anchor="__RefHeading___Toc10391046_73709187">
            <w:r>
              <w:rPr>
                <w:webHidden/>
                <w:rStyle w:val="IndexLink"/>
                <w:rtl w:val="true"/>
              </w:rPr>
              <w:t>عدم الوصلة إلى الماء</w:t>
            </w:r>
            <w:r>
              <w:rPr>
                <w:rStyle w:val="IndexLink"/>
                <w:rtl w:val="true"/>
              </w:rPr>
              <w:tab/>
            </w:r>
            <w:r>
              <w:rPr>
                <w:rStyle w:val="IndexLink"/>
              </w:rPr>
              <w:t>172</w:t>
            </w:r>
          </w:hyperlink>
        </w:p>
        <w:p>
          <w:pPr>
            <w:pStyle w:val="Contents6"/>
            <w:tabs>
              <w:tab w:val="clear" w:pos="7609"/>
              <w:tab w:val="right" w:pos="9026" w:leader="dot"/>
            </w:tabs>
            <w:rPr/>
          </w:pPr>
          <w:hyperlink w:anchor="__RefHeading___Toc10391048_73709187">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10391050_73709187">
            <w:r>
              <w:rPr>
                <w:webHidden/>
                <w:rStyle w:val="IndexLink"/>
                <w:rtl w:val="true"/>
              </w:rPr>
              <w:t>مسائل</w:t>
            </w:r>
            <w:r>
              <w:rPr>
                <w:rStyle w:val="IndexLink"/>
                <w:rtl w:val="true"/>
              </w:rPr>
              <w:t>:</w:t>
              <w:tab/>
            </w:r>
            <w:r>
              <w:rPr>
                <w:rStyle w:val="IndexLink"/>
              </w:rPr>
              <w:t>172</w:t>
            </w:r>
          </w:hyperlink>
        </w:p>
        <w:p>
          <w:pPr>
            <w:pStyle w:val="Contents6"/>
            <w:tabs>
              <w:tab w:val="clear" w:pos="7609"/>
              <w:tab w:val="right" w:pos="9026" w:leader="dot"/>
            </w:tabs>
            <w:rPr/>
          </w:pPr>
          <w:hyperlink w:anchor="__RefHeading___Toc10391052_73709187">
            <w:r>
              <w:rPr>
                <w:webHidden/>
                <w:rStyle w:val="IndexLink"/>
                <w:rtl w:val="true"/>
              </w:rPr>
              <w:t>لا خلاف كما عرفت في أنّه لو لم يتمكّن من الوصول إليه لكبرٍ أو غيره ينتقل فرضه إلى التيمّم</w:t>
            </w:r>
            <w:r>
              <w:rPr>
                <w:rStyle w:val="IndexLink"/>
                <w:rtl w:val="true"/>
              </w:rPr>
              <w:tab/>
            </w:r>
            <w:r>
              <w:rPr>
                <w:rStyle w:val="IndexLink"/>
              </w:rPr>
              <w:t>172</w:t>
            </w:r>
          </w:hyperlink>
        </w:p>
        <w:p>
          <w:pPr>
            <w:pStyle w:val="Contents6"/>
            <w:tabs>
              <w:tab w:val="clear" w:pos="7609"/>
              <w:tab w:val="right" w:pos="9026" w:leader="dot"/>
            </w:tabs>
            <w:rPr/>
          </w:pPr>
          <w:hyperlink w:anchor="__RefHeading___Toc10391054_73709187">
            <w:r>
              <w:rPr>
                <w:webHidden/>
                <w:rStyle w:val="IndexLink"/>
                <w:rtl w:val="true"/>
              </w:rPr>
              <w:t>الخوف من سَبُعٍ أو لِصّ‌</w:t>
            </w:r>
            <w:r>
              <w:rPr>
                <w:rStyle w:val="IndexLink"/>
                <w:rtl w:val="true"/>
              </w:rPr>
              <w:tab/>
            </w:r>
            <w:r>
              <w:rPr>
                <w:rStyle w:val="IndexLink"/>
              </w:rPr>
              <w:t>175</w:t>
            </w:r>
          </w:hyperlink>
        </w:p>
        <w:p>
          <w:pPr>
            <w:pStyle w:val="Contents6"/>
            <w:tabs>
              <w:tab w:val="clear" w:pos="7609"/>
              <w:tab w:val="right" w:pos="9026" w:leader="dot"/>
            </w:tabs>
            <w:rPr/>
          </w:pPr>
          <w:hyperlink w:anchor="__RefHeading___Toc10391056_73709187">
            <w:r>
              <w:rPr>
                <w:webHidden/>
                <w:rStyle w:val="IndexLink"/>
                <w:rtl w:val="true"/>
              </w:rPr>
              <w:t>إذا كان الماء في بئرٍ، ولم يكن معه دَلوٌ أو غيره ليغترف به</w:t>
            </w:r>
            <w:r>
              <w:rPr>
                <w:rStyle w:val="IndexLink"/>
                <w:rtl w:val="true"/>
              </w:rPr>
              <w:tab/>
            </w:r>
            <w:r>
              <w:rPr>
                <w:rStyle w:val="IndexLink"/>
              </w:rPr>
              <w:t>177</w:t>
            </w:r>
          </w:hyperlink>
        </w:p>
        <w:p>
          <w:pPr>
            <w:pStyle w:val="Contents6"/>
            <w:tabs>
              <w:tab w:val="clear" w:pos="7609"/>
              <w:tab w:val="right" w:pos="9026" w:leader="dot"/>
            </w:tabs>
            <w:rPr/>
          </w:pPr>
          <w:hyperlink w:anchor="__RefHeading___Toc10391058_73709187">
            <w:r>
              <w:rPr>
                <w:webHidden/>
                <w:rStyle w:val="IndexLink"/>
                <w:rtl w:val="true"/>
              </w:rPr>
              <w:t>وجوبُ شِراء الماء</w:t>
            </w:r>
            <w:r>
              <w:rPr>
                <w:rStyle w:val="IndexLink"/>
                <w:rtl w:val="true"/>
              </w:rPr>
              <w:tab/>
            </w:r>
            <w:r>
              <w:rPr>
                <w:rStyle w:val="IndexLink"/>
              </w:rPr>
              <w:t>178</w:t>
            </w:r>
          </w:hyperlink>
        </w:p>
        <w:p>
          <w:pPr>
            <w:pStyle w:val="Contents5"/>
            <w:tabs>
              <w:tab w:val="clear" w:pos="7892"/>
              <w:tab w:val="right" w:pos="9026" w:leader="dot"/>
            </w:tabs>
            <w:rPr/>
          </w:pPr>
          <w:hyperlink w:anchor="__RefHeading___Toc10391060_73709187">
            <w:r>
              <w:rPr>
                <w:webHidden/>
                <w:rStyle w:val="IndexLink"/>
                <w:rtl w:val="true"/>
              </w:rPr>
              <w:t>المزاحمة بالتكليف الآخر</w:t>
            </w:r>
            <w:r>
              <w:rPr>
                <w:rStyle w:val="IndexLink"/>
                <w:rtl w:val="true"/>
              </w:rPr>
              <w:tab/>
            </w:r>
            <w:r>
              <w:rPr>
                <w:rStyle w:val="IndexLink"/>
              </w:rPr>
              <w:t>183</w:t>
            </w:r>
          </w:hyperlink>
        </w:p>
        <w:p>
          <w:pPr>
            <w:pStyle w:val="Contents6"/>
            <w:tabs>
              <w:tab w:val="clear" w:pos="7609"/>
              <w:tab w:val="right" w:pos="9026" w:leader="dot"/>
            </w:tabs>
            <w:rPr/>
          </w:pPr>
          <w:hyperlink w:anchor="__RefHeading___Toc10391062_73709187">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10391064_73709187">
            <w:r>
              <w:rPr>
                <w:webHidden/>
                <w:rStyle w:val="IndexLink"/>
                <w:rtl w:val="true"/>
              </w:rPr>
              <w:t>تنبيهات باب الوضوء</w:t>
            </w:r>
            <w:r>
              <w:rPr>
                <w:rStyle w:val="IndexLink"/>
                <w:rtl w:val="true"/>
              </w:rPr>
              <w:tab/>
            </w:r>
            <w:r>
              <w:rPr>
                <w:rStyle w:val="IndexLink"/>
              </w:rPr>
              <w:t>185</w:t>
            </w:r>
          </w:hyperlink>
        </w:p>
        <w:p>
          <w:pPr>
            <w:pStyle w:val="Contents5"/>
            <w:tabs>
              <w:tab w:val="clear" w:pos="7892"/>
              <w:tab w:val="right" w:pos="9026" w:leader="dot"/>
            </w:tabs>
            <w:rPr/>
          </w:pPr>
          <w:hyperlink w:anchor="__RefHeading___Toc10391066_73709187">
            <w:r>
              <w:rPr>
                <w:webHidden/>
                <w:rStyle w:val="IndexLink"/>
                <w:rtl w:val="true"/>
              </w:rPr>
              <w:t>ضيق الوقت</w:t>
            </w:r>
            <w:r>
              <w:rPr>
                <w:rStyle w:val="IndexLink"/>
                <w:rtl w:val="true"/>
              </w:rPr>
              <w:tab/>
            </w:r>
            <w:r>
              <w:rPr>
                <w:rStyle w:val="IndexLink"/>
              </w:rPr>
              <w:t>189</w:t>
            </w:r>
          </w:hyperlink>
        </w:p>
        <w:p>
          <w:pPr>
            <w:pStyle w:val="Contents6"/>
            <w:tabs>
              <w:tab w:val="clear" w:pos="7609"/>
              <w:tab w:val="right" w:pos="9026" w:leader="dot"/>
            </w:tabs>
            <w:rPr/>
          </w:pPr>
          <w:hyperlink w:anchor="__RefHeading___Toc10391068_73709187">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10391070_73709187">
            <w:r>
              <w:rPr>
                <w:webHidden/>
                <w:rStyle w:val="IndexLink"/>
                <w:rtl w:val="true"/>
              </w:rPr>
              <w:t>فروع الشكّ في ضيق الوقت</w:t>
            </w:r>
            <w:r>
              <w:rPr>
                <w:rStyle w:val="IndexLink"/>
                <w:rtl w:val="true"/>
              </w:rPr>
              <w:tab/>
            </w:r>
            <w:r>
              <w:rPr>
                <w:rStyle w:val="IndexLink"/>
              </w:rPr>
              <w:t>195</w:t>
            </w:r>
          </w:hyperlink>
        </w:p>
        <w:p>
          <w:pPr>
            <w:pStyle w:val="Contents6"/>
            <w:tabs>
              <w:tab w:val="clear" w:pos="7609"/>
              <w:tab w:val="right" w:pos="9026" w:leader="dot"/>
            </w:tabs>
            <w:rPr/>
          </w:pPr>
          <w:hyperlink w:anchor="__RefHeading___Toc10391072_73709187">
            <w:r>
              <w:rPr>
                <w:webHidden/>
                <w:rStyle w:val="IndexLink"/>
                <w:rtl w:val="true"/>
              </w:rPr>
              <w:t>لو شكّ في ضيق الوقت وسعته، فهل يَشرع له التيمّم أم لا؟</w:t>
            </w:r>
            <w:r>
              <w:rPr>
                <w:rStyle w:val="IndexLink"/>
                <w:rtl w:val="true"/>
              </w:rPr>
              <w:tab/>
            </w:r>
            <w:r>
              <w:rPr>
                <w:rStyle w:val="IndexLink"/>
              </w:rPr>
              <w:t>195</w:t>
            </w:r>
          </w:hyperlink>
        </w:p>
        <w:p>
          <w:pPr>
            <w:pStyle w:val="Contents6"/>
            <w:tabs>
              <w:tab w:val="clear" w:pos="7609"/>
              <w:tab w:val="right" w:pos="9026" w:leader="dot"/>
            </w:tabs>
            <w:rPr/>
          </w:pPr>
          <w:hyperlink w:anchor="__RefHeading___Toc10391074_73709187">
            <w:r>
              <w:rPr>
                <w:webHidden/>
                <w:rStyle w:val="IndexLink"/>
                <w:rtl w:val="true"/>
              </w:rPr>
              <w:t>عند ضيق الوقت فهل ينتقل الفرض إلى التيمّم أم لا؟</w:t>
            </w:r>
            <w:r>
              <w:rPr>
                <w:rStyle w:val="IndexLink"/>
                <w:rtl w:val="true"/>
              </w:rPr>
              <w:tab/>
            </w:r>
            <w:r>
              <w:rPr>
                <w:rStyle w:val="IndexLink"/>
              </w:rPr>
              <w:t>198</w:t>
            </w:r>
          </w:hyperlink>
        </w:p>
        <w:p>
          <w:pPr>
            <w:pStyle w:val="Contents6"/>
            <w:tabs>
              <w:tab w:val="clear" w:pos="7609"/>
              <w:tab w:val="right" w:pos="9026" w:leader="dot"/>
            </w:tabs>
            <w:rPr/>
          </w:pPr>
          <w:hyperlink w:anchor="__RefHeading___Toc10391076_73709187">
            <w:r>
              <w:rPr>
                <w:webHidden/>
                <w:rStyle w:val="IndexLink"/>
                <w:rtl w:val="true"/>
              </w:rPr>
              <w:t>التخيير بين الأداء و القضاء</w:t>
            </w:r>
            <w:r>
              <w:rPr>
                <w:rStyle w:val="IndexLink"/>
                <w:rtl w:val="true"/>
              </w:rPr>
              <w:tab/>
            </w:r>
            <w:r>
              <w:rPr>
                <w:rStyle w:val="IndexLink"/>
              </w:rPr>
              <w:t>199</w:t>
            </w:r>
          </w:hyperlink>
        </w:p>
        <w:p>
          <w:pPr>
            <w:pStyle w:val="Contents6"/>
            <w:tabs>
              <w:tab w:val="clear" w:pos="7609"/>
              <w:tab w:val="right" w:pos="9026" w:leader="dot"/>
            </w:tabs>
            <w:rPr/>
          </w:pPr>
          <w:hyperlink w:anchor="__RefHeading___Toc10391078_73709187">
            <w:r>
              <w:rPr>
                <w:webHidden/>
                <w:rStyle w:val="IndexLink"/>
                <w:rtl w:val="true"/>
              </w:rPr>
              <w:t>التيمّم لأجل الضيق لا تُباح به الغايات الاُخر</w:t>
            </w:r>
            <w:r>
              <w:rPr>
                <w:rStyle w:val="IndexLink"/>
                <w:rtl w:val="true"/>
              </w:rPr>
              <w:tab/>
            </w:r>
            <w:r>
              <w:rPr>
                <w:rStyle w:val="IndexLink"/>
              </w:rPr>
              <w:t>200</w:t>
            </w:r>
          </w:hyperlink>
        </w:p>
        <w:p>
          <w:pPr>
            <w:pStyle w:val="Contents6"/>
            <w:tabs>
              <w:tab w:val="clear" w:pos="7609"/>
              <w:tab w:val="right" w:pos="9026" w:leader="dot"/>
            </w:tabs>
            <w:rPr/>
          </w:pPr>
          <w:hyperlink w:anchor="__RefHeading___Toc10391080_73709187">
            <w:r>
              <w:rPr>
                <w:webHidden/>
                <w:rStyle w:val="IndexLink"/>
                <w:rtl w:val="true"/>
              </w:rPr>
              <w:t>في جواز ترك السّورة أو الوضوء لضيق الوقت وعدمه</w:t>
            </w:r>
            <w:r>
              <w:rPr>
                <w:rStyle w:val="IndexLink"/>
                <w:rtl w:val="true"/>
              </w:rPr>
              <w:tab/>
            </w:r>
            <w:r>
              <w:rPr>
                <w:rStyle w:val="IndexLink"/>
              </w:rPr>
              <w:t>203</w:t>
            </w:r>
          </w:hyperlink>
        </w:p>
        <w:p>
          <w:pPr>
            <w:pStyle w:val="Contents6"/>
            <w:tabs>
              <w:tab w:val="clear" w:pos="7609"/>
              <w:tab w:val="right" w:pos="9026" w:leader="dot"/>
            </w:tabs>
            <w:rPr/>
          </w:pPr>
          <w:hyperlink w:anchor="__RefHeading___Toc10391082_73709187">
            <w:r>
              <w:rPr>
                <w:webHidden/>
                <w:rStyle w:val="IndexLink"/>
                <w:rtl w:val="true"/>
              </w:rPr>
              <w:t>في حكم المستحبّات عند ضيق الوقت</w:t>
            </w:r>
            <w:r>
              <w:rPr>
                <w:rStyle w:val="IndexLink"/>
                <w:rtl w:val="true"/>
              </w:rPr>
              <w:tab/>
            </w:r>
            <w:r>
              <w:rPr>
                <w:rStyle w:val="IndexLink"/>
              </w:rPr>
              <w:t>205</w:t>
            </w:r>
          </w:hyperlink>
        </w:p>
        <w:p>
          <w:pPr>
            <w:pStyle w:val="Contents6"/>
            <w:tabs>
              <w:tab w:val="clear" w:pos="7609"/>
              <w:tab w:val="right" w:pos="9026" w:leader="dot"/>
            </w:tabs>
            <w:rPr/>
          </w:pPr>
          <w:hyperlink w:anchor="__RefHeading___Toc10391084_73709187">
            <w:r>
              <w:rPr>
                <w:webHidden/>
                <w:rStyle w:val="IndexLink"/>
                <w:rtl w:val="true"/>
              </w:rPr>
              <w:t>في ما لو تيمّم باعتقاده ضيق الوقت</w:t>
            </w:r>
            <w:r>
              <w:rPr>
                <w:rStyle w:val="IndexLink"/>
                <w:rtl w:val="true"/>
              </w:rPr>
              <w:tab/>
            </w:r>
            <w:r>
              <w:rPr>
                <w:rStyle w:val="IndexLink"/>
              </w:rPr>
              <w:t>206</w:t>
            </w:r>
          </w:hyperlink>
        </w:p>
        <w:p>
          <w:pPr>
            <w:pStyle w:val="Contents5"/>
            <w:tabs>
              <w:tab w:val="clear" w:pos="7892"/>
              <w:tab w:val="right" w:pos="9026" w:leader="dot"/>
            </w:tabs>
            <w:rPr/>
          </w:pPr>
          <w:hyperlink w:anchor="__RefHeading___Toc10391086_73709187">
            <w:r>
              <w:rPr>
                <w:webHidden/>
                <w:rStyle w:val="IndexLink"/>
                <w:rtl w:val="true"/>
              </w:rPr>
              <w:t>تتميم في بيان اُمور</w:t>
            </w:r>
            <w:r>
              <w:rPr>
                <w:rStyle w:val="IndexLink"/>
                <w:rtl w:val="true"/>
              </w:rPr>
              <w:t>:</w:t>
              <w:tab/>
            </w:r>
            <w:r>
              <w:rPr>
                <w:rStyle w:val="IndexLink"/>
              </w:rPr>
              <w:t>208</w:t>
            </w:r>
          </w:hyperlink>
        </w:p>
        <w:p>
          <w:pPr>
            <w:pStyle w:val="Contents6"/>
            <w:tabs>
              <w:tab w:val="clear" w:pos="7609"/>
              <w:tab w:val="right" w:pos="9026" w:leader="dot"/>
            </w:tabs>
            <w:rPr/>
          </w:pPr>
          <w:hyperlink w:anchor="__RefHeading___Toc10391088_73709187">
            <w:r>
              <w:rPr>
                <w:webHidden/>
                <w:rStyle w:val="IndexLink"/>
                <w:rtl w:val="true"/>
              </w:rPr>
              <w:t>وجوب الطّلب عند عدم الماء</w:t>
            </w:r>
            <w:r>
              <w:rPr>
                <w:rStyle w:val="IndexLink"/>
                <w:rtl w:val="true"/>
              </w:rPr>
              <w:tab/>
            </w:r>
            <w:r>
              <w:rPr>
                <w:rStyle w:val="IndexLink"/>
              </w:rPr>
              <w:t>208</w:t>
            </w:r>
          </w:hyperlink>
        </w:p>
        <w:p>
          <w:pPr>
            <w:pStyle w:val="Contents6"/>
            <w:tabs>
              <w:tab w:val="clear" w:pos="7609"/>
              <w:tab w:val="right" w:pos="9026" w:leader="dot"/>
            </w:tabs>
            <w:rPr/>
          </w:pPr>
          <w:hyperlink w:anchor="__RefHeading___Toc10391090_73709187">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10391092_73709187">
            <w:r>
              <w:rPr>
                <w:webHidden/>
                <w:rStyle w:val="IndexLink"/>
                <w:rtl w:val="true"/>
              </w:rPr>
              <w:t>مقدار الفحص الواجب</w:t>
            </w:r>
            <w:r>
              <w:rPr>
                <w:rStyle w:val="IndexLink"/>
                <w:rtl w:val="true"/>
              </w:rPr>
              <w:tab/>
            </w:r>
            <w:r>
              <w:rPr>
                <w:rStyle w:val="IndexLink"/>
              </w:rPr>
              <w:t>217</w:t>
            </w:r>
          </w:hyperlink>
        </w:p>
        <w:p>
          <w:pPr>
            <w:pStyle w:val="Contents6"/>
            <w:tabs>
              <w:tab w:val="clear" w:pos="7609"/>
              <w:tab w:val="right" w:pos="9026" w:leader="dot"/>
            </w:tabs>
            <w:rPr/>
          </w:pPr>
          <w:hyperlink w:anchor="__RefHeading___Toc10391094_73709187">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10391096_73709187">
            <w:r>
              <w:rPr>
                <w:webHidden/>
                <w:rStyle w:val="IndexLink"/>
                <w:rtl w:val="true"/>
              </w:rPr>
              <w:t>تنبيهات حول الفحص عن الماء</w:t>
            </w:r>
            <w:r>
              <w:rPr>
                <w:rStyle w:val="IndexLink"/>
                <w:rtl w:val="true"/>
              </w:rPr>
              <w:tab/>
            </w:r>
            <w:r>
              <w:rPr>
                <w:rStyle w:val="IndexLink"/>
              </w:rPr>
              <w:t>221</w:t>
            </w:r>
          </w:hyperlink>
        </w:p>
        <w:p>
          <w:pPr>
            <w:pStyle w:val="Contents6"/>
            <w:tabs>
              <w:tab w:val="clear" w:pos="7609"/>
              <w:tab w:val="right" w:pos="9026" w:leader="dot"/>
            </w:tabs>
            <w:rPr/>
          </w:pPr>
          <w:hyperlink w:anchor="__RefHeading___Toc10391098_73709187">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10391100_73709187">
            <w:r>
              <w:rPr>
                <w:webHidden/>
                <w:rStyle w:val="IndexLink"/>
                <w:rtl w:val="true"/>
              </w:rPr>
              <w:t>الاكتفاء بالطلب غلوة سهمٍ‌</w:t>
            </w:r>
            <w:r>
              <w:rPr>
                <w:rStyle w:val="IndexLink"/>
                <w:rtl w:val="true"/>
              </w:rPr>
              <w:tab/>
            </w:r>
            <w:r>
              <w:rPr>
                <w:rStyle w:val="IndexLink"/>
              </w:rPr>
              <w:t>221</w:t>
            </w:r>
          </w:hyperlink>
        </w:p>
        <w:p>
          <w:pPr>
            <w:pStyle w:val="Contents6"/>
            <w:tabs>
              <w:tab w:val="clear" w:pos="7609"/>
              <w:tab w:val="right" w:pos="9026" w:leader="dot"/>
            </w:tabs>
            <w:rPr/>
          </w:pPr>
          <w:hyperlink w:anchor="__RefHeading___Toc10391102_73709187">
            <w:r>
              <w:rPr>
                <w:webHidden/>
                <w:rStyle w:val="IndexLink"/>
                <w:rtl w:val="true"/>
              </w:rPr>
              <w:t>كون الفحص غَلوة سهمٍ أو سهمين في كلّ جهةٍ من الجهات الأربع</w:t>
            </w:r>
            <w:r>
              <w:rPr>
                <w:rStyle w:val="IndexLink"/>
                <w:rtl w:val="true"/>
              </w:rPr>
              <w:tab/>
            </w:r>
            <w:r>
              <w:rPr>
                <w:rStyle w:val="IndexLink"/>
              </w:rPr>
              <w:t>222</w:t>
            </w:r>
          </w:hyperlink>
        </w:p>
        <w:p>
          <w:pPr>
            <w:pStyle w:val="Contents6"/>
            <w:tabs>
              <w:tab w:val="clear" w:pos="7609"/>
              <w:tab w:val="right" w:pos="9026" w:leader="dot"/>
            </w:tabs>
            <w:rPr/>
          </w:pPr>
          <w:hyperlink w:anchor="__RefHeading___Toc10391104_73709187">
            <w:r>
              <w:rPr>
                <w:webHidden/>
                <w:rStyle w:val="IndexLink"/>
                <w:rtl w:val="true"/>
              </w:rPr>
              <w:t>اشتراط الفحص بالعلم بوجود الماء</w:t>
            </w:r>
            <w:r>
              <w:rPr>
                <w:rStyle w:val="IndexLink"/>
                <w:rtl w:val="true"/>
              </w:rPr>
              <w:tab/>
            </w:r>
            <w:r>
              <w:rPr>
                <w:rStyle w:val="IndexLink"/>
              </w:rPr>
              <w:t>223</w:t>
            </w:r>
          </w:hyperlink>
        </w:p>
        <w:p>
          <w:pPr>
            <w:pStyle w:val="Contents6"/>
            <w:tabs>
              <w:tab w:val="clear" w:pos="7609"/>
              <w:tab w:val="right" w:pos="9026" w:leader="dot"/>
            </w:tabs>
            <w:rPr/>
          </w:pPr>
          <w:hyperlink w:anchor="__RefHeading___Toc10391106_73709187">
            <w:r>
              <w:rPr>
                <w:webHidden/>
                <w:rStyle w:val="IndexLink"/>
                <w:rtl w:val="true"/>
              </w:rPr>
              <w:t>العلم بوجود الماء فيما زاد على المسافة</w:t>
            </w:r>
            <w:r>
              <w:rPr>
                <w:rStyle w:val="IndexLink"/>
                <w:rtl w:val="true"/>
              </w:rPr>
              <w:tab/>
            </w:r>
            <w:r>
              <w:rPr>
                <w:rStyle w:val="IndexLink"/>
              </w:rPr>
              <w:t>224</w:t>
            </w:r>
          </w:hyperlink>
        </w:p>
        <w:p>
          <w:pPr>
            <w:pStyle w:val="Contents6"/>
            <w:tabs>
              <w:tab w:val="clear" w:pos="7609"/>
              <w:tab w:val="right" w:pos="9026" w:leader="dot"/>
            </w:tabs>
            <w:rPr/>
          </w:pPr>
          <w:hyperlink w:anchor="__RefHeading___Toc10391108_73709187">
            <w:r>
              <w:rPr>
                <w:webHidden/>
                <w:rStyle w:val="IndexLink"/>
                <w:rtl w:val="true"/>
              </w:rPr>
              <w:t>الإستنابة في الطّلب</w:t>
            </w:r>
            <w:r>
              <w:rPr>
                <w:rStyle w:val="IndexLink"/>
                <w:rtl w:val="true"/>
              </w:rPr>
              <w:tab/>
            </w:r>
            <w:r>
              <w:rPr>
                <w:rStyle w:val="IndexLink"/>
              </w:rPr>
              <w:t>226</w:t>
            </w:r>
          </w:hyperlink>
        </w:p>
        <w:p>
          <w:pPr>
            <w:pStyle w:val="Contents6"/>
            <w:tabs>
              <w:tab w:val="clear" w:pos="7609"/>
              <w:tab w:val="right" w:pos="9026" w:leader="dot"/>
            </w:tabs>
            <w:rPr/>
          </w:pPr>
          <w:hyperlink w:anchor="__RefHeading___Toc10391110_73709187">
            <w:r>
              <w:rPr>
                <w:webHidden/>
                <w:rStyle w:val="IndexLink"/>
                <w:rtl w:val="true"/>
              </w:rPr>
              <w:t>الإكتفاء بالطلب قبل الوقت</w:t>
            </w:r>
            <w:r>
              <w:rPr>
                <w:rStyle w:val="IndexLink"/>
                <w:rtl w:val="true"/>
              </w:rPr>
              <w:tab/>
            </w:r>
            <w:r>
              <w:rPr>
                <w:rStyle w:val="IndexLink"/>
              </w:rPr>
              <w:t>227</w:t>
            </w:r>
          </w:hyperlink>
        </w:p>
        <w:p>
          <w:pPr>
            <w:pStyle w:val="Contents6"/>
            <w:tabs>
              <w:tab w:val="clear" w:pos="7609"/>
              <w:tab w:val="right" w:pos="9026" w:leader="dot"/>
            </w:tabs>
            <w:rPr/>
          </w:pPr>
          <w:hyperlink w:anchor="__RefHeading___Toc10391112_73709187">
            <w:r>
              <w:rPr>
                <w:webHidden/>
                <w:rStyle w:val="IndexLink"/>
                <w:rtl w:val="true"/>
              </w:rPr>
              <w:t>لو ترك الطَّلب حتّى ضاق الوقت</w:t>
            </w:r>
            <w:r>
              <w:rPr>
                <w:rStyle w:val="IndexLink"/>
                <w:rtl w:val="true"/>
              </w:rPr>
              <w:tab/>
            </w:r>
            <w:r>
              <w:rPr>
                <w:rStyle w:val="IndexLink"/>
              </w:rPr>
              <w:t>230</w:t>
            </w:r>
          </w:hyperlink>
        </w:p>
        <w:p>
          <w:pPr>
            <w:pStyle w:val="Contents6"/>
            <w:tabs>
              <w:tab w:val="clear" w:pos="7609"/>
              <w:tab w:val="right" w:pos="9026" w:leader="dot"/>
            </w:tabs>
            <w:rPr/>
          </w:pPr>
          <w:hyperlink w:anchor="__RefHeading___Toc10391114_73709187">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10391116_73709187">
            <w:r>
              <w:rPr>
                <w:webHidden/>
                <w:rStyle w:val="IndexLink"/>
                <w:rtl w:val="true"/>
              </w:rPr>
              <w:t>هاهنا مقامان</w:t>
            </w:r>
            <w:r>
              <w:rPr>
                <w:rStyle w:val="IndexLink"/>
                <w:rtl w:val="true"/>
              </w:rPr>
              <w:tab/>
            </w:r>
            <w:r>
              <w:rPr>
                <w:rStyle w:val="IndexLink"/>
              </w:rPr>
              <w:t>230</w:t>
            </w:r>
          </w:hyperlink>
        </w:p>
        <w:p>
          <w:pPr>
            <w:pStyle w:val="Contents6"/>
            <w:tabs>
              <w:tab w:val="clear" w:pos="7609"/>
              <w:tab w:val="right" w:pos="9026" w:leader="dot"/>
            </w:tabs>
            <w:rPr/>
          </w:pPr>
          <w:hyperlink w:anchor="__RefHeading___Toc10391118_73709187">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10391120_73709187">
            <w:r>
              <w:rPr>
                <w:webHidden/>
                <w:rStyle w:val="IndexLink"/>
                <w:rtl w:val="true"/>
              </w:rPr>
              <w:t>عصيان من أخّره حتّى ضاق الوقت، ظاهرُ الوجه</w:t>
            </w:r>
            <w:r>
              <w:rPr>
                <w:rStyle w:val="IndexLink"/>
                <w:rtl w:val="true"/>
              </w:rPr>
              <w:tab/>
            </w:r>
            <w:r>
              <w:rPr>
                <w:rStyle w:val="IndexLink"/>
              </w:rPr>
              <w:t>230</w:t>
            </w:r>
          </w:hyperlink>
        </w:p>
        <w:p>
          <w:pPr>
            <w:pStyle w:val="Contents6"/>
            <w:tabs>
              <w:tab w:val="clear" w:pos="7609"/>
              <w:tab w:val="right" w:pos="9026" w:leader="dot"/>
            </w:tabs>
            <w:rPr/>
          </w:pPr>
          <w:hyperlink w:anchor="__RefHeading___Toc10391122_73709187">
            <w:r>
              <w:rPr>
                <w:webHidden/>
                <w:rStyle w:val="IndexLink"/>
                <w:rtl w:val="true"/>
              </w:rPr>
              <w:t>في صحّة الصلاة لو ترك الطلب حتّى ضاق الوقت</w:t>
            </w:r>
            <w:r>
              <w:rPr>
                <w:rStyle w:val="IndexLink"/>
                <w:rtl w:val="true"/>
              </w:rPr>
              <w:tab/>
            </w:r>
            <w:r>
              <w:rPr>
                <w:rStyle w:val="IndexLink"/>
              </w:rPr>
              <w:t>234</w:t>
            </w:r>
          </w:hyperlink>
        </w:p>
        <w:p>
          <w:pPr>
            <w:pStyle w:val="Contents6"/>
            <w:tabs>
              <w:tab w:val="clear" w:pos="7609"/>
              <w:tab w:val="right" w:pos="9026" w:leader="dot"/>
            </w:tabs>
            <w:rPr/>
          </w:pPr>
          <w:hyperlink w:anchor="__RefHeading___Toc10391124_73709187">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10391126_73709187">
            <w:r>
              <w:rPr>
                <w:webHidden/>
                <w:rStyle w:val="IndexLink"/>
                <w:rtl w:val="true"/>
              </w:rPr>
              <w:t>المشهور</w:t>
            </w:r>
            <w:r>
              <w:rPr>
                <w:rStyle w:val="IndexLink"/>
                <w:rtl w:val="true"/>
              </w:rPr>
              <w:t xml:space="preserve">: </w:t>
            </w:r>
            <w:r>
              <w:rPr>
                <w:rStyle w:val="IndexLink"/>
                <w:rtl w:val="true"/>
              </w:rPr>
              <w:t>صحّة صلاته وتيمّمه</w:t>
            </w:r>
            <w:r>
              <w:rPr>
                <w:rStyle w:val="IndexLink"/>
                <w:rtl w:val="true"/>
              </w:rPr>
              <w:tab/>
            </w:r>
            <w:r>
              <w:rPr>
                <w:rStyle w:val="IndexLink"/>
              </w:rPr>
              <w:t>234</w:t>
            </w:r>
          </w:hyperlink>
        </w:p>
        <w:p>
          <w:pPr>
            <w:pStyle w:val="Contents6"/>
            <w:tabs>
              <w:tab w:val="clear" w:pos="7609"/>
              <w:tab w:val="right" w:pos="9026" w:leader="dot"/>
            </w:tabs>
            <w:rPr/>
          </w:pPr>
          <w:hyperlink w:anchor="__RefHeading___Toc10391128_73709187">
            <w:r>
              <w:rPr>
                <w:webHidden/>
                <w:rStyle w:val="IndexLink"/>
                <w:rtl w:val="true"/>
              </w:rPr>
              <w:t>عدم وجوب القضاء في الفرض</w:t>
            </w:r>
            <w:r>
              <w:rPr>
                <w:rStyle w:val="IndexLink"/>
                <w:rtl w:val="true"/>
              </w:rPr>
              <w:tab/>
            </w:r>
            <w:r>
              <w:rPr>
                <w:rStyle w:val="IndexLink"/>
              </w:rPr>
              <w:t>236</w:t>
            </w:r>
          </w:hyperlink>
        </w:p>
        <w:p>
          <w:pPr>
            <w:pStyle w:val="Contents6"/>
            <w:tabs>
              <w:tab w:val="clear" w:pos="7609"/>
              <w:tab w:val="right" w:pos="9026" w:leader="dot"/>
            </w:tabs>
            <w:rPr/>
          </w:pPr>
          <w:hyperlink w:anchor="__RefHeading___Toc10391130_73709187">
            <w:r>
              <w:rPr>
                <w:webHidden/>
                <w:rStyle w:val="IndexLink"/>
                <w:rtl w:val="true"/>
              </w:rPr>
              <w:t>إذا ترك الطَّلب في سعة الوقت</w:t>
            </w:r>
            <w:r>
              <w:rPr>
                <w:rStyle w:val="IndexLink"/>
                <w:rtl w:val="true"/>
              </w:rPr>
              <w:tab/>
            </w:r>
            <w:r>
              <w:rPr>
                <w:rStyle w:val="IndexLink"/>
              </w:rPr>
              <w:t>238</w:t>
            </w:r>
          </w:hyperlink>
        </w:p>
        <w:p>
          <w:pPr>
            <w:pStyle w:val="Contents6"/>
            <w:tabs>
              <w:tab w:val="clear" w:pos="7609"/>
              <w:tab w:val="right" w:pos="9026" w:leader="dot"/>
            </w:tabs>
            <w:rPr/>
          </w:pPr>
          <w:hyperlink w:anchor="__RefHeading___Toc10391132_73709187">
            <w:r>
              <w:rPr>
                <w:webHidden/>
                <w:rStyle w:val="IndexLink"/>
                <w:rtl w:val="true"/>
              </w:rPr>
              <w:t>إذا طلب وصلّى ثمّ تبيّن وجود الماء</w:t>
            </w:r>
            <w:r>
              <w:rPr>
                <w:rStyle w:val="IndexLink"/>
                <w:rtl w:val="true"/>
              </w:rPr>
              <w:tab/>
            </w:r>
            <w:r>
              <w:rPr>
                <w:rStyle w:val="IndexLink"/>
              </w:rPr>
              <w:t>240</w:t>
            </w:r>
          </w:hyperlink>
        </w:p>
        <w:p>
          <w:pPr>
            <w:pStyle w:val="Contents6"/>
            <w:tabs>
              <w:tab w:val="clear" w:pos="7609"/>
              <w:tab w:val="right" w:pos="9026" w:leader="dot"/>
            </w:tabs>
            <w:rPr/>
          </w:pPr>
          <w:hyperlink w:anchor="__RefHeading___Toc10391134_73709187">
            <w:r>
              <w:rPr>
                <w:webHidden/>
                <w:rStyle w:val="IndexLink"/>
                <w:rtl w:val="true"/>
              </w:rPr>
              <w:t>إذا اعتقد ضيق الوقت ثمّ تبيّن السِّعة</w:t>
            </w:r>
            <w:r>
              <w:rPr>
                <w:rStyle w:val="IndexLink"/>
                <w:rtl w:val="true"/>
              </w:rPr>
              <w:tab/>
            </w:r>
            <w:r>
              <w:rPr>
                <w:rStyle w:val="IndexLink"/>
              </w:rPr>
              <w:t>242</w:t>
            </w:r>
          </w:hyperlink>
        </w:p>
        <w:p>
          <w:pPr>
            <w:pStyle w:val="Contents6"/>
            <w:tabs>
              <w:tab w:val="clear" w:pos="7609"/>
              <w:tab w:val="right" w:pos="9026" w:leader="dot"/>
            </w:tabs>
            <w:rPr/>
          </w:pPr>
          <w:hyperlink w:anchor="__RefHeading___Toc10391136_73709187">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10391138_73709187">
            <w:r>
              <w:rPr>
                <w:webHidden/>
                <w:rStyle w:val="IndexLink"/>
                <w:rtl w:val="true"/>
              </w:rPr>
              <w:t>لو اعتقد عدم الماء ثمّ تبيّن وجوده</w:t>
            </w:r>
            <w:r>
              <w:rPr>
                <w:rStyle w:val="IndexLink"/>
                <w:rtl w:val="true"/>
              </w:rPr>
              <w:tab/>
            </w:r>
            <w:r>
              <w:rPr>
                <w:rStyle w:val="IndexLink"/>
              </w:rPr>
              <w:t>244</w:t>
            </w:r>
          </w:hyperlink>
        </w:p>
        <w:p>
          <w:pPr>
            <w:pStyle w:val="Contents6"/>
            <w:tabs>
              <w:tab w:val="clear" w:pos="7609"/>
              <w:tab w:val="right" w:pos="9026" w:leader="dot"/>
            </w:tabs>
            <w:rPr/>
          </w:pPr>
          <w:hyperlink w:anchor="__RefHeading___Toc10391140_73709187">
            <w:r>
              <w:rPr>
                <w:webHidden/>
                <w:rStyle w:val="IndexLink"/>
                <w:rtl w:val="true"/>
              </w:rPr>
              <w:t>إراقة الماء</w:t>
            </w:r>
            <w:r>
              <w:rPr>
                <w:rStyle w:val="IndexLink"/>
                <w:rtl w:val="true"/>
              </w:rPr>
              <w:tab/>
            </w:r>
            <w:r>
              <w:rPr>
                <w:rStyle w:val="IndexLink"/>
              </w:rPr>
              <w:t>248</w:t>
            </w:r>
          </w:hyperlink>
        </w:p>
        <w:p>
          <w:pPr>
            <w:pStyle w:val="Contents6"/>
            <w:tabs>
              <w:tab w:val="clear" w:pos="7609"/>
              <w:tab w:val="right" w:pos="9026" w:leader="dot"/>
            </w:tabs>
            <w:rPr/>
          </w:pPr>
          <w:hyperlink w:anchor="__RefHeading___Toc10391142_73709187">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10391144_73709187">
            <w:r>
              <w:rPr>
                <w:webHidden/>
                <w:rStyle w:val="IndexLink"/>
                <w:rtl w:val="true"/>
              </w:rPr>
              <w:t>إراقة الماء قبل الوقت</w:t>
            </w:r>
            <w:r>
              <w:rPr>
                <w:rStyle w:val="IndexLink"/>
                <w:rtl w:val="true"/>
              </w:rPr>
              <w:tab/>
            </w:r>
            <w:r>
              <w:rPr>
                <w:rStyle w:val="IndexLink"/>
              </w:rPr>
              <w:t>252</w:t>
            </w:r>
          </w:hyperlink>
        </w:p>
        <w:p>
          <w:pPr>
            <w:pStyle w:val="Contents6"/>
            <w:tabs>
              <w:tab w:val="clear" w:pos="7609"/>
              <w:tab w:val="right" w:pos="9026" w:leader="dot"/>
            </w:tabs>
            <w:rPr/>
          </w:pPr>
          <w:hyperlink w:anchor="__RefHeading___Toc10391146_73709187">
            <w:r>
              <w:rPr>
                <w:webHidden/>
                <w:rStyle w:val="IndexLink"/>
                <w:rtl w:val="true"/>
              </w:rPr>
              <w:t>سقوط الطلب عند الخوف</w:t>
            </w:r>
            <w:r>
              <w:rPr>
                <w:rStyle w:val="IndexLink"/>
                <w:rtl w:val="true"/>
              </w:rPr>
              <w:tab/>
            </w:r>
            <w:r>
              <w:rPr>
                <w:rStyle w:val="IndexLink"/>
              </w:rPr>
              <w:t>255</w:t>
            </w:r>
          </w:hyperlink>
        </w:p>
        <w:p>
          <w:pPr>
            <w:pStyle w:val="Contents6"/>
            <w:tabs>
              <w:tab w:val="clear" w:pos="7609"/>
              <w:tab w:val="right" w:pos="9026" w:leader="dot"/>
            </w:tabs>
            <w:rPr/>
          </w:pPr>
          <w:hyperlink w:anchor="__RefHeading___Toc10391148_73709187">
            <w:r>
              <w:rPr>
                <w:webHidden/>
                <w:rStyle w:val="IndexLink"/>
                <w:rtl w:val="true"/>
              </w:rPr>
              <w:t>في جواز الوضوء بخلط المطلق بما يكفي وعدمه</w:t>
            </w:r>
            <w:r>
              <w:rPr>
                <w:rStyle w:val="IndexLink"/>
                <w:rtl w:val="true"/>
              </w:rPr>
              <w:tab/>
            </w:r>
            <w:r>
              <w:rPr>
                <w:rStyle w:val="IndexLink"/>
              </w:rPr>
              <w:t>256</w:t>
            </w:r>
          </w:hyperlink>
        </w:p>
        <w:p>
          <w:pPr>
            <w:pStyle w:val="Contents6"/>
            <w:tabs>
              <w:tab w:val="clear" w:pos="7609"/>
              <w:tab w:val="right" w:pos="9026" w:leader="dot"/>
            </w:tabs>
            <w:rPr/>
          </w:pPr>
          <w:hyperlink w:anchor="__RefHeading___Toc10391150_73709187">
            <w:r>
              <w:rPr>
                <w:webHidden/>
                <w:rStyle w:val="IndexLink"/>
                <w:rtl w:val="true"/>
              </w:rPr>
              <w:t>دوران الأمر بين الطهارة المائيّة وإزالة النجاسة</w:t>
            </w:r>
            <w:r>
              <w:rPr>
                <w:rStyle w:val="IndexLink"/>
                <w:rtl w:val="true"/>
              </w:rPr>
              <w:tab/>
            </w:r>
            <w:r>
              <w:rPr>
                <w:rStyle w:val="IndexLink"/>
              </w:rPr>
              <w:t>258</w:t>
            </w:r>
          </w:hyperlink>
        </w:p>
        <w:p>
          <w:pPr>
            <w:pStyle w:val="Contents6"/>
            <w:tabs>
              <w:tab w:val="clear" w:pos="7609"/>
              <w:tab w:val="right" w:pos="9026" w:leader="dot"/>
            </w:tabs>
            <w:rPr/>
          </w:pPr>
          <w:hyperlink w:anchor="__RefHeading___Toc10391152_73709187">
            <w:r>
              <w:rPr>
                <w:webHidden/>
                <w:rStyle w:val="IndexLink"/>
                <w:rtl w:val="true"/>
              </w:rPr>
              <w:t>التيمّم مع التمكّن من استعمال الماء</w:t>
            </w:r>
            <w:r>
              <w:rPr>
                <w:rStyle w:val="IndexLink"/>
                <w:rtl w:val="true"/>
              </w:rPr>
              <w:tab/>
            </w:r>
            <w:r>
              <w:rPr>
                <w:rStyle w:val="IndexLink"/>
              </w:rPr>
              <w:t>260</w:t>
            </w:r>
          </w:hyperlink>
        </w:p>
        <w:p>
          <w:pPr>
            <w:pStyle w:val="Contents4"/>
            <w:tabs>
              <w:tab w:val="clear" w:pos="8176"/>
              <w:tab w:val="right" w:pos="9026" w:leader="dot"/>
            </w:tabs>
            <w:rPr/>
          </w:pPr>
          <w:hyperlink w:anchor="__RefHeading___Toc10391154_73709187">
            <w:r>
              <w:rPr>
                <w:webHidden/>
                <w:rStyle w:val="IndexLink"/>
                <w:rtl w:val="true"/>
              </w:rPr>
              <w:t>الفصل الثاني في بيان ما يصحّ التيمّم به</w:t>
            </w:r>
            <w:r>
              <w:rPr>
                <w:rStyle w:val="IndexLink"/>
                <w:rtl w:val="true"/>
              </w:rPr>
              <w:tab/>
            </w:r>
            <w:r>
              <w:rPr>
                <w:rStyle w:val="IndexLink"/>
              </w:rPr>
              <w:t>264</w:t>
            </w:r>
          </w:hyperlink>
        </w:p>
        <w:p>
          <w:pPr>
            <w:pStyle w:val="Contents5"/>
            <w:tabs>
              <w:tab w:val="clear" w:pos="7892"/>
              <w:tab w:val="right" w:pos="9026" w:leader="dot"/>
            </w:tabs>
            <w:rPr/>
          </w:pPr>
          <w:hyperlink w:anchor="__RefHeading___Toc10391156_73709187">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0391158_73709187">
            <w:r>
              <w:rPr>
                <w:webHidden/>
                <w:rStyle w:val="IndexLink"/>
                <w:rtl w:val="true"/>
              </w:rPr>
              <w:t>مسائل</w:t>
            </w:r>
            <w:r>
              <w:rPr>
                <w:rStyle w:val="IndexLink"/>
                <w:rtl w:val="true"/>
              </w:rPr>
              <w:t>:</w:t>
              <w:tab/>
            </w:r>
            <w:r>
              <w:rPr>
                <w:rStyle w:val="IndexLink"/>
              </w:rPr>
              <w:t>279</w:t>
            </w:r>
          </w:hyperlink>
        </w:p>
        <w:p>
          <w:pPr>
            <w:pStyle w:val="Contents6"/>
            <w:tabs>
              <w:tab w:val="clear" w:pos="7609"/>
              <w:tab w:val="right" w:pos="9026" w:leader="dot"/>
            </w:tabs>
            <w:rPr/>
          </w:pPr>
          <w:hyperlink w:anchor="__RefHeading___Toc10391160_73709187">
            <w:r>
              <w:rPr>
                <w:webHidden/>
                <w:rStyle w:val="IndexLink"/>
                <w:rtl w:val="true"/>
              </w:rPr>
              <w:t>التيمّم بأرض النُّورة والجِصّ والحَجَر</w:t>
            </w:r>
            <w:r>
              <w:rPr>
                <w:rStyle w:val="IndexLink"/>
                <w:rtl w:val="true"/>
              </w:rPr>
              <w:tab/>
            </w:r>
            <w:r>
              <w:rPr>
                <w:rStyle w:val="IndexLink"/>
              </w:rPr>
              <w:t>279</w:t>
            </w:r>
          </w:hyperlink>
        </w:p>
        <w:p>
          <w:pPr>
            <w:pStyle w:val="Contents6"/>
            <w:tabs>
              <w:tab w:val="clear" w:pos="7609"/>
              <w:tab w:val="right" w:pos="9026" w:leader="dot"/>
            </w:tabs>
            <w:rPr/>
          </w:pPr>
          <w:hyperlink w:anchor="__RefHeading___Toc10391162_73709187">
            <w:r>
              <w:rPr>
                <w:webHidden/>
                <w:rStyle w:val="IndexLink"/>
                <w:rtl w:val="true"/>
              </w:rPr>
              <w:t>التيمّم على المعادن</w:t>
            </w:r>
            <w:r>
              <w:rPr>
                <w:rStyle w:val="IndexLink"/>
                <w:rtl w:val="true"/>
              </w:rPr>
              <w:tab/>
            </w:r>
            <w:r>
              <w:rPr>
                <w:rStyle w:val="IndexLink"/>
              </w:rPr>
              <w:t>284</w:t>
            </w:r>
          </w:hyperlink>
        </w:p>
        <w:p>
          <w:pPr>
            <w:pStyle w:val="Contents6"/>
            <w:tabs>
              <w:tab w:val="clear" w:pos="7609"/>
              <w:tab w:val="right" w:pos="9026" w:leader="dot"/>
            </w:tabs>
            <w:rPr/>
          </w:pPr>
          <w:hyperlink w:anchor="__RefHeading___Toc10391164_73709187">
            <w:r>
              <w:rPr>
                <w:webHidden/>
                <w:rStyle w:val="IndexLink"/>
                <w:rtl w:val="true"/>
              </w:rPr>
              <w:t>يُكْره بالسَّبخة والرَّمل</w:t>
            </w:r>
            <w:r>
              <w:rPr>
                <w:rStyle w:val="IndexLink"/>
                <w:rtl w:val="true"/>
              </w:rPr>
              <w:tab/>
            </w:r>
            <w:r>
              <w:rPr>
                <w:rStyle w:val="IndexLink"/>
              </w:rPr>
              <w:t>286</w:t>
            </w:r>
          </w:hyperlink>
        </w:p>
        <w:p>
          <w:pPr>
            <w:pStyle w:val="Contents6"/>
            <w:tabs>
              <w:tab w:val="clear" w:pos="7609"/>
              <w:tab w:val="right" w:pos="9026" w:leader="dot"/>
            </w:tabs>
            <w:rPr/>
          </w:pPr>
          <w:hyperlink w:anchor="__RefHeading___Toc10391166_73709187">
            <w:r>
              <w:rPr>
                <w:webHidden/>
                <w:rStyle w:val="IndexLink"/>
                <w:rtl w:val="true"/>
              </w:rPr>
              <w:t>ما يصحّ التيمّم به عند فَقْد الأرض</w:t>
            </w:r>
            <w:r>
              <w:rPr>
                <w:rStyle w:val="IndexLink"/>
                <w:rtl w:val="true"/>
              </w:rPr>
              <w:tab/>
            </w:r>
            <w:r>
              <w:rPr>
                <w:rStyle w:val="IndexLink"/>
              </w:rPr>
              <w:t>287</w:t>
            </w:r>
          </w:hyperlink>
        </w:p>
        <w:p>
          <w:pPr>
            <w:pStyle w:val="Contents6"/>
            <w:tabs>
              <w:tab w:val="clear" w:pos="7609"/>
              <w:tab w:val="right" w:pos="9026" w:leader="dot"/>
            </w:tabs>
            <w:rPr/>
          </w:pPr>
          <w:hyperlink w:anchor="__RefHeading___Toc10391168_73709187">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10391170_73709187">
            <w:r>
              <w:rPr>
                <w:webHidden/>
                <w:rStyle w:val="IndexLink"/>
                <w:rtl w:val="true"/>
              </w:rPr>
              <w:t>تنبيهات باب التيمّم</w:t>
            </w:r>
            <w:r>
              <w:rPr>
                <w:rStyle w:val="IndexLink"/>
                <w:rtl w:val="true"/>
              </w:rPr>
              <w:tab/>
            </w:r>
            <w:r>
              <w:rPr>
                <w:rStyle w:val="IndexLink"/>
              </w:rPr>
              <w:t>292</w:t>
            </w:r>
          </w:hyperlink>
        </w:p>
        <w:p>
          <w:pPr>
            <w:pStyle w:val="Contents6"/>
            <w:tabs>
              <w:tab w:val="clear" w:pos="7609"/>
              <w:tab w:val="right" w:pos="9026" w:leader="dot"/>
            </w:tabs>
            <w:rPr/>
          </w:pPr>
          <w:hyperlink w:anchor="__RefHeading___Toc10391172_73709187">
            <w:r>
              <w:rPr>
                <w:webHidden/>
                <w:rStyle w:val="IndexLink"/>
                <w:rtl w:val="true"/>
              </w:rPr>
              <w:t>فاقد الطهورين</w:t>
            </w:r>
            <w:r>
              <w:rPr>
                <w:rStyle w:val="IndexLink"/>
                <w:rtl w:val="true"/>
              </w:rPr>
              <w:tab/>
            </w:r>
            <w:r>
              <w:rPr>
                <w:rStyle w:val="IndexLink"/>
              </w:rPr>
              <w:t>296</w:t>
            </w:r>
          </w:hyperlink>
        </w:p>
        <w:p>
          <w:pPr>
            <w:pStyle w:val="Contents6"/>
            <w:tabs>
              <w:tab w:val="clear" w:pos="7609"/>
              <w:tab w:val="right" w:pos="9026" w:leader="dot"/>
            </w:tabs>
            <w:rPr/>
          </w:pPr>
          <w:hyperlink w:anchor="__RefHeading___Toc10391174_73709187">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10391176_73709187">
            <w:r>
              <w:rPr>
                <w:webHidden/>
                <w:rStyle w:val="IndexLink"/>
                <w:rtl w:val="true"/>
              </w:rPr>
              <w:t>حكم فاقد الطهورين</w:t>
            </w:r>
            <w:r>
              <w:rPr>
                <w:rStyle w:val="IndexLink"/>
                <w:rtl w:val="true"/>
              </w:rPr>
              <w:tab/>
            </w:r>
            <w:r>
              <w:rPr>
                <w:rStyle w:val="IndexLink"/>
              </w:rPr>
              <w:t>302</w:t>
            </w:r>
          </w:hyperlink>
        </w:p>
        <w:p>
          <w:pPr>
            <w:pStyle w:val="Contents6"/>
            <w:tabs>
              <w:tab w:val="clear" w:pos="7609"/>
              <w:tab w:val="right" w:pos="9026" w:leader="dot"/>
            </w:tabs>
            <w:rPr/>
          </w:pPr>
          <w:hyperlink w:anchor="__RefHeading___Toc10391178_73709187">
            <w:r>
              <w:rPr>
                <w:webHidden/>
                <w:rStyle w:val="IndexLink"/>
                <w:rtl w:val="true"/>
              </w:rPr>
              <w:t>شروط ما يتيمّم به</w:t>
            </w:r>
            <w:r>
              <w:rPr>
                <w:rStyle w:val="IndexLink"/>
                <w:rtl w:val="true"/>
              </w:rPr>
              <w:tab/>
            </w:r>
            <w:r>
              <w:rPr>
                <w:rStyle w:val="IndexLink"/>
              </w:rPr>
              <w:t>309</w:t>
            </w:r>
          </w:hyperlink>
        </w:p>
        <w:p>
          <w:pPr>
            <w:pStyle w:val="Contents6"/>
            <w:tabs>
              <w:tab w:val="clear" w:pos="7609"/>
              <w:tab w:val="right" w:pos="9026" w:leader="dot"/>
            </w:tabs>
            <w:rPr/>
          </w:pPr>
          <w:hyperlink w:anchor="__RefHeading___Toc10391180_73709187">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10391182_73709187">
            <w:r>
              <w:rPr>
                <w:webHidden/>
                <w:rStyle w:val="IndexLink"/>
                <w:rtl w:val="true"/>
              </w:rPr>
              <w:t>اليبوسة مع الإمكان</w:t>
            </w:r>
            <w:r>
              <w:rPr>
                <w:rStyle w:val="IndexLink"/>
                <w:rtl w:val="true"/>
              </w:rPr>
              <w:tab/>
            </w:r>
            <w:r>
              <w:rPr>
                <w:rStyle w:val="IndexLink"/>
              </w:rPr>
              <w:t>309</w:t>
            </w:r>
          </w:hyperlink>
        </w:p>
        <w:p>
          <w:pPr>
            <w:pStyle w:val="Contents6"/>
            <w:tabs>
              <w:tab w:val="clear" w:pos="7609"/>
              <w:tab w:val="right" w:pos="9026" w:leader="dot"/>
            </w:tabs>
            <w:rPr/>
          </w:pPr>
          <w:hyperlink w:anchor="__RefHeading___Toc10391184_73709187">
            <w:r>
              <w:rPr>
                <w:webHidden/>
                <w:rStyle w:val="IndexLink"/>
                <w:rtl w:val="true"/>
              </w:rPr>
              <w:t>أن يكون طاهراً</w:t>
            </w:r>
            <w:r>
              <w:rPr>
                <w:rStyle w:val="IndexLink"/>
                <w:rtl w:val="true"/>
              </w:rPr>
              <w:tab/>
            </w:r>
            <w:r>
              <w:rPr>
                <w:rStyle w:val="IndexLink"/>
              </w:rPr>
              <w:t>310</w:t>
            </w:r>
          </w:hyperlink>
        </w:p>
        <w:p>
          <w:pPr>
            <w:pStyle w:val="Contents6"/>
            <w:tabs>
              <w:tab w:val="clear" w:pos="7609"/>
              <w:tab w:val="right" w:pos="9026" w:leader="dot"/>
            </w:tabs>
            <w:rPr/>
          </w:pPr>
          <w:hyperlink w:anchor="__RefHeading___Toc10391186_73709187">
            <w:r>
              <w:rPr>
                <w:webHidden/>
                <w:rStyle w:val="IndexLink"/>
                <w:rtl w:val="true"/>
              </w:rPr>
              <w:t>اعتبار الإباحة</w:t>
            </w:r>
            <w:r>
              <w:rPr>
                <w:rStyle w:val="IndexLink"/>
                <w:rtl w:val="true"/>
              </w:rPr>
              <w:tab/>
            </w:r>
            <w:r>
              <w:rPr>
                <w:rStyle w:val="IndexLink"/>
              </w:rPr>
              <w:t>313</w:t>
            </w:r>
          </w:hyperlink>
        </w:p>
        <w:p>
          <w:pPr>
            <w:pStyle w:val="Contents6"/>
            <w:tabs>
              <w:tab w:val="clear" w:pos="7609"/>
              <w:tab w:val="right" w:pos="9026" w:leader="dot"/>
            </w:tabs>
            <w:rPr/>
          </w:pPr>
          <w:hyperlink w:anchor="__RefHeading___Toc10391188_73709187">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10391190_73709187">
            <w:r>
              <w:rPr>
                <w:webHidden/>
                <w:rStyle w:val="IndexLink"/>
                <w:rtl w:val="true"/>
              </w:rPr>
              <w:t>فروع باب التيمّم</w:t>
            </w:r>
            <w:r>
              <w:rPr>
                <w:rStyle w:val="IndexLink"/>
                <w:rtl w:val="true"/>
              </w:rPr>
              <w:tab/>
            </w:r>
            <w:r>
              <w:rPr>
                <w:rStyle w:val="IndexLink"/>
              </w:rPr>
              <w:t>315</w:t>
            </w:r>
          </w:hyperlink>
        </w:p>
        <w:p>
          <w:pPr>
            <w:pStyle w:val="Contents6"/>
            <w:tabs>
              <w:tab w:val="clear" w:pos="7609"/>
              <w:tab w:val="right" w:pos="9026" w:leader="dot"/>
            </w:tabs>
            <w:rPr/>
          </w:pPr>
          <w:hyperlink w:anchor="__RefHeading___Toc10391192_73709187">
            <w:r>
              <w:rPr>
                <w:webHidden/>
                <w:rStyle w:val="IndexLink"/>
                <w:rtl w:val="true"/>
              </w:rPr>
              <w:t>عدم اعتبار العَلوق</w:t>
            </w:r>
            <w:r>
              <w:rPr>
                <w:rStyle w:val="IndexLink"/>
                <w:rtl w:val="true"/>
              </w:rPr>
              <w:tab/>
            </w:r>
            <w:r>
              <w:rPr>
                <w:rStyle w:val="IndexLink"/>
              </w:rPr>
              <w:t>322</w:t>
            </w:r>
          </w:hyperlink>
        </w:p>
        <w:p>
          <w:pPr>
            <w:pStyle w:val="Contents5"/>
            <w:tabs>
              <w:tab w:val="clear" w:pos="7892"/>
              <w:tab w:val="right" w:pos="9026" w:leader="dot"/>
            </w:tabs>
            <w:rPr/>
          </w:pPr>
          <w:hyperlink w:anchor="__RefHeading___Toc10391194_73709187">
            <w:r>
              <w:rPr>
                <w:webHidden/>
                <w:rStyle w:val="IndexLink"/>
                <w:rtl w:val="true"/>
              </w:rPr>
              <w:t>كيفيّة التيمّم</w:t>
            </w:r>
            <w:r>
              <w:rPr>
                <w:rStyle w:val="IndexLink"/>
                <w:rtl w:val="true"/>
              </w:rPr>
              <w:tab/>
            </w:r>
            <w:r>
              <w:rPr>
                <w:rStyle w:val="IndexLink"/>
              </w:rPr>
              <w:t>326</w:t>
            </w:r>
          </w:hyperlink>
        </w:p>
        <w:p>
          <w:pPr>
            <w:pStyle w:val="Contents6"/>
            <w:tabs>
              <w:tab w:val="clear" w:pos="7609"/>
              <w:tab w:val="right" w:pos="9026" w:leader="dot"/>
            </w:tabs>
            <w:rPr/>
          </w:pPr>
          <w:hyperlink w:anchor="__RefHeading___Toc10391196_73709187">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10391198_73709187">
            <w:r>
              <w:rPr>
                <w:webHidden/>
                <w:rStyle w:val="IndexLink"/>
                <w:rtl w:val="true"/>
              </w:rPr>
              <w:t>في اعتبار النيّة</w:t>
            </w:r>
            <w:r>
              <w:rPr>
                <w:rStyle w:val="IndexLink"/>
                <w:rtl w:val="true"/>
              </w:rPr>
              <w:tab/>
            </w:r>
            <w:r>
              <w:rPr>
                <w:rStyle w:val="IndexLink"/>
              </w:rPr>
              <w:t>333</w:t>
            </w:r>
          </w:hyperlink>
        </w:p>
        <w:p>
          <w:pPr>
            <w:pStyle w:val="Contents6"/>
            <w:tabs>
              <w:tab w:val="clear" w:pos="7609"/>
              <w:tab w:val="right" w:pos="9026" w:leader="dot"/>
            </w:tabs>
            <w:rPr/>
          </w:pPr>
          <w:hyperlink w:anchor="__RefHeading___Toc10391200_73709187">
            <w:r>
              <w:rPr>
                <w:webHidden/>
                <w:rStyle w:val="IndexLink"/>
                <w:rtl w:val="true"/>
              </w:rPr>
              <w:t>مَسحُ الوجه</w:t>
            </w:r>
            <w:r>
              <w:rPr>
                <w:rStyle w:val="IndexLink"/>
                <w:rtl w:val="true"/>
              </w:rPr>
              <w:tab/>
            </w:r>
            <w:r>
              <w:rPr>
                <w:rStyle w:val="IndexLink"/>
              </w:rPr>
              <w:t>339</w:t>
            </w:r>
          </w:hyperlink>
        </w:p>
        <w:p>
          <w:pPr>
            <w:pStyle w:val="Contents6"/>
            <w:tabs>
              <w:tab w:val="clear" w:pos="7609"/>
              <w:tab w:val="right" w:pos="9026" w:leader="dot"/>
            </w:tabs>
            <w:rPr/>
          </w:pPr>
          <w:hyperlink w:anchor="__RefHeading___Toc10391202_73709187">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10391204_73709187">
            <w:r>
              <w:rPr>
                <w:webHidden/>
                <w:rStyle w:val="IndexLink"/>
                <w:rtl w:val="true"/>
              </w:rPr>
              <w:t>حَدّ الممسوح</w:t>
            </w:r>
            <w:r>
              <w:rPr>
                <w:rStyle w:val="IndexLink"/>
                <w:rtl w:val="true"/>
              </w:rPr>
              <w:tab/>
            </w:r>
            <w:r>
              <w:rPr>
                <w:rStyle w:val="IndexLink"/>
              </w:rPr>
              <w:t>339</w:t>
            </w:r>
          </w:hyperlink>
        </w:p>
        <w:p>
          <w:pPr>
            <w:pStyle w:val="Contents6"/>
            <w:tabs>
              <w:tab w:val="clear" w:pos="7609"/>
              <w:tab w:val="right" w:pos="9026" w:leader="dot"/>
            </w:tabs>
            <w:rPr/>
          </w:pPr>
          <w:hyperlink w:anchor="__RefHeading___Toc10391206_73709187">
            <w:r>
              <w:rPr>
                <w:webHidden/>
                <w:rStyle w:val="IndexLink"/>
                <w:rtl w:val="true"/>
              </w:rPr>
              <w:t>المسح باليدين</w:t>
            </w:r>
            <w:r>
              <w:rPr>
                <w:rStyle w:val="IndexLink"/>
                <w:rtl w:val="true"/>
              </w:rPr>
              <w:tab/>
            </w:r>
            <w:r>
              <w:rPr>
                <w:rStyle w:val="IndexLink"/>
              </w:rPr>
              <w:t>346</w:t>
            </w:r>
          </w:hyperlink>
        </w:p>
        <w:p>
          <w:pPr>
            <w:pStyle w:val="Contents6"/>
            <w:tabs>
              <w:tab w:val="clear" w:pos="7609"/>
              <w:tab w:val="right" w:pos="9026" w:leader="dot"/>
            </w:tabs>
            <w:rPr/>
          </w:pPr>
          <w:hyperlink w:anchor="__RefHeading___Toc10391208_73709187">
            <w:r>
              <w:rPr>
                <w:webHidden/>
                <w:rStyle w:val="IndexLink"/>
                <w:rtl w:val="true"/>
              </w:rPr>
              <w:t>مسح اليدين</w:t>
            </w:r>
            <w:r>
              <w:rPr>
                <w:rStyle w:val="IndexLink"/>
                <w:rtl w:val="true"/>
              </w:rPr>
              <w:tab/>
            </w:r>
            <w:r>
              <w:rPr>
                <w:rStyle w:val="IndexLink"/>
              </w:rPr>
              <w:t>349</w:t>
            </w:r>
          </w:hyperlink>
        </w:p>
        <w:p>
          <w:pPr>
            <w:pStyle w:val="Contents6"/>
            <w:tabs>
              <w:tab w:val="clear" w:pos="7609"/>
              <w:tab w:val="right" w:pos="9026" w:leader="dot"/>
            </w:tabs>
            <w:rPr/>
          </w:pPr>
          <w:hyperlink w:anchor="__RefHeading___Toc10391210_73709187">
            <w:r>
              <w:rPr>
                <w:webHidden/>
                <w:rStyle w:val="IndexLink"/>
                <w:rtl w:val="true"/>
              </w:rPr>
              <w:t>بقيّة واجبات التيمّم</w:t>
            </w:r>
            <w:r>
              <w:rPr>
                <w:rStyle w:val="IndexLink"/>
                <w:rtl w:val="true"/>
              </w:rPr>
              <w:tab/>
            </w:r>
            <w:r>
              <w:rPr>
                <w:rStyle w:val="IndexLink"/>
              </w:rPr>
              <w:t>355</w:t>
            </w:r>
          </w:hyperlink>
        </w:p>
        <w:p>
          <w:pPr>
            <w:pStyle w:val="Contents6"/>
            <w:tabs>
              <w:tab w:val="clear" w:pos="7609"/>
              <w:tab w:val="right" w:pos="9026" w:leader="dot"/>
            </w:tabs>
            <w:rPr/>
          </w:pPr>
          <w:hyperlink w:anchor="__RefHeading___Toc10391212_73709187">
            <w:r>
              <w:rPr>
                <w:webHidden/>
                <w:rStyle w:val="IndexLink"/>
                <w:rtl w:val="true"/>
              </w:rPr>
              <w:t>اشارة</w:t>
            </w:r>
            <w:r>
              <w:rPr>
                <w:rStyle w:val="IndexLink"/>
                <w:rtl w:val="true"/>
              </w:rPr>
              <w:tab/>
            </w:r>
            <w:r>
              <w:rPr>
                <w:rStyle w:val="IndexLink"/>
              </w:rPr>
              <w:t>355</w:t>
            </w:r>
          </w:hyperlink>
        </w:p>
        <w:p>
          <w:pPr>
            <w:pStyle w:val="Contents6"/>
            <w:tabs>
              <w:tab w:val="clear" w:pos="7609"/>
              <w:tab w:val="right" w:pos="9026" w:leader="dot"/>
            </w:tabs>
            <w:rPr/>
          </w:pPr>
          <w:hyperlink w:anchor="__RefHeading___Toc10391214_73709187">
            <w:r>
              <w:rPr>
                <w:webHidden/>
                <w:rStyle w:val="IndexLink"/>
                <w:rtl w:val="true"/>
              </w:rPr>
              <w:t>المباشرة في حال الاختيار</w:t>
            </w:r>
            <w:r>
              <w:rPr>
                <w:rStyle w:val="IndexLink"/>
                <w:rtl w:val="true"/>
              </w:rPr>
              <w:tab/>
            </w:r>
            <w:r>
              <w:rPr>
                <w:rStyle w:val="IndexLink"/>
              </w:rPr>
              <w:t>355</w:t>
            </w:r>
          </w:hyperlink>
        </w:p>
        <w:p>
          <w:pPr>
            <w:pStyle w:val="Contents6"/>
            <w:tabs>
              <w:tab w:val="clear" w:pos="7609"/>
              <w:tab w:val="right" w:pos="9026" w:leader="dot"/>
            </w:tabs>
            <w:rPr/>
          </w:pPr>
          <w:hyperlink w:anchor="__RefHeading___Toc10391216_73709187">
            <w:r>
              <w:rPr>
                <w:webHidden/>
                <w:rStyle w:val="IndexLink"/>
                <w:rtl w:val="true"/>
              </w:rPr>
              <w:t>اعتبار الموالاة</w:t>
            </w:r>
            <w:r>
              <w:rPr>
                <w:rStyle w:val="IndexLink"/>
                <w:rtl w:val="true"/>
              </w:rPr>
              <w:tab/>
            </w:r>
            <w:r>
              <w:rPr>
                <w:rStyle w:val="IndexLink"/>
              </w:rPr>
              <w:t>356</w:t>
            </w:r>
          </w:hyperlink>
        </w:p>
        <w:p>
          <w:pPr>
            <w:pStyle w:val="Contents6"/>
            <w:tabs>
              <w:tab w:val="clear" w:pos="7609"/>
              <w:tab w:val="right" w:pos="9026" w:leader="dot"/>
            </w:tabs>
            <w:rPr/>
          </w:pPr>
          <w:hyperlink w:anchor="__RefHeading___Toc10391218_73709187">
            <w:r>
              <w:rPr>
                <w:webHidden/>
                <w:rStyle w:val="IndexLink"/>
                <w:rtl w:val="true"/>
              </w:rPr>
              <w:t>الابتداء بالأعلى</w:t>
            </w:r>
            <w:r>
              <w:rPr>
                <w:rStyle w:val="IndexLink"/>
                <w:rtl w:val="true"/>
              </w:rPr>
              <w:tab/>
            </w:r>
            <w:r>
              <w:rPr>
                <w:rStyle w:val="IndexLink"/>
              </w:rPr>
              <w:t>360</w:t>
            </w:r>
          </w:hyperlink>
        </w:p>
        <w:p>
          <w:pPr>
            <w:pStyle w:val="Contents6"/>
            <w:tabs>
              <w:tab w:val="clear" w:pos="7609"/>
              <w:tab w:val="right" w:pos="9026" w:leader="dot"/>
            </w:tabs>
            <w:rPr/>
          </w:pPr>
          <w:hyperlink w:anchor="__RefHeading___Toc10391220_73709187">
            <w:r>
              <w:rPr>
                <w:webHidden/>
                <w:rStyle w:val="IndexLink"/>
                <w:rtl w:val="true"/>
              </w:rPr>
              <w:t>عدم الحائل بين الماسح والممسوح</w:t>
            </w:r>
            <w:r>
              <w:rPr>
                <w:rStyle w:val="IndexLink"/>
                <w:rtl w:val="true"/>
              </w:rPr>
              <w:tab/>
            </w:r>
            <w:r>
              <w:rPr>
                <w:rStyle w:val="IndexLink"/>
              </w:rPr>
              <w:t>362</w:t>
            </w:r>
          </w:hyperlink>
        </w:p>
        <w:p>
          <w:pPr>
            <w:pStyle w:val="Contents6"/>
            <w:tabs>
              <w:tab w:val="clear" w:pos="7609"/>
              <w:tab w:val="right" w:pos="9026" w:leader="dot"/>
            </w:tabs>
            <w:rPr/>
          </w:pPr>
          <w:hyperlink w:anchor="__RefHeading___Toc10391222_73709187">
            <w:r>
              <w:rPr>
                <w:webHidden/>
                <w:rStyle w:val="IndexLink"/>
                <w:rtl w:val="true"/>
              </w:rPr>
              <w:t>طهارة الماسح والممسوح</w:t>
            </w:r>
            <w:r>
              <w:rPr>
                <w:rStyle w:val="IndexLink"/>
                <w:rtl w:val="true"/>
              </w:rPr>
              <w:tab/>
            </w:r>
            <w:r>
              <w:rPr>
                <w:rStyle w:val="IndexLink"/>
              </w:rPr>
              <w:t>363</w:t>
            </w:r>
          </w:hyperlink>
        </w:p>
        <w:p>
          <w:pPr>
            <w:pStyle w:val="Contents6"/>
            <w:tabs>
              <w:tab w:val="clear" w:pos="7609"/>
              <w:tab w:val="right" w:pos="9026" w:leader="dot"/>
            </w:tabs>
            <w:rPr/>
          </w:pPr>
          <w:hyperlink w:anchor="__RefHeading___Toc10391224_73709187">
            <w:r>
              <w:rPr>
                <w:webHidden/>
                <w:rStyle w:val="IndexLink"/>
                <w:rtl w:val="true"/>
              </w:rPr>
              <w:t>في اعتبار الضربتين وعدمه</w:t>
            </w:r>
            <w:r>
              <w:rPr>
                <w:rStyle w:val="IndexLink"/>
                <w:rtl w:val="true"/>
              </w:rPr>
              <w:tab/>
            </w:r>
            <w:r>
              <w:rPr>
                <w:rStyle w:val="IndexLink"/>
              </w:rPr>
              <w:t>365</w:t>
            </w:r>
          </w:hyperlink>
        </w:p>
        <w:p>
          <w:pPr>
            <w:pStyle w:val="Contents6"/>
            <w:tabs>
              <w:tab w:val="clear" w:pos="7609"/>
              <w:tab w:val="right" w:pos="9026" w:leader="dot"/>
            </w:tabs>
            <w:rPr/>
          </w:pPr>
          <w:hyperlink w:anchor="__RefHeading___Toc10391226_73709187">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10391228_73709187">
            <w:r>
              <w:rPr>
                <w:webHidden/>
                <w:rStyle w:val="IndexLink"/>
                <w:rtl w:val="true"/>
              </w:rPr>
              <w:t>في استواء الأغسال في الكيفيّة وعدمه</w:t>
            </w:r>
            <w:r>
              <w:rPr>
                <w:rStyle w:val="IndexLink"/>
                <w:rtl w:val="true"/>
              </w:rPr>
              <w:tab/>
            </w:r>
            <w:r>
              <w:rPr>
                <w:rStyle w:val="IndexLink"/>
              </w:rPr>
              <w:t>376</w:t>
            </w:r>
          </w:hyperlink>
        </w:p>
        <w:p>
          <w:pPr>
            <w:pStyle w:val="Contents6"/>
            <w:tabs>
              <w:tab w:val="clear" w:pos="7609"/>
              <w:tab w:val="right" w:pos="9026" w:leader="dot"/>
            </w:tabs>
            <w:rPr/>
          </w:pPr>
          <w:hyperlink w:anchor="__RefHeading___Toc10391230_73709187">
            <w:r>
              <w:rPr>
                <w:webHidden/>
                <w:rStyle w:val="IndexLink"/>
                <w:rtl w:val="true"/>
              </w:rPr>
              <w:t>الترتيب</w:t>
            </w:r>
            <w:r>
              <w:rPr>
                <w:rStyle w:val="IndexLink"/>
                <w:rtl w:val="true"/>
              </w:rPr>
              <w:tab/>
            </w:r>
            <w:r>
              <w:rPr>
                <w:rStyle w:val="IndexLink"/>
              </w:rPr>
              <w:t>378</w:t>
            </w:r>
          </w:hyperlink>
        </w:p>
        <w:p>
          <w:pPr>
            <w:pStyle w:val="Contents6"/>
            <w:tabs>
              <w:tab w:val="clear" w:pos="7609"/>
              <w:tab w:val="right" w:pos="9026" w:leader="dot"/>
            </w:tabs>
            <w:rPr/>
          </w:pPr>
          <w:hyperlink w:anchor="__RefHeading___Toc10391232_73709187">
            <w:r>
              <w:rPr>
                <w:webHidden/>
                <w:rStyle w:val="IndexLink"/>
                <w:rtl w:val="true"/>
              </w:rPr>
              <w:t>فروع</w:t>
            </w:r>
            <w:r>
              <w:rPr>
                <w:rStyle w:val="IndexLink"/>
                <w:rtl w:val="true"/>
              </w:rPr>
              <w:t>:</w:t>
              <w:tab/>
            </w:r>
            <w:r>
              <w:rPr>
                <w:rStyle w:val="IndexLink"/>
              </w:rPr>
              <w:t>380</w:t>
            </w:r>
          </w:hyperlink>
        </w:p>
        <w:p>
          <w:pPr>
            <w:pStyle w:val="Contents6"/>
            <w:tabs>
              <w:tab w:val="clear" w:pos="7609"/>
              <w:tab w:val="right" w:pos="9026" w:leader="dot"/>
            </w:tabs>
            <w:rPr/>
          </w:pPr>
          <w:hyperlink w:anchor="__RefHeading___Toc10391234_73709187">
            <w:r>
              <w:rPr>
                <w:webHidden/>
                <w:rStyle w:val="IndexLink"/>
                <w:rtl w:val="true"/>
              </w:rPr>
              <w:t>اشارة</w:t>
            </w:r>
            <w:r>
              <w:rPr>
                <w:rStyle w:val="IndexLink"/>
                <w:rtl w:val="true"/>
              </w:rPr>
              <w:tab/>
            </w:r>
            <w:r>
              <w:rPr>
                <w:rStyle w:val="IndexLink"/>
              </w:rPr>
              <w:t>380</w:t>
            </w:r>
          </w:hyperlink>
        </w:p>
        <w:p>
          <w:pPr>
            <w:pStyle w:val="Contents6"/>
            <w:tabs>
              <w:tab w:val="clear" w:pos="7609"/>
              <w:tab w:val="right" w:pos="9026" w:leader="dot"/>
            </w:tabs>
            <w:rPr/>
          </w:pPr>
          <w:hyperlink w:anchor="__RefHeading___Toc10391236_73709187">
            <w:r>
              <w:rPr>
                <w:webHidden/>
                <w:rStyle w:val="IndexLink"/>
                <w:rtl w:val="true"/>
              </w:rPr>
              <w:t>إذا كان على محلّ المسح لحمٌ زائد وجب مسحه</w:t>
            </w:r>
            <w:r>
              <w:rPr>
                <w:rStyle w:val="IndexLink"/>
                <w:rtl w:val="true"/>
              </w:rPr>
              <w:tab/>
            </w:r>
            <w:r>
              <w:rPr>
                <w:rStyle w:val="IndexLink"/>
              </w:rPr>
              <w:t>380</w:t>
            </w:r>
          </w:hyperlink>
        </w:p>
        <w:p>
          <w:pPr>
            <w:pStyle w:val="Contents6"/>
            <w:tabs>
              <w:tab w:val="clear" w:pos="7609"/>
              <w:tab w:val="right" w:pos="9026" w:leader="dot"/>
            </w:tabs>
            <w:rPr/>
          </w:pPr>
          <w:hyperlink w:anchor="__RefHeading___Toc10391238_73709187">
            <w:r>
              <w:rPr>
                <w:webHidden/>
                <w:rStyle w:val="IndexLink"/>
                <w:rtl w:val="true"/>
              </w:rPr>
              <w:t>في كفاية المسح على الشَّعر وعدمها</w:t>
            </w:r>
            <w:r>
              <w:rPr>
                <w:rStyle w:val="IndexLink"/>
                <w:rtl w:val="true"/>
              </w:rPr>
              <w:tab/>
            </w:r>
            <w:r>
              <w:rPr>
                <w:rStyle w:val="IndexLink"/>
              </w:rPr>
              <w:t>380</w:t>
            </w:r>
          </w:hyperlink>
        </w:p>
        <w:p>
          <w:pPr>
            <w:pStyle w:val="Contents6"/>
            <w:tabs>
              <w:tab w:val="clear" w:pos="7609"/>
              <w:tab w:val="right" w:pos="9026" w:leader="dot"/>
            </w:tabs>
            <w:rPr/>
          </w:pPr>
          <w:hyperlink w:anchor="__RefHeading___Toc10391240_73709187">
            <w:r>
              <w:rPr>
                <w:webHidden/>
                <w:rStyle w:val="IndexLink"/>
                <w:rtl w:val="true"/>
              </w:rPr>
              <w:t>إذا كان على الماسح أو الممسوح جبيرة، يكفي المسح بها أو عليها</w:t>
            </w:r>
            <w:r>
              <w:rPr>
                <w:rStyle w:val="IndexLink"/>
                <w:rtl w:val="true"/>
              </w:rPr>
              <w:tab/>
            </w:r>
            <w:r>
              <w:rPr>
                <w:rStyle w:val="IndexLink"/>
              </w:rPr>
              <w:t>381</w:t>
            </w:r>
          </w:hyperlink>
        </w:p>
        <w:p>
          <w:pPr>
            <w:pStyle w:val="Contents6"/>
            <w:tabs>
              <w:tab w:val="clear" w:pos="7609"/>
              <w:tab w:val="right" w:pos="9026" w:leader="dot"/>
            </w:tabs>
            <w:rPr/>
          </w:pPr>
          <w:hyperlink w:anchor="__RefHeading___Toc10391242_73709187">
            <w:r>
              <w:rPr>
                <w:webHidden/>
                <w:rStyle w:val="IndexLink"/>
                <w:rtl w:val="true"/>
              </w:rPr>
              <w:t>في كيفيّة تيمّم النائب</w:t>
            </w:r>
            <w:r>
              <w:rPr>
                <w:rStyle w:val="IndexLink"/>
                <w:rtl w:val="true"/>
              </w:rPr>
              <w:tab/>
            </w:r>
            <w:r>
              <w:rPr>
                <w:rStyle w:val="IndexLink"/>
              </w:rPr>
              <w:t>383</w:t>
            </w:r>
          </w:hyperlink>
        </w:p>
        <w:p>
          <w:pPr>
            <w:pStyle w:val="Contents6"/>
            <w:tabs>
              <w:tab w:val="clear" w:pos="7609"/>
              <w:tab w:val="right" w:pos="9026" w:leader="dot"/>
            </w:tabs>
            <w:rPr/>
          </w:pPr>
          <w:hyperlink w:anchor="__RefHeading___Toc10391244_73709187">
            <w:r>
              <w:rPr>
                <w:webHidden/>
                <w:rStyle w:val="IndexLink"/>
                <w:rtl w:val="true"/>
              </w:rPr>
              <w:t>في سقوط التيمّم عن أقطع اليدين</w:t>
            </w:r>
            <w:r>
              <w:rPr>
                <w:rStyle w:val="IndexLink"/>
                <w:rtl w:val="true"/>
              </w:rPr>
              <w:tab/>
            </w:r>
            <w:r>
              <w:rPr>
                <w:rStyle w:val="IndexLink"/>
              </w:rPr>
              <w:t>386</w:t>
            </w:r>
          </w:hyperlink>
        </w:p>
        <w:p>
          <w:pPr>
            <w:pStyle w:val="Contents6"/>
            <w:tabs>
              <w:tab w:val="clear" w:pos="7609"/>
              <w:tab w:val="right" w:pos="9026" w:leader="dot"/>
            </w:tabs>
            <w:rPr/>
          </w:pPr>
          <w:hyperlink w:anchor="__RefHeading___Toc10391246_73709187">
            <w:r>
              <w:rPr>
                <w:webHidden/>
                <w:rStyle w:val="IndexLink"/>
                <w:rtl w:val="true"/>
              </w:rPr>
              <w:t>القيد والدّاعي</w:t>
            </w:r>
            <w:r>
              <w:rPr>
                <w:rStyle w:val="IndexLink"/>
                <w:rtl w:val="true"/>
              </w:rPr>
              <w:tab/>
            </w:r>
            <w:r>
              <w:rPr>
                <w:rStyle w:val="IndexLink"/>
              </w:rPr>
              <w:t>388</w:t>
            </w:r>
          </w:hyperlink>
        </w:p>
        <w:p>
          <w:pPr>
            <w:pStyle w:val="Contents6"/>
            <w:tabs>
              <w:tab w:val="clear" w:pos="7609"/>
              <w:tab w:val="right" w:pos="9026" w:leader="dot"/>
            </w:tabs>
            <w:rPr/>
          </w:pPr>
          <w:hyperlink w:anchor="__RefHeading___Toc10391248_73709187">
            <w:r>
              <w:rPr>
                <w:webHidden/>
                <w:rStyle w:val="IndexLink"/>
                <w:rtl w:val="true"/>
              </w:rPr>
              <w:t>جريان قاعدة التجاوز في التيمّم</w:t>
            </w:r>
            <w:r>
              <w:rPr>
                <w:rStyle w:val="IndexLink"/>
                <w:rtl w:val="true"/>
              </w:rPr>
              <w:tab/>
            </w:r>
            <w:r>
              <w:rPr>
                <w:rStyle w:val="IndexLink"/>
              </w:rPr>
              <w:t>390</w:t>
            </w:r>
          </w:hyperlink>
        </w:p>
        <w:p>
          <w:pPr>
            <w:pStyle w:val="Contents5"/>
            <w:tabs>
              <w:tab w:val="clear" w:pos="7892"/>
              <w:tab w:val="right" w:pos="9026" w:leader="dot"/>
            </w:tabs>
            <w:rPr/>
          </w:pPr>
          <w:hyperlink w:anchor="__RefHeading___Toc10391250_73709187">
            <w:r>
              <w:rPr>
                <w:webHidden/>
                <w:rStyle w:val="IndexLink"/>
                <w:rtl w:val="true"/>
              </w:rPr>
              <w:t>أحكام التيمّم</w:t>
            </w:r>
            <w:r>
              <w:rPr>
                <w:rStyle w:val="IndexLink"/>
                <w:rtl w:val="true"/>
              </w:rPr>
              <w:tab/>
            </w:r>
            <w:r>
              <w:rPr>
                <w:rStyle w:val="IndexLink"/>
              </w:rPr>
              <w:t>393</w:t>
            </w:r>
          </w:hyperlink>
        </w:p>
        <w:p>
          <w:pPr>
            <w:pStyle w:val="Contents6"/>
            <w:tabs>
              <w:tab w:val="clear" w:pos="7609"/>
              <w:tab w:val="right" w:pos="9026" w:leader="dot"/>
            </w:tabs>
            <w:rPr/>
          </w:pPr>
          <w:hyperlink w:anchor="__RefHeading___Toc10391252_73709187">
            <w:r>
              <w:rPr>
                <w:webHidden/>
                <w:rStyle w:val="IndexLink"/>
                <w:rtl w:val="true"/>
              </w:rPr>
              <w:t>اشارة</w:t>
            </w:r>
            <w:r>
              <w:rPr>
                <w:rStyle w:val="IndexLink"/>
                <w:rtl w:val="true"/>
              </w:rPr>
              <w:tab/>
            </w:r>
            <w:r>
              <w:rPr>
                <w:rStyle w:val="IndexLink"/>
              </w:rPr>
              <w:t>393</w:t>
            </w:r>
          </w:hyperlink>
        </w:p>
        <w:p>
          <w:pPr>
            <w:pStyle w:val="Contents6"/>
            <w:tabs>
              <w:tab w:val="clear" w:pos="7609"/>
              <w:tab w:val="right" w:pos="9026" w:leader="dot"/>
            </w:tabs>
            <w:rPr/>
          </w:pPr>
          <w:hyperlink w:anchor="__RefHeading___Toc10391254_73709187">
            <w:r>
              <w:rPr>
                <w:webHidden/>
                <w:rStyle w:val="IndexLink"/>
                <w:rtl w:val="true"/>
              </w:rPr>
              <w:t>ينقُضُه كلّ نواقض الطهارة</w:t>
            </w:r>
            <w:r>
              <w:rPr>
                <w:rStyle w:val="IndexLink"/>
                <w:rtl w:val="true"/>
              </w:rPr>
              <w:tab/>
            </w:r>
            <w:r>
              <w:rPr>
                <w:rStyle w:val="IndexLink"/>
              </w:rPr>
              <w:t>393</w:t>
            </w:r>
          </w:hyperlink>
        </w:p>
        <w:p>
          <w:pPr>
            <w:pStyle w:val="Contents6"/>
            <w:tabs>
              <w:tab w:val="clear" w:pos="7609"/>
              <w:tab w:val="right" w:pos="9026" w:leader="dot"/>
            </w:tabs>
            <w:rPr/>
          </w:pPr>
          <w:hyperlink w:anchor="__RefHeading___Toc10391256_73709187">
            <w:r>
              <w:rPr>
                <w:webHidden/>
                <w:rStyle w:val="IndexLink"/>
                <w:rtl w:val="true"/>
              </w:rPr>
              <w:t>ولو وجد الماء قبل الشّروع في الصَّلاة تطهر</w:t>
            </w:r>
            <w:r>
              <w:rPr>
                <w:rStyle w:val="IndexLink"/>
                <w:rtl w:val="true"/>
              </w:rPr>
              <w:tab/>
            </w:r>
            <w:r>
              <w:rPr>
                <w:rStyle w:val="IndexLink"/>
              </w:rPr>
              <w:t>393</w:t>
            </w:r>
          </w:hyperlink>
        </w:p>
        <w:p>
          <w:pPr>
            <w:pStyle w:val="Contents6"/>
            <w:tabs>
              <w:tab w:val="clear" w:pos="7609"/>
              <w:tab w:val="right" w:pos="9026" w:leader="dot"/>
            </w:tabs>
            <w:rPr/>
          </w:pPr>
          <w:hyperlink w:anchor="__RefHeading___Toc10391258_73709187">
            <w:r>
              <w:rPr>
                <w:webHidden/>
                <w:rStyle w:val="IndexLink"/>
                <w:rtl w:val="true"/>
              </w:rPr>
              <w:t>لو وجد الماء في أثناء الصّلاة</w:t>
            </w:r>
            <w:r>
              <w:rPr>
                <w:rStyle w:val="IndexLink"/>
                <w:rtl w:val="true"/>
              </w:rPr>
              <w:tab/>
            </w:r>
            <w:r>
              <w:rPr>
                <w:rStyle w:val="IndexLink"/>
              </w:rPr>
              <w:t>398</w:t>
            </w:r>
          </w:hyperlink>
        </w:p>
        <w:p>
          <w:pPr>
            <w:pStyle w:val="Contents6"/>
            <w:tabs>
              <w:tab w:val="clear" w:pos="7609"/>
              <w:tab w:val="right" w:pos="9026" w:leader="dot"/>
            </w:tabs>
            <w:rPr/>
          </w:pPr>
          <w:hyperlink w:anchor="__RefHeading___Toc10391260_73709187">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10391262_73709187">
            <w:r>
              <w:rPr>
                <w:webHidden/>
                <w:rStyle w:val="IndexLink"/>
                <w:rtl w:val="true"/>
              </w:rPr>
              <w:t>فروع باب التيمّم</w:t>
            </w:r>
            <w:r>
              <w:rPr>
                <w:rStyle w:val="IndexLink"/>
                <w:rtl w:val="true"/>
              </w:rPr>
              <w:tab/>
            </w:r>
            <w:r>
              <w:rPr>
                <w:rStyle w:val="IndexLink"/>
              </w:rPr>
              <w:t>408</w:t>
            </w:r>
          </w:hyperlink>
        </w:p>
        <w:p>
          <w:pPr>
            <w:pStyle w:val="Contents6"/>
            <w:tabs>
              <w:tab w:val="clear" w:pos="7609"/>
              <w:tab w:val="right" w:pos="9026" w:leader="dot"/>
            </w:tabs>
            <w:rPr/>
          </w:pPr>
          <w:hyperlink w:anchor="__RefHeading___Toc10391264_73709187">
            <w:r>
              <w:rPr>
                <w:webHidden/>
                <w:rStyle w:val="IndexLink"/>
                <w:rtl w:val="true"/>
              </w:rPr>
              <w:t>لا يُعيد الصّلاة إذا وجد الماء</w:t>
            </w:r>
            <w:r>
              <w:rPr>
                <w:rStyle w:val="IndexLink"/>
                <w:rtl w:val="true"/>
              </w:rPr>
              <w:tab/>
            </w:r>
            <w:r>
              <w:rPr>
                <w:rStyle w:val="IndexLink"/>
              </w:rPr>
              <w:t>418</w:t>
            </w:r>
          </w:hyperlink>
        </w:p>
        <w:p>
          <w:pPr>
            <w:pStyle w:val="Contents6"/>
            <w:tabs>
              <w:tab w:val="clear" w:pos="7609"/>
              <w:tab w:val="right" w:pos="9026" w:leader="dot"/>
            </w:tabs>
            <w:rPr/>
          </w:pPr>
          <w:hyperlink w:anchor="__RefHeading___Toc10391266_73709187">
            <w:r>
              <w:rPr>
                <w:webHidden/>
                <w:rStyle w:val="IndexLink"/>
                <w:rtl w:val="true"/>
              </w:rPr>
              <w:t>التيمّم قبل دخول الوقت</w:t>
            </w:r>
            <w:r>
              <w:rPr>
                <w:rStyle w:val="IndexLink"/>
                <w:rtl w:val="true"/>
              </w:rPr>
              <w:tab/>
            </w:r>
            <w:r>
              <w:rPr>
                <w:rStyle w:val="IndexLink"/>
              </w:rPr>
              <w:t>423</w:t>
            </w:r>
          </w:hyperlink>
        </w:p>
        <w:p>
          <w:pPr>
            <w:pStyle w:val="Contents6"/>
            <w:tabs>
              <w:tab w:val="clear" w:pos="7609"/>
              <w:tab w:val="right" w:pos="9026" w:leader="dot"/>
            </w:tabs>
            <w:rPr/>
          </w:pPr>
          <w:hyperlink w:anchor="__RefHeading___Toc10391268_73709187">
            <w:r>
              <w:rPr>
                <w:webHidden/>
                <w:rStyle w:val="IndexLink"/>
                <w:rtl w:val="true"/>
              </w:rPr>
              <w:t>اشارة</w:t>
            </w:r>
            <w:r>
              <w:rPr>
                <w:rStyle w:val="IndexLink"/>
                <w:rtl w:val="true"/>
              </w:rPr>
              <w:tab/>
            </w:r>
            <w:r>
              <w:rPr>
                <w:rStyle w:val="IndexLink"/>
              </w:rPr>
              <w:t>423</w:t>
            </w:r>
          </w:hyperlink>
        </w:p>
        <w:p>
          <w:pPr>
            <w:pStyle w:val="Contents6"/>
            <w:tabs>
              <w:tab w:val="clear" w:pos="7609"/>
              <w:tab w:val="right" w:pos="9026" w:leader="dot"/>
            </w:tabs>
            <w:rPr/>
          </w:pPr>
          <w:hyperlink w:anchor="__RefHeading___Toc10391270_73709187">
            <w:r>
              <w:rPr>
                <w:webHidden/>
                <w:rStyle w:val="IndexLink"/>
                <w:rtl w:val="true"/>
              </w:rPr>
              <w:t>التيمّم في حال السِّعة</w:t>
            </w:r>
            <w:r>
              <w:rPr>
                <w:rStyle w:val="IndexLink"/>
                <w:rtl w:val="true"/>
              </w:rPr>
              <w:tab/>
            </w:r>
            <w:r>
              <w:rPr>
                <w:rStyle w:val="IndexLink"/>
              </w:rPr>
              <w:t>425</w:t>
            </w:r>
          </w:hyperlink>
        </w:p>
        <w:p>
          <w:pPr>
            <w:pStyle w:val="Contents6"/>
            <w:tabs>
              <w:tab w:val="clear" w:pos="7609"/>
              <w:tab w:val="right" w:pos="9026" w:leader="dot"/>
            </w:tabs>
            <w:rPr/>
          </w:pPr>
          <w:hyperlink w:anchor="__RefHeading___Toc10391272_73709187">
            <w:r>
              <w:rPr>
                <w:webHidden/>
                <w:rStyle w:val="IndexLink"/>
                <w:rtl w:val="true"/>
              </w:rPr>
              <w:t>لا يجبُ تجديد التيمّم لكلّ صلاة</w:t>
            </w:r>
            <w:r>
              <w:rPr>
                <w:rStyle w:val="IndexLink"/>
                <w:rtl w:val="true"/>
              </w:rPr>
              <w:tab/>
            </w:r>
            <w:r>
              <w:rPr>
                <w:rStyle w:val="IndexLink"/>
              </w:rPr>
              <w:t>433</w:t>
            </w:r>
          </w:hyperlink>
        </w:p>
        <w:p>
          <w:pPr>
            <w:pStyle w:val="Contents6"/>
            <w:tabs>
              <w:tab w:val="clear" w:pos="7609"/>
              <w:tab w:val="right" w:pos="9026" w:leader="dot"/>
            </w:tabs>
            <w:rPr/>
          </w:pPr>
          <w:hyperlink w:anchor="__RefHeading___Toc10391274_73709187">
            <w:r>
              <w:rPr>
                <w:webHidden/>
                <w:rStyle w:val="IndexLink"/>
                <w:rtl w:val="true"/>
              </w:rPr>
              <w:t>المرادُ بآخِر الوقت</w:t>
            </w:r>
            <w:r>
              <w:rPr>
                <w:rStyle w:val="IndexLink"/>
                <w:rtl w:val="true"/>
              </w:rPr>
              <w:tab/>
            </w:r>
            <w:r>
              <w:rPr>
                <w:rStyle w:val="IndexLink"/>
              </w:rPr>
              <w:t>436</w:t>
            </w:r>
          </w:hyperlink>
        </w:p>
        <w:p>
          <w:pPr>
            <w:pStyle w:val="Contents6"/>
            <w:tabs>
              <w:tab w:val="clear" w:pos="7609"/>
              <w:tab w:val="right" w:pos="9026" w:leader="dot"/>
            </w:tabs>
            <w:rPr/>
          </w:pPr>
          <w:hyperlink w:anchor="__RefHeading___Toc10391276_73709187">
            <w:r>
              <w:rPr>
                <w:webHidden/>
                <w:rStyle w:val="IndexLink"/>
                <w:rtl w:val="true"/>
              </w:rPr>
              <w:t>اتّحاد غايات الطهارة المائيّة مع الترابيّة</w:t>
            </w:r>
            <w:r>
              <w:rPr>
                <w:rStyle w:val="IndexLink"/>
                <w:rtl w:val="true"/>
              </w:rPr>
              <w:tab/>
            </w:r>
            <w:r>
              <w:rPr>
                <w:rStyle w:val="IndexLink"/>
              </w:rPr>
              <w:t>440</w:t>
            </w:r>
          </w:hyperlink>
        </w:p>
        <w:p>
          <w:pPr>
            <w:pStyle w:val="Contents6"/>
            <w:tabs>
              <w:tab w:val="clear" w:pos="7609"/>
              <w:tab w:val="right" w:pos="9026" w:leader="dot"/>
            </w:tabs>
            <w:rPr/>
          </w:pPr>
          <w:hyperlink w:anchor="__RefHeading___Toc10391278_73709187">
            <w:r>
              <w:rPr>
                <w:webHidden/>
                <w:rStyle w:val="IndexLink"/>
                <w:rtl w:val="true"/>
              </w:rPr>
              <w:t>التيمّم بدلُ الغسل يُغني عن الوضوء</w:t>
            </w:r>
            <w:r>
              <w:rPr>
                <w:rStyle w:val="IndexLink"/>
                <w:rtl w:val="true"/>
              </w:rPr>
              <w:tab/>
            </w:r>
            <w:r>
              <w:rPr>
                <w:rStyle w:val="IndexLink"/>
              </w:rPr>
              <w:t>445</w:t>
            </w:r>
          </w:hyperlink>
        </w:p>
        <w:p>
          <w:pPr>
            <w:pStyle w:val="Contents6"/>
            <w:tabs>
              <w:tab w:val="clear" w:pos="7609"/>
              <w:tab w:val="right" w:pos="9026" w:leader="dot"/>
            </w:tabs>
            <w:rPr/>
          </w:pPr>
          <w:hyperlink w:anchor="__RefHeading___Toc10391280_73709187">
            <w:r>
              <w:rPr>
                <w:webHidden/>
                <w:rStyle w:val="IndexLink"/>
                <w:rtl w:val="true"/>
              </w:rPr>
              <w:t>إذا أحدث المتيمّم</w:t>
            </w:r>
            <w:r>
              <w:rPr>
                <w:rStyle w:val="IndexLink"/>
                <w:rtl w:val="true"/>
              </w:rPr>
              <w:tab/>
            </w:r>
            <w:r>
              <w:rPr>
                <w:rStyle w:val="IndexLink"/>
              </w:rPr>
              <w:t>448</w:t>
            </w:r>
          </w:hyperlink>
        </w:p>
        <w:p>
          <w:pPr>
            <w:pStyle w:val="Contents6"/>
            <w:tabs>
              <w:tab w:val="clear" w:pos="7609"/>
              <w:tab w:val="right" w:pos="9026" w:leader="dot"/>
            </w:tabs>
            <w:rPr/>
          </w:pPr>
          <w:hyperlink w:anchor="__RefHeading___Toc10391282_73709187">
            <w:r>
              <w:rPr>
                <w:webHidden/>
                <w:rStyle w:val="IndexLink"/>
                <w:rtl w:val="true"/>
              </w:rPr>
              <w:t>البحث عن اجتماع الأسباب المتعدّدة</w:t>
            </w:r>
            <w:r>
              <w:rPr>
                <w:rStyle w:val="IndexLink"/>
                <w:rtl w:val="true"/>
              </w:rPr>
              <w:tab/>
            </w:r>
            <w:r>
              <w:rPr>
                <w:rStyle w:val="IndexLink"/>
              </w:rPr>
              <w:t>457</w:t>
            </w:r>
          </w:hyperlink>
        </w:p>
        <w:p>
          <w:pPr>
            <w:pStyle w:val="Contents6"/>
            <w:tabs>
              <w:tab w:val="clear" w:pos="7609"/>
              <w:tab w:val="right" w:pos="9026" w:leader="dot"/>
            </w:tabs>
            <w:rPr/>
          </w:pPr>
          <w:hyperlink w:anchor="__RefHeading___Toc10391284_73709187">
            <w:r>
              <w:rPr>
                <w:webHidden/>
                <w:rStyle w:val="IndexLink"/>
                <w:rtl w:val="true"/>
              </w:rPr>
              <w:t>إذا اجتمع جُنُبٌ وميّتٌ ومُحْدِثٌ بالأصغر</w:t>
            </w:r>
            <w:r>
              <w:rPr>
                <w:rStyle w:val="IndexLink"/>
                <w:rtl w:val="true"/>
              </w:rPr>
              <w:tab/>
            </w:r>
            <w:r>
              <w:rPr>
                <w:rStyle w:val="IndexLink"/>
              </w:rPr>
              <w:t>459</w:t>
            </w:r>
          </w:hyperlink>
        </w:p>
        <w:p>
          <w:pPr>
            <w:pStyle w:val="Contents2"/>
            <w:tabs>
              <w:tab w:val="clear" w:pos="8743"/>
              <w:tab w:val="right" w:pos="9026" w:leader="dot"/>
            </w:tabs>
            <w:rPr/>
          </w:pPr>
          <w:hyperlink w:anchor="__RefHeading___Toc10391286_73709187">
            <w:r>
              <w:rPr>
                <w:webHidden/>
                <w:rStyle w:val="IndexLink"/>
                <w:rtl w:val="true"/>
              </w:rPr>
              <w:t>فهرس الموضوعات</w:t>
            </w:r>
            <w:r>
              <w:rPr>
                <w:rStyle w:val="IndexLink"/>
                <w:rtl w:val="true"/>
              </w:rPr>
              <w:tab/>
            </w:r>
            <w:r>
              <w:rPr>
                <w:rStyle w:val="IndexLink"/>
              </w:rPr>
              <w:t>466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97_256289"/>
      <w:bookmarkStart w:id="1" w:name="pg11797_256289"/>
      <w:bookmarkEnd w:id="1"/>
    </w:p>
    <w:p>
      <w:pPr>
        <w:pStyle w:val="Heading2"/>
        <w:numPr>
          <w:ilvl w:val="1"/>
          <w:numId w:val="1"/>
        </w:numPr>
        <w:rPr/>
      </w:pPr>
      <w:bookmarkStart w:id="2" w:name="pg11797_256289"/>
      <w:bookmarkStart w:id="3" w:name="__RefHeading___Toc10390900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90902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97_256296"/>
      <w:bookmarkStart w:id="8" w:name="pg11797_256296"/>
      <w:bookmarkEnd w:id="8"/>
    </w:p>
    <w:p>
      <w:pPr>
        <w:pStyle w:val="Heading2"/>
        <w:numPr>
          <w:ilvl w:val="1"/>
          <w:numId w:val="1"/>
        </w:numPr>
        <w:rPr/>
      </w:pPr>
      <w:bookmarkStart w:id="9" w:name="pg11797_256296"/>
      <w:bookmarkStart w:id="10" w:name="__RefHeading___Toc10390904_73709187"/>
      <w:bookmarkStart w:id="11" w:name="_Toc3"/>
      <w:bookmarkEnd w:id="9"/>
      <w:bookmarkEnd w:id="10"/>
      <w:r>
        <w:rPr>
          <w:rtl w:val="true"/>
        </w:rPr>
        <w:t>تتمة كتاب الطهارة</w:t>
      </w:r>
      <w:bookmarkEnd w:id="11"/>
    </w:p>
    <w:p>
      <w:pPr>
        <w:pStyle w:val="Heading3"/>
        <w:numPr>
          <w:ilvl w:val="2"/>
          <w:numId w:val="1"/>
        </w:numPr>
        <w:rPr/>
      </w:pPr>
      <w:bookmarkStart w:id="12" w:name="__RefHeading___Toc10390906_73709187"/>
      <w:bookmarkStart w:id="13" w:name="_Toc4"/>
      <w:bookmarkEnd w:id="12"/>
      <w:r>
        <w:rPr>
          <w:rtl w:val="true"/>
        </w:rPr>
        <w:t>تتمة الباب الثالث في الغسل وكيفيّتها أنْ يُكبِّر بعد النيّة خَمْساً؛</w:t>
      </w:r>
      <w:bookmarkEnd w:id="13"/>
    </w:p>
    <w:p>
      <w:pPr>
        <w:pStyle w:val="Heading4"/>
        <w:numPr>
          <w:ilvl w:val="3"/>
          <w:numId w:val="1"/>
        </w:numPr>
        <w:rPr/>
      </w:pPr>
      <w:bookmarkStart w:id="14" w:name="__RefHeading___Toc10390908_73709187"/>
      <w:bookmarkStart w:id="15" w:name="_Toc5"/>
      <w:bookmarkEnd w:id="14"/>
      <w:r>
        <w:rPr>
          <w:rtl w:val="true"/>
        </w:rPr>
        <w:t>تتمة الفصل الخامس في غسل الأموات</w:t>
      </w:r>
      <w:bookmarkEnd w:id="15"/>
    </w:p>
    <w:p>
      <w:pPr>
        <w:pStyle w:val="Heading5"/>
        <w:numPr>
          <w:ilvl w:val="4"/>
          <w:numId w:val="1"/>
        </w:numPr>
        <w:rPr/>
      </w:pPr>
      <w:bookmarkStart w:id="16" w:name="__RefHeading___Toc10390910_73709187"/>
      <w:bookmarkStart w:id="17" w:name="_Toc6"/>
      <w:bookmarkEnd w:id="16"/>
      <w:r>
        <w:rPr>
          <w:rtl w:val="true"/>
        </w:rPr>
        <w:t>تتمة البحث الرابع في الصلاة عليه كيفيّة صلاة الميّت</w:t>
      </w:r>
      <w:bookmarkEnd w:id="17"/>
    </w:p>
    <w:p>
      <w:pPr>
        <w:pStyle w:val="Heading6"/>
        <w:numPr>
          <w:ilvl w:val="5"/>
          <w:numId w:val="1"/>
        </w:numPr>
        <w:rPr/>
      </w:pPr>
      <w:bookmarkStart w:id="18" w:name="__RefHeading___Toc10390912_73709187"/>
      <w:bookmarkStart w:id="19" w:name="_Toc7"/>
      <w:bookmarkEnd w:id="18"/>
      <w:r>
        <w:rPr>
          <w:rtl w:val="true"/>
        </w:rPr>
        <w:t>القسم الثالث</w:t>
      </w:r>
      <w:r>
        <w:rPr>
          <w:rtl w:val="true"/>
        </w:rPr>
        <w:t xml:space="preserve">: </w:t>
      </w:r>
      <w:r>
        <w:rPr>
          <w:rtl w:val="true"/>
        </w:rPr>
        <w:t>في كيفيّتها</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يكبّر بعد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شبهة في وجوبها فيها، لكونها من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حكاه غير واحدٍ من الأساطين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 إنْ لم تكن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التكبير علي الميّت‌؟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سعد الأشعري، عن مولانا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على الميّت‌؟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فخمسُ تكبيرات، وأمّا المنافق فأربع، ولا سلام فيها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الوارد في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أُخذ فيها من كلٍّ من الدعائم التي بُني عليها الإسلام،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الصوم، الحج، والولاية تكبيرة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الوارد في صحيح ابن سنان بأنّه أُخذ من كلّ من الصلوات </w:t>
      </w:r>
    </w:p>
    <w:p>
      <w:pPr>
        <w:pStyle w:val="BookText"/>
        <w:rPr/>
      </w:pPr>
      <w:r>
        <w:rPr>
          <w:rFonts w:ascii="Amiri" w:hAnsi="Amiri" w:eastAsia="Amiri" w:cs="Amiri"/>
          <w:color w:val="111111"/>
          <w:sz w:val="28"/>
          <w:sz w:val="28"/>
          <w:szCs w:val="28"/>
          <w:rtl w:val="true"/>
          <w:lang w:bidi="ar-SA"/>
        </w:rPr>
        <w:t>بينها أربَعةُ 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 تكبيرة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هو مذكورٌ في أخبار جابر، والحسن بن زيد، وعُقبة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ليس في التكبيرة شيءٌ مؤقّت</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فمطروحٌ أو مأوّل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التكبيرات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المشهور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xml:space="preserve">،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وتشهد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الكثيرة الواردة في بيان كيفيّة هذه الصَّلاة</w:t>
      </w:r>
      <w:r>
        <w:rPr>
          <w:rStyle w:val="FootnoteAnchor"/>
          <w:rtl w:val="true"/>
        </w:rPr>
        <w:footnoteReference w:id="13"/>
      </w:r>
      <w:r>
        <w:rPr>
          <w:rFonts w:ascii="Amiri" w:hAnsi="Amiri" w:eastAsia="Amiri" w:cs="Amiri"/>
          <w:color w:val="111111"/>
          <w:sz w:val="28"/>
          <w:sz w:val="28"/>
          <w:szCs w:val="28"/>
          <w:rtl w:val="true"/>
          <w:lang w:bidi="ar-SA"/>
        </w:rPr>
        <w:t>، الآمرة بالدّعاء قولاً وفعلاً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جالساً، فدخل رجلٌ فسأله عن التكبير على الجنازة‌؟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آخر فَسأله عن الصَّلاة على الجنازة‌؟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صلوات</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فقلت خَمْساً، وسألكَ هذا فقلتَ أربعاً؟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سألتني عن التكبير، وسألني هذا عن الصَّلاة،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خَمسُ تكبيرات بينهن أربعُ صلوات</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الصَّلاة عليها، فإنّ المستفاد من النصوص أنّ ذلك إنّما يكون لأجل اشتمالها على الدُّعاء الذي هو معناها اللّغوي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بينهن غير 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علي أنّها خمس تكبيرات، الظاهر في أنّها تمام ماهيّة هذه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وباختلاف النصوص في كيفيّة الدُّعاء، الذي هو من شواهد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مجال للرجوع إليه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مفهوم له، كي يدلّ على عدم وجوب شيءٍ آخر عدا التكبيرات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كونه دالّاً على ذلك، يتعيّن تقيّده بما دلَّ على وجوب الأدعية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الاختلاف من شواهد عدم وجوب دعاءٍ خاصّ‌، لا عدم وجوب أصل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فالأظهر وجوب الأدعية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جماعةٌ من الأساطين</w:t>
      </w:r>
      <w:r>
        <w:rPr>
          <w:rStyle w:val="FootnoteAnchor"/>
          <w:rtl w:val="true"/>
        </w:rPr>
        <w:footnoteReference w:id="16"/>
      </w:r>
      <w:r>
        <w:rPr>
          <w:rFonts w:ascii="Amiri" w:hAnsi="Amiri" w:eastAsia="Amiri" w:cs="Amiri"/>
          <w:color w:val="111111"/>
          <w:sz w:val="28"/>
          <w:sz w:val="28"/>
          <w:szCs w:val="28"/>
          <w:rtl w:val="true"/>
          <w:lang w:bidi="ar-SA"/>
        </w:rPr>
        <w:t>بوجوب الشهادتين بعد التكبيرة الأولى‌، والصَّلاة على النبيّ صلى الله عليه و آله بعد الثانية، والدُّعاء للمؤمنين بعد الثالثة،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وللميّت بعد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الشهيد</w:t>
      </w:r>
      <w:r>
        <w:rPr>
          <w:rStyle w:val="FootnoteAnchor"/>
          <w:rtl w:val="true"/>
        </w:rPr>
        <w:footnoteReference w:id="17"/>
      </w:r>
      <w:r>
        <w:rPr>
          <w:rFonts w:ascii="Amiri" w:hAnsi="Amiri" w:eastAsia="Amiri" w:cs="Amiri"/>
          <w:color w:val="111111"/>
          <w:sz w:val="28"/>
          <w:sz w:val="28"/>
          <w:szCs w:val="28"/>
          <w:rtl w:val="true"/>
          <w:lang w:bidi="ar-SA"/>
        </w:rPr>
        <w:t>والمحقّق الثاني</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المتن</w:t>
      </w:r>
      <w:r>
        <w:rPr>
          <w:rStyle w:val="FootnoteAnchor"/>
          <w:rtl w:val="true"/>
        </w:rPr>
        <w:footnoteReference w:id="20"/>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وغيرها</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ذلك، ونُسِب هذا القول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محمّد بن مهاجر، عن اُمّه، عن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صَلّى على ميّتٍ كبّر وتشهّد، ثُمّ كبّر وصَلّى على الأنبياء ودَعا، ثمّ كبّر ودعا للمؤمنين، ثمّ كبّر الرابعة ودَعا للميّت، ثمّ كبّر الخامسة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روايته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كبّر وصَلّى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 فعلٍ لا إشعار بتعيّنه، فضلاً عن الدلالة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متضمّنٌ للتشهّد بعد الأُولى‌، والصَّلاة على الأنبياء بعد الثانية، والمُدّعى تعيّن الشهادتين بعد الأُولى‌، والصَّلاة على النبيّ بعد الثانية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نقل المعصوم عليه السلام فعل النبيّ صلى الله عليه و آله تعيّنه لا سيّما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نقل مداومته عليه في مقام بيان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بالتشهّد الشهادتان، والصَّلاة على الأنبياء في ذاتها متضمّنة للصلاة على النبيّ صلى الله عليه و آله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معارضٌ مع سائر نصوص الباب الصريحة أو الظاهرة في عدم تعيّن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عليّ بن سُويد الأمر بقراءة أُمّ الكتاب بعد الأُولى</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إسماعيل بن همام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حَمَد اللّه تعالى‌، ومجّده في التكبيرة الأُولى</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والمذكور في صحيح أبي ولّاد، الجمعُ بين الشهادة للّه بالوحدانيّة، والصَّلاة على النبيّ صلى الله عليه و آله، والدُّعاء للميّت في جميعها، وترك الشهادة بالرسالة والدُّعاء للمؤمنين في جميعها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المذكور في مصحّح زرارة، ترك الشهادتين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جُمع في موثّق سماعة بين الشهادة بالوحدانيّة، والصَّلاة على النبيّ صلى الله عليه و آله، والدُّعاء للمؤمنين بعد التكبيرة الأُولى‌، والدُّعاء للميّت وللمؤمنين بعد الثلاث الآخر بعدها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ورد في صحيح الحلبي الجمعُ بين الشهادتين، والصَّلاة على النبيّ صلى الله عليه و آله، والدُّعاء للمؤمنين وللميّت بعد كلّ تكبيرةٍ من التكبيرات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غيرها غير ذلك، وبالتالي فيتعيّن التصرّف فيه بحمله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النصوص متّفقة في اعتبار الدُّعاء للميّت في بعض التكبيرات، ومختلفة في اعتبار غيره، والجمع بين النصوص يقتضي الالتزام بعدم اعتبار دعاءٍ موقّت، سوى الدُّعاء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نُسِب إلى المشهور هو الأفضل والأحوط، وأحوط منه الإتيان بذلك كلّه بين كلّ تكبيرتين، مع أنّه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الميّت منافقاً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به في المقام بقرينة مقابلته بالمؤمن، وتصريح القوم بعدم وجوب الصَّلاة على مَنْ حُكِم بكفره من المخالفين للحقّ‌، هو الأعمّ من المخالف، ومن كان مُظْهِراً للإسلام، مُبْطِناً للكفر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المُصلّي على جنازته بأربع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 في المخالف، قاعدة الإلزام، وفي المُظهِر للإسلام المُبطِن للكفر جملةٌ من النصوص المتضمّنة أنّ النبيّ صلى الله عليه و آله كان يُكبِّر على المؤمنين خَمْساً، وعلى أهل النفاق أربعاً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في وجه ما اُريد بالمنافق في المقام، يظهر أنّه يدلّ على هذا الحكم فيهما صحيح إسماعيل بن سعد الأشعري، عن الإمام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على الميّت‌؟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فخمسُ تكبيرات، وأمّا المنافق فأربع</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أنّه لاينحصر موضع الدُّعاء للميّت أو عليه بما بعد الرابعة، فلا ينافي هذه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وأفضلها أن يُكبِّر ويتشهّد الشهادتين، ثمّ يُصلّي على النبيّ وآله بعد الثانية، ثمّ يَدعو للمؤمنين بعد الثالثة، ثمّ يَدعو للميّت إنْ كان مؤمناً، وعليه إنْ كان منافقاً، وبدعاء المستضعفين إنْ كان منهم في الرابعة، وإنْ كان طفلاً سأل اللّه تعالى أنْ يجعل له ولأبويه فَرطاً، وإنْ لم يعرفه سأل اللّه أنْ يحشُره مع مَنْ كانَ يتولّاه، ثمّ يُكبِّر الخامسة وينصرف بعد رفع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النصوص ما تضمّن أنّه يَدّعي عليه في الصَّلاة، بل ظاهر خبر عامر بن السَّمط، وقوع الدُّعاء عليه من الحسين بن عليّ عليهما السلام بعد الأُولى‌</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 لو سُلّم أنّ الدُّعاء للميّت أو عليه يكون محلّه بعد التكبيرة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نُسِب إلى ظاهر الأصحاب الاتّفاق عليه</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منافياً لما ذكرناه، إذ ما دلَّ على أنّه ينصرف بعد التكبيرة الأخيرة، يختصّ بالصلاة على المؤمن، الّتي يجب فيها خمسُ تكبيراتٍ‌، كما لا يخفى، وما تضمّن أنّه صلى الله عليه و آله انصرف بعد الرابعة خالٍ عن ذكر الدُّعاء عليه، والشاهد على ذلك خبر ابن مهاجر المتقدّم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النصوص كما تضمّنت الدُّعاء للميّت إذا كان مؤمناً، وعليه إنْ كان منافقاً، كذلك تضمّن بعضها أنّه يدعو بدعاء المستضعفين إنْ كان الميّت منهم، وإنْ جهله سأل اللّه أن يَحشُره مع من كان يتولّاه، وإنْ كان طفلاً سأل اللّه أن يجعل له ولأبويه فَرطاً، كما يظهر لمن راجع نصوص الباب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لا ينصرف المصلّي إلّابعد رفع الجنازة، لخبر حفصٍ‌، عن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قِراءة فيها ولا تَسْليم، ويستحبُّ فيها الطهارة وليستْ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إذا صلّى على جنازةٍ لم يبرح من مصلّاه حتّى يراها على أيدي الرجال</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يبرح حتّى يُحمل السرير</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المصنّف رحمه الله بقوله تامٌّ لا إشكال فيه إلّامن جهة التزامه بأنّه يكبّر على المنافق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قراءة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شاهدةٌ به</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كيفيّة صلاة الجنازة وجملة من أحكامها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دلَّ على أنّه يُسلِّم بعد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أنّه يقرأ بفاتحة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فالجمع بينه وبين ما صرّح فيه بأنّه قراءة فيها، يقتضي الالتزام بأنّه قراءةٌ فيها من حيث كونها قراءة، لا من حيث أنّها من مصاديق الثناء والدُّعاء، بل من أفضلها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فيها الطهارة، وليستْ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الحميد بن سعيد،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 يخرج بها ولستُ على وضوء، فإن ذهبت أتوضّأ فاتتني الصَّلاة، اُصلّي عليها وأنا على غير 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طُهرٍ أحبّ‌</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يونس،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الجنازة اُصلّي عليها على غير وضوء؟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هو تكبيرٌ وتسبيحٌ وتحميدٌ وتهليلٌ‌، كما تُكبِّر وتسبِّح في بيتك على غير وضوء</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 w:name="pg11797_256315"/>
    </w:p>
    <w:p>
      <w:pPr>
        <w:pStyle w:val="BookText"/>
        <w:rPr/>
      </w:pPr>
      <w:bookmarkEnd w:id="20"/>
      <w:r>
        <w:rPr>
          <w:rFonts w:ascii="Amiri" w:hAnsi="Amiri" w:eastAsia="Amiri" w:cs="Amiri"/>
          <w:color w:val="111111"/>
          <w:sz w:val="28"/>
          <w:sz w:val="28"/>
          <w:szCs w:val="28"/>
          <w:rtl w:val="true"/>
          <w:lang w:bidi="ar-SA"/>
        </w:rPr>
        <w:t>اشتراط بلوغ المصلّي</w:t>
      </w:r>
    </w:p>
    <w:p>
      <w:pPr>
        <w:pStyle w:val="Heading6"/>
        <w:numPr>
          <w:ilvl w:val="5"/>
          <w:numId w:val="1"/>
        </w:numPr>
        <w:rPr/>
      </w:pPr>
      <w:bookmarkStart w:id="21" w:name="__RefHeading___Toc10390914_73709187"/>
      <w:bookmarkStart w:id="22" w:name="_Toc8"/>
      <w:bookmarkEnd w:id="21"/>
      <w:r>
        <w:rPr>
          <w:rtl w:val="true"/>
        </w:rPr>
        <w:t>القسم الرابع</w:t>
      </w:r>
      <w:r>
        <w:rPr>
          <w:rtl w:val="true"/>
        </w:rPr>
        <w:t xml:space="preserve">: </w:t>
      </w:r>
      <w:r>
        <w:rPr>
          <w:rtl w:val="true"/>
        </w:rPr>
        <w:t>في شروطها،</w:t>
      </w:r>
      <w:bookmarkEnd w:id="22"/>
    </w:p>
    <w:p>
      <w:pPr>
        <w:pStyle w:val="BookText"/>
        <w:rPr/>
      </w:pPr>
      <w:r>
        <w:rPr>
          <w:rFonts w:ascii="Amiri" w:hAnsi="Amiri" w:eastAsia="Amiri" w:cs="Amiri"/>
          <w:color w:val="111111"/>
          <w:sz w:val="28"/>
          <w:sz w:val="28"/>
          <w:szCs w:val="28"/>
          <w:rtl w:val="true"/>
          <w:lang w:bidi="ar-SA"/>
        </w:rPr>
        <w:t>غير ما تقدّم من الواجبة والمسنونة، وما يُكره فيها وبعض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فيها يقع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التعرّض لها، لابدَّ من البحث فيما تنطوي عليها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المصلّي البلوغ، بمعنى أنّه لو صلّى الصَّبي، لا تُجزي صلاته عن البالغين، حتّى بناءً على شرعيّة عبادات الصبي، كما صرّح به غير واحدٍ،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وكاشف الغطاء</w:t>
      </w:r>
      <w:r>
        <w:rPr>
          <w:rStyle w:val="FootnoteAnchor"/>
          <w:rtl w:val="true"/>
        </w:rPr>
        <w:footnoteReference w:id="41"/>
      </w:r>
      <w:r>
        <w:rPr>
          <w:rFonts w:ascii="Amiri" w:hAnsi="Amiri" w:eastAsia="Amiri" w:cs="Amiri"/>
          <w:color w:val="111111"/>
          <w:sz w:val="28"/>
          <w:sz w:val="28"/>
          <w:szCs w:val="28"/>
          <w:rtl w:val="true"/>
          <w:lang w:bidi="ar-SA"/>
        </w:rPr>
        <w:t>، وعلّلوه بعدم معلوميّة إجزاء النَّدب عن الواجب، فيتعيّن الرجوع إلى قاعدة الإشتغال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سلّمنا شرعيّة عبادات الصّبي كما قوّيناها في محلّها، إلّاأنّ الإجزاء يتوقّف على إحراز كون ما يأتي به الصبي فرداً من أفراد الطبيعة المأمور بها، والتي تكون واجبة على البالغين، والاختلاف إنّما يكون من جهة أنّ الصبي يجوز له ترك الواجبات لقصورٍ فيه، لا كون ما يأتي به غير ما يأتي به سائر الأفراد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إجزاء صلاته يتوقّف على إحراز ما يأتي به الصبي بجميع ما تفي به صلاة البالغين من المصلحة، وإلّا فلا وجه للإجزاء كما لا يخفى‌، وحيث أنّ إحراز ذلك من أدلّة شرعيّة عبادات الصبي في غاية الإشكال، لما حقّقناه في محلّه من أنّ دليلها ليس هو إطلاق أدلّة شرعيّة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ينفي اللّزوم لا أصل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الأدلّة الدالّة على أمر الأولياء صبيانهم </w:t>
      </w:r>
    </w:p>
    <w:p>
      <w:pPr>
        <w:pStyle w:val="BookText"/>
        <w:rPr/>
      </w:pPr>
      <w:r>
        <w:rPr>
          <w:rFonts w:ascii="Amiri" w:hAnsi="Amiri" w:eastAsia="Amiri" w:cs="Amiri"/>
          <w:color w:val="111111"/>
          <w:sz w:val="28"/>
          <w:sz w:val="28"/>
          <w:szCs w:val="28"/>
          <w:rtl w:val="true"/>
          <w:lang w:bidi="ar-SA"/>
        </w:rPr>
        <w:t>بالصلاة</w:t>
      </w:r>
      <w:r>
        <w:rPr>
          <w:rStyle w:val="FootnoteAnchor"/>
          <w:rtl w:val="true"/>
        </w:rPr>
        <w:footnoteReference w:id="42"/>
      </w:r>
      <w:r>
        <w:rPr>
          <w:rFonts w:ascii="Amiri" w:hAnsi="Amiri" w:eastAsia="Amiri" w:cs="Amiri"/>
          <w:color w:val="111111"/>
          <w:sz w:val="28"/>
          <w:sz w:val="28"/>
          <w:szCs w:val="28"/>
          <w:rtl w:val="true"/>
          <w:lang w:bidi="ar-SA"/>
        </w:rPr>
        <w:t>، وغيرها من العبادات، بضميمة ما ثبت في محلّه من أنّ الأمر بالأمر بشيء، أمرٌ بذلك الشيء إذا لم يكن الغرض حاصلاً بمجرّد الأمر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الأدلّة وإنْ اختصّت ببعض العبادات، إلّاأنّه بعد إلغاء الخصوصيّة، يثبُت الحكم في جميع الموارد، فالشكّ في الإجزاء شكٌّ في اشتراط الخطاب المتوجّه إلى البالغين وعدمه، وإطلاق الخطاب لو كان ينفيه، وإلّا فبما أنّه يرجع إلى الشكّ في الامتثال بعد القطع بالاشتغال، فالمرجع فيه هو الاحتياط دون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الإكتفاء بصلاته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فرض الإجزاء، لو عُلم بوقوعها منه صحيحة جامعة لشروط الصحّة لا إشكال، وأمّا لو شكّ في ذلك، فهل يُجتزي بها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الثاني، لعدم الإطلاق لما دلَّ على جريان قاعدة الصحّة في فعل الغير، في صورة الشكّ‌، بنحوٍ يشمل فعل غير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فالأحوط البناء على العدم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 w:name="pg11797_256319"/>
    </w:p>
    <w:p>
      <w:pPr>
        <w:pStyle w:val="Heading6"/>
        <w:numPr>
          <w:ilvl w:val="5"/>
          <w:numId w:val="1"/>
        </w:numPr>
        <w:rPr/>
      </w:pPr>
      <w:bookmarkStart w:id="24" w:name="__RefHeading___Toc10390916_73709187"/>
      <w:bookmarkStart w:id="25" w:name="_Toc9"/>
      <w:bookmarkEnd w:id="23"/>
      <w:bookmarkEnd w:id="24"/>
      <w:r>
        <w:rPr>
          <w:rtl w:val="true"/>
        </w:rPr>
        <w:t>مسائل</w:t>
      </w:r>
      <w:r>
        <w:rPr>
          <w:rtl w:val="true"/>
        </w:rPr>
        <w:t xml:space="preserve">: </w:t>
      </w:r>
      <w:r>
        <w:rPr>
          <w:rtl w:val="true"/>
        </w:rPr>
        <w:t>الأُولى</w:t>
      </w:r>
      <w:r>
        <w:rPr>
          <w:rtl w:val="true"/>
        </w:rPr>
        <w:t xml:space="preserve">: </w:t>
      </w:r>
      <w:r>
        <w:rPr>
          <w:rtl w:val="true"/>
        </w:rPr>
        <w:t>لا يُصلّى عليه إلّابعد تغسيله وتكفينه</w:t>
      </w:r>
      <w:r>
        <w:rPr>
          <w:rtl w:val="true"/>
        </w:rPr>
        <w:t>.</w:t>
      </w:r>
      <w:bookmarkEnd w:id="25"/>
    </w:p>
    <w:p>
      <w:pPr>
        <w:pStyle w:val="Heading6"/>
        <w:numPr>
          <w:ilvl w:val="5"/>
          <w:numId w:val="1"/>
        </w:numPr>
        <w:rPr/>
      </w:pPr>
      <w:bookmarkStart w:id="26" w:name="__RefHeading___Toc10390918_73709187"/>
      <w:bookmarkStart w:id="27" w:name="_Toc10"/>
      <w:bookmarkEnd w:id="26"/>
      <w:r>
        <w:rPr>
          <w:rtl w:val="true"/>
        </w:rPr>
        <w:t>اشتراط وقوع الصَّلاة بعد الغُسل والتكفين</w:t>
      </w:r>
      <w:bookmarkEnd w:id="27"/>
    </w:p>
    <w:p>
      <w:pPr>
        <w:pStyle w:val="Heading6"/>
        <w:numPr>
          <w:ilvl w:val="5"/>
          <w:numId w:val="1"/>
        </w:numPr>
        <w:rPr/>
      </w:pPr>
      <w:bookmarkStart w:id="28" w:name="__RefHeading___Toc10390920_73709187"/>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عليه إلّابعد تغسيله وتكفينه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العلماء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فعل النبيّ صلى الله عليه و آله وكذا الصحابة والتابعون، فيكون الإتيان بخلافه 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بظاهره واضح الجواب، إذ الفعل غير الصادر لبيان الحكم مجملٌ الوجه، فلا يصلح أن يقيّد به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الاستدلال بالسيرة المستمرّة إلى زمان المعصومين، وأنّها ثابتة بهذه الكيفيّة المعهودة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الواقعة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ومتلقّاة من صاحب الشرع، وهذا الوجه هي العمدة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بعطف الصَّلاة بالواو على الغُسل والتكفين في جملةٍ من النصوص، كخبر علي بن جعفر، عن أخيه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يأكله السَّبع أو الطير، فتبقى عظامه بغير لحمٍ‌، كيف يُصنع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ويُكفّن ويُصلّى عليه ويُدفن</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العطف بالواو لا يدلّ إلّاعلى مشاركة ما بعدها لما قبلها في </w:t>
      </w:r>
    </w:p>
    <w:p>
      <w:pPr>
        <w:pStyle w:val="BookText"/>
        <w:rPr/>
      </w:pPr>
      <w:r>
        <w:rPr>
          <w:rFonts w:ascii="Amiri" w:hAnsi="Amiri" w:eastAsia="Amiri" w:cs="Amiri"/>
          <w:color w:val="111111"/>
          <w:sz w:val="28"/>
          <w:sz w:val="28"/>
          <w:szCs w:val="28"/>
          <w:rtl w:val="true"/>
          <w:lang w:bidi="ar-SA"/>
        </w:rPr>
        <w:t>الحكم، ولا يدلّ على اعتبار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التمسّك بأصالة الاشتغال، بدعوى أنّها المرجع عند الشكّ في اعتبار شيء في المأمور به مطلقاً، كما عن جماعةٍ‌، أو فيما نحن فيه الذي تعلّق الشكّ أوّلاً وبالذات بأنّ الصَّلاة على الميّت هل هي مشروعة قبل الغُسل أو التكفين، أم تختصّ مشروعيّتها بما بعدهما، كما عن المحقّق الهمداني رحمه الله</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w:t>
      </w:r>
      <w:r>
        <w:rPr>
          <w:rStyle w:val="FootnoteAnchor"/>
          <w:rtl w:val="true"/>
        </w:rPr>
        <w:footnoteReference w:id="47"/>
      </w:r>
      <w:r>
        <w:rPr>
          <w:rFonts w:ascii="Amiri" w:hAnsi="Amiri" w:eastAsia="Amiri" w:cs="Amiri"/>
          <w:color w:val="111111"/>
          <w:sz w:val="28"/>
          <w:sz w:val="28"/>
          <w:szCs w:val="28"/>
          <w:rtl w:val="true"/>
          <w:lang w:bidi="ar-SA"/>
        </w:rPr>
        <w:t>من أنّ المرجع عند الشكّ في الشرطيّة أو الجزئيّة، هو قاعدة البراءة لا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الشكّ في كون الغُسل والتكفين من شروط وجوب الصَّلاة، كان لما ذُكر وجه، ولكنّه مقطوعُ العدم، وليس هو محلّ الكلام، بل الشكّ إنّما يكون في كونهما من شروط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فحكم هذا الشرط، حكم سائر الشروط، كما لا يخفى‌،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بطلان الصَّلاة قبل الغُسل والتكفين، بين كون الإيقاع عمديّاً أو سهويّاً، واحتمل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الإجزاء في صورة السهو والنسيان، وعن النراقي رحمه الله</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ثبوت الإجماع في هذه الصورة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وبحديث الرفع</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المدرك ليس هو الإجماع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حُقّق في محلّه من أنّ حديث الرفع إنّما يرفع الحكم فيما إذا تعلّق النسيان بما هو متعلّق التكليف، فلو نسى الإتيان بهما قبل الصَّلاة، حتّى مضى وقتهما، يشمله الحديث، وإلّا فلا، لأنّ ما تعلّق به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إيقاعهما قبلها في وقتٍ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متعلّق الأمر، وما تعلّق به الأمر لم يتعلّق به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نظير ما إذا نَسي جزءً من أجزاء الصَّلاة في أوّل الوقت، وصلّى صلاةً فاقدة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الحديث لا يصلح للدلالة على صحّة الناقص، فلا يصلح لتقييد إطلاق دليل الشرطيّة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سُلّم شمول الحديث له، فهو يرفع الحكم المتعلّق بما يعتبر فيه ذلك، وحيثُ إنّه يعلم من الخارج عدم سقوط التكليف بها رأساً، فلا محالة يكون متعلّقة الصَّلاة غير المقيّدة بذلك فتصحّ‌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bookmarkStart w:id="30" w:name="pg11797_256325"/>
    </w:p>
    <w:p>
      <w:pPr>
        <w:pStyle w:val="Heading6"/>
        <w:numPr>
          <w:ilvl w:val="5"/>
          <w:numId w:val="1"/>
        </w:numPr>
        <w:rPr/>
      </w:pPr>
      <w:bookmarkStart w:id="31" w:name="__RefHeading___Toc10390922_73709187"/>
      <w:bookmarkStart w:id="32" w:name="_Toc12"/>
      <w:bookmarkEnd w:id="30"/>
      <w:bookmarkEnd w:id="31"/>
      <w:r>
        <w:rPr>
          <w:rtl w:val="true"/>
        </w:rPr>
        <w:t>الصَّلاة على العاري</w:t>
      </w:r>
      <w:bookmarkEnd w:id="32"/>
    </w:p>
    <w:p>
      <w:pPr>
        <w:pStyle w:val="BookText"/>
        <w:rPr/>
      </w:pPr>
      <w:r>
        <w:rPr>
          <w:rFonts w:ascii="Amiri" w:hAnsi="Amiri" w:eastAsia="Amiri" w:cs="Amiri"/>
          <w:color w:val="111111"/>
          <w:sz w:val="28"/>
          <w:sz w:val="28"/>
          <w:szCs w:val="28"/>
          <w:rtl w:val="true"/>
          <w:lang w:bidi="ar-SA"/>
        </w:rPr>
        <w:t>ولو تعذّر التكفين، لا تسقط الصَّلاة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ما تضمّن الأمر بها، بعد كون الدليل الدالّ على اعتبار كونها بعد التكفين مختصّاً بغير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والخبران الآتيان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أمكن سَتر عورته بثوبٍ ونحوه، يُصلّى عليه بعد سَترها، ولا يجبُ وضعه في القبر والصَّلاة عليه بعد ذلك، لإطلاق الأدلّة، وعدم الدليل على وجوب ذلك، لاختصاص الخبرين الآتيين بغير هذا الفرض، بل مفهوم قوله عليه السلام في خبر محمّد بن مسلم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يقدروا على ثوبٍ يوارون به عورته، فليحفروا قبره ويضعوه في لحده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عدم وجوبه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من أنّه إنْ أمكن سَتره بثوبٍ‌، صُلّي عليه قبل الوضع في اللّحد،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ذلك، يضعه في القبر، ويُغطّي عورته بشيءٍ من التراب أو غيره، ويُصلّى عليه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أسلم، عن رجل،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كُسِر بهم المركّب في بحرٍ، فخرجوا يمشون </w:t>
      </w:r>
    </w:p>
    <w:p>
      <w:pPr>
        <w:pStyle w:val="BookText"/>
        <w:rPr/>
      </w:pPr>
      <w:r>
        <w:rPr>
          <w:rFonts w:ascii="Amiri" w:hAnsi="Amiri" w:eastAsia="Amiri" w:cs="Amiri"/>
          <w:color w:val="111111"/>
          <w:sz w:val="28"/>
          <w:sz w:val="28"/>
          <w:szCs w:val="28"/>
          <w:rtl w:val="true"/>
          <w:lang w:bidi="ar-SA"/>
        </w:rPr>
        <w:t>على الشّط، فإذا هم برجلٍ ميّت عريان، والقوم ليس عليهم إلّامناديل متّزرين بها، وليس لهم فضلُ ثوبٍ يوارون الرَّجل، فكيف يُصلّون عليه وهو عريان‌؟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يقدروا عليثوب يوارون به عورته، فليحفروا قبره، ويضعوه في لحده، يوارون عورته بلَبَن أو أحجارٍ أو تراب، ثمّ يُصلّون عليه، ثمّ يوارونه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يُصلّون عليه وهو مدفونٌ بعدما يُدفن‌؟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جاز ذلك لأحدٍ لجاز لرسول اللّه صلى الله عليه و آله، فلا يُصلّى على المدفون ولا على العريان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موثّق عمّار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يجوز لدى التمكّن من سَتر عورته بالتّراب ونحوه خارج القبر، أن يُصلّى عليه كذلك، أم يجب أن يكون بعد وضعه في القبر؟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الأمر بها بعد وضعه في اللّحد، لا سيّما وأنّ سَتر العورة أمرٌ ممكن في جميع موارد حفر القبر كما لا يخفى، واحتمال أن يكون لسترِ سائر جَسده في الجملة مدخليّة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ورود الأمر في الجواب مورد توهّم الحظر، وأنّ المقصود به سَترالعورة، كما يشير إليه ذيل الخبرين، حيث أنّ ظاهره سوق الخبرين لبيان عدم جواز الصَّلاة على العاري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لو لم يكن أقوى‌، فلا ريب في كونه أحوط، وإنْ ادّعى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أنّ الجواز ممّا لا خلاف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هل يجبُ في حال الصَّلاة، وضعه في القبر على نحو وضعه خارجه للصّلاة، أم يجب وضعه فيه على كيفيّة الدفن، أم يتخيّر بينهما؟</w:t>
      </w:r>
    </w:p>
    <w:p>
      <w:pPr>
        <w:pStyle w:val="BookText"/>
        <w:rPr/>
      </w:pPr>
      <w:r>
        <w:rPr>
          <w:rFonts w:ascii="Amiri" w:hAnsi="Amiri" w:eastAsia="Amiri" w:cs="Amiri"/>
          <w:color w:val="111111"/>
          <w:sz w:val="28"/>
          <w:sz w:val="28"/>
          <w:szCs w:val="28"/>
          <w:rtl w:val="true"/>
          <w:lang w:bidi="ar-SA"/>
        </w:rPr>
        <w:t>وجوهٌ‌، 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كلّ من الأولين إلى ظاهر الأصحاب</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أقواها الأوّل لإطلاق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إلى الذهن من الخبرين، من جهة عدم التعرّض لتبديل كيفيّة الوضع بعد الصَّلاة، وإطلاق الأمر بالدفن بعدها، إنّما هو وضعه في لحده على الهيئة المعهودة في الدفن من الاضطجاع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ليسا في مقام البيان من هذه الجهة، كي يُتمسّك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ضعف مستند القول الأخير، إذ لا وجه له سوى ذلك بضميمة أنّ الظاهر من الأمر كونه من باب الرخصة، فتدبّر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3" w:name="pg11797_256331"/>
    </w:p>
    <w:p>
      <w:pPr>
        <w:pStyle w:val="BookText"/>
        <w:rPr/>
      </w:pPr>
      <w:bookmarkEnd w:id="33"/>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الصَّلاة على الجنازة مرّتين</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10390924_73709187"/>
      <w:bookmarkStart w:id="35" w:name="_Toc13"/>
      <w:bookmarkEnd w:id="34"/>
      <w:r>
        <w:rPr>
          <w:rtl w:val="true"/>
        </w:rPr>
        <w:t>كراهة الصَّلاة على الجنازة مرّتين</w:t>
      </w:r>
      <w:bookmarkEnd w:id="3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الصَّلاة على الجنازة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نقلاًوتحصيلاً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أبي عقيل</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الكراهة مطلقاً، وتبعه بعضهم</w:t>
      </w:r>
      <w:r>
        <w:rPr>
          <w:rStyle w:val="FootnoteAnchor"/>
          <w:rtl w:val="true"/>
        </w:rPr>
        <w:footnoteReference w:id="59"/>
      </w:r>
      <w:r>
        <w:rPr>
          <w:rFonts w:ascii="Amiri" w:hAnsi="Amiri" w:eastAsia="Amiri" w:cs="Amiri"/>
          <w:color w:val="111111"/>
          <w:sz w:val="28"/>
          <w:sz w:val="28"/>
          <w:szCs w:val="28"/>
          <w:rtl w:val="true"/>
          <w:lang w:bidi="ar-SA"/>
        </w:rPr>
        <w:t xml:space="preserve">، 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 الأصحاب،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عليه 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والشهيدان</w:t>
      </w:r>
      <w:r>
        <w:rPr>
          <w:rStyle w:val="FootnoteAnchor"/>
          <w:rtl w:val="true"/>
        </w:rPr>
        <w:footnoteReference w:id="61"/>
      </w:r>
      <w:r>
        <w:rPr>
          <w:rFonts w:ascii="Amiri" w:hAnsi="Amiri" w:eastAsia="Amiri" w:cs="Amiri"/>
          <w:color w:val="111111"/>
          <w:sz w:val="28"/>
          <w:sz w:val="28"/>
          <w:szCs w:val="28"/>
          <w:rtl w:val="true"/>
          <w:lang w:bidi="ar-SA"/>
        </w:rPr>
        <w:t>، والمحقّق الثاني</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الكراهة بالمُصلّي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التفصيل، فإنْ خِيف على الميّت ظهور حادثة به، كَرُه تكرار الصَّلاة،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ارتفاع الكراهة في ذي الفضل والشرف الاُخروي، والكراهة في غيره، وتبعه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وأكثر محشّيها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وهب بن وهب، عن جعفر، عن أبيه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صلّى على جنازةٍ‌، فلمّا فَرِغ جاءه اُناسٌ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لم نُدرك الصَّلاة عليها، فقالب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على جنازةٍ مرّتين، ولكن ادّعوا لها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التكرار واستحبابه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يونس بن يعقوب،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الجنازة لم أدركها حتّى بلغت القبر؟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أدركتها قبل أن تُدفن، فإنْ شئت فصلِّ عليها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جابر، عن الإمام الباقر عليه السلام، وفيه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خَرَج إلى جنازة امرأةٍ من بني النَّجار فصلّى عليها، فوجد الحفرة لم يمكنوا فوضعوا الجنازة، فلم يجيئ قومٌ إلّاقال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المتضمّن أنّ عليّاً عليه السلام كرّر الصَّلاة على سَهل</w:t>
      </w:r>
      <w:r>
        <w:rPr>
          <w:rStyle w:val="FootnoteAnchor"/>
          <w:rtl w:val="true"/>
        </w:rPr>
        <w:footnoteReference w:id="71"/>
      </w:r>
      <w:r>
        <w:rPr>
          <w:rFonts w:ascii="Amiri" w:hAnsi="Amiri" w:eastAsia="Amiri" w:cs="Amiri"/>
          <w:color w:val="111111"/>
          <w:sz w:val="28"/>
          <w:sz w:val="28"/>
          <w:szCs w:val="28"/>
          <w:rtl w:val="true"/>
          <w:lang w:bidi="ar-SA"/>
        </w:rPr>
        <w:t>، ورسول اللّه صلى الله عليه و آله على حمزة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الاختلاف هو الاختلاف في كيفيّة الجمع بين الطائفتين، حيث أنّهم ذكروا في مقام الجمع بينهما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الأُولى ظاهرة في الحرمة، والثانية صريحة في الجواز، فالجمع العرفي يقتضي حمل الأُولى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الجمع في المقام لا يكون جمعاً عرفيّاً، لأنّا إذا جمعنا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على جنازةٍ مرّتين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مع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عليها</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فإنّه لا ريب في أنّ أهل العرف يرون التهافت بينهما، ولا يرون أحدهما قرينةً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الأُولى ضعيفة السند، فلا تصلح الاستناد إليها في الحكم، فالمستند خصوص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ضعفها منجبرٌ بعمل الأصحاب واستنادهم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الطائفة الأُولى لوروده مورد توهّم الوجوب، لا يدلّ إلّاعلى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ثبوت المرجوحيّة، كما يظهر لمن راجعها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بينهما، وبين ما دلَّ على جوار الصَّلاة على المدفون يوماً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وليلة، يقتضي الالتزام باختصاص الطائفة الأُولى بالمُصلّى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نصوص الطائفة الثانية مورده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خبر أبي بصير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الجواز لا ينافي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الطائفة الأُولى على التقيّة، لأنّ الكراهة محكية عن ابن عُمر وعائشة وأبي موسى والأوزاعي وأحمد والشافعي ومالك وأبي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يتمّ بناءً على عدم إمكان الجمع العرفي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من نصوص الطائفة الثانية واردة في موارد مخصوصة، ككون الميّت من أهل الفضل والشرف 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كون التكرار موجباً للتعطيل، ومنافياً للتعجيل المطلوب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لأخصيّتها من الطائفة الأُولى توجب اختصاصها بغير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الأمر بالتكرار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 يونس، فهو إنّما يدلّ على رجحان فعلها من حيث هو، وهذا ممّا اتّفق عليه الكلّ‌، وإلّا امتنع وقوعها عبادة، ولا ينفي عدم انطباق عنوانٍ مرجوح عليها، أو راجح على تركها، كي يصلح لمعارضة ما تضمّن النهي عنها، الذي لا محلّ له سوى ذلك، فتدبّر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كراهة التكرار، إلّاإذا كان الميّت من أهل الفضل والشرف، أو حصل التأخير قهراً بسببٍ آخر</w:t>
      </w:r>
      <w:r>
        <w:rPr>
          <w:rFonts w:eastAsia="Amiri" w:cs="Amiri" w:ascii="Amiri" w:hAnsi="Amiri"/>
          <w:color w:val="111111"/>
          <w:sz w:val="28"/>
          <w:szCs w:val="28"/>
          <w:rtl w:val="true"/>
          <w:lang w:bidi="ar-SA"/>
        </w:rPr>
        <w:t>.</w:t>
      </w:r>
      <w:bookmarkStart w:id="36" w:name="pg11797_256340"/>
    </w:p>
    <w:p>
      <w:pPr>
        <w:pStyle w:val="BookText"/>
        <w:rPr/>
      </w:pPr>
      <w:bookmarkEnd w:id="36"/>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يُصلّ على الميّت صُلّي على قبره يوماً وليلة</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10390926_73709187"/>
      <w:bookmarkStart w:id="38" w:name="_Toc14"/>
      <w:bookmarkEnd w:id="37"/>
      <w:r>
        <w:rPr>
          <w:rtl w:val="true"/>
        </w:rPr>
        <w:t>الصَّلاة على الميّت بعد الدفن</w:t>
      </w:r>
      <w:bookmarkEnd w:id="3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يُصلّ على الميّت، صُلّي على قبره يوماً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منهم الشيخان</w:t>
      </w:r>
      <w:r>
        <w:rPr>
          <w:rStyle w:val="FootnoteAnchor"/>
          <w:rtl w:val="true"/>
        </w:rPr>
        <w:footnoteReference w:id="76"/>
      </w:r>
      <w:r>
        <w:rPr>
          <w:rFonts w:ascii="Amiri" w:hAnsi="Amiri" w:eastAsia="Amiri" w:cs="Amiri"/>
          <w:color w:val="111111"/>
          <w:sz w:val="28"/>
          <w:sz w:val="28"/>
          <w:szCs w:val="28"/>
          <w:rtl w:val="true"/>
          <w:lang w:bidi="ar-SA"/>
        </w:rPr>
        <w:t>، والحِلّي</w:t>
      </w:r>
      <w:r>
        <w:rPr>
          <w:rStyle w:val="FootnoteAnchor"/>
          <w:rtl w:val="true"/>
        </w:rPr>
        <w:footnoteReference w:id="77"/>
      </w:r>
      <w:r>
        <w:rPr>
          <w:rFonts w:ascii="Amiri" w:hAnsi="Amiri" w:eastAsia="Amiri" w:cs="Amiri"/>
          <w:color w:val="111111"/>
          <w:sz w:val="28"/>
          <w:sz w:val="28"/>
          <w:szCs w:val="28"/>
          <w:rtl w:val="true"/>
          <w:lang w:bidi="ar-SA"/>
        </w:rPr>
        <w:t>، والمحقّق</w:t>
      </w:r>
      <w:r>
        <w:rPr>
          <w:rStyle w:val="FootnoteAnchor"/>
          <w:rtl w:val="true"/>
        </w:rPr>
        <w:footnoteReference w:id="78"/>
      </w:r>
      <w:r>
        <w:rPr>
          <w:rFonts w:ascii="Amiri" w:hAnsi="Amiri" w:eastAsia="Amiri" w:cs="Amiri"/>
          <w:color w:val="111111"/>
          <w:sz w:val="28"/>
          <w:sz w:val="28"/>
          <w:szCs w:val="28"/>
          <w:rtl w:val="true"/>
          <w:lang w:bidi="ar-SA"/>
        </w:rPr>
        <w:t>، والمصنّف في بعض كتبه</w:t>
      </w:r>
      <w:r>
        <w:rPr>
          <w:rStyle w:val="FootnoteAnchor"/>
          <w:rtl w:val="true"/>
        </w:rPr>
        <w:footnoteReference w:id="79"/>
      </w:r>
      <w:r>
        <w:rPr>
          <w:rFonts w:ascii="Amiri" w:hAnsi="Amiri" w:eastAsia="Amiri" w:cs="Amiri"/>
          <w:color w:val="111111"/>
          <w:sz w:val="28"/>
          <w:sz w:val="28"/>
          <w:szCs w:val="28"/>
          <w:rtl w:val="true"/>
          <w:lang w:bidi="ar-SA"/>
        </w:rPr>
        <w:t>، وإطلاقه يقتضي عدم الفرق بين ما لو صُلّي عليه قبل الدفن، وما لم يُصلّ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 بمن دُفن بغير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سلّار</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يُصلّى عليه إلى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عليه ما لم تتغيّر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بابويه</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عليه ولم يُقدّر لها 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ذلك يستدعي التكلّم في موردين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دفن الميّت بغير صلاةٍ‌،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عدم سقوطها بذلك بلا خلافٍ صريح أجده، إلّامن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والمحكيّ عن الفاضل في بعض كتبه، 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ريب في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وإطلاق دليل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وفحوى نصوص الجواز، كصحيح هشام،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يُصلّي الرّجل على الميّت بعدما يُدفن</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الاستصحاب، فإنّه لا يجري، بناءً على ما هو الحقّ من عدم جريانه في الأحكام، كما أشرنا إليه في هذا الشرح مراراً، مع أنّه يقتضي نبش القبر، والصَّلاة عليه لا على قبره،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دليل الوجوب، يقيّد بما دلَّ على اعتبار كونه قبل الدفن، من الإجماعات والنصوص، ونصوص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إمكان استفادة الوجوب منها، إلّابناءً على تماميّة قاعدة الميسور، التي عرفت ما فيها سابقاً، أو كونها هي الصَّلاة المأمور بها لزوماً قبل الدفن، الذي هو غير ثابت معارضة مع نصوص المنع، كموثّق عمّار المتقدّم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يُصلّى عليه إذا دُفِن‌؟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على الميّت بعدما يدفن،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يُصلّى عليه وهو عريان حتّى توارى عورته</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جَمَعوا بين الطائفتين بوجوه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الأُولى على مَنْ لم يُصلّ عليه، والثانية على من 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لا شاهد له، بل ظاهر الموثّق المنع من الصَّلاة على من لم يُصلَّ عليه، كما يظهر لمن تدبّر في صدره وذيله، وبعض نصوص الجواز كالصريح في إرادة الصَّلاة على من 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احتمله الشيخ</w:t>
      </w:r>
      <w:r>
        <w:rPr>
          <w:rStyle w:val="FootnoteAnchor"/>
          <w:rtl w:val="true"/>
        </w:rPr>
        <w:footnoteReference w:id="91"/>
      </w:r>
      <w:r>
        <w:rPr>
          <w:rFonts w:ascii="Amiri" w:hAnsi="Amiri" w:eastAsia="Amiri" w:cs="Amiri"/>
          <w:color w:val="111111"/>
          <w:sz w:val="28"/>
          <w:sz w:val="28"/>
          <w:szCs w:val="28"/>
          <w:rtl w:val="true"/>
          <w:lang w:bidi="ar-SA"/>
        </w:rPr>
        <w:t xml:space="preserve">، ومالَ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الأُولى على إرادة محض الدُّعاء، ونصوص المنع على صلاة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تمّ في بعض نصوص الجواز، لا يتمّ في جميعها، لصراحة بعضها في إرادة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النصوص الناهية على إرادة الصَّلاة الواجبة، والمجوّزة على الصلاة المستحبّة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نصوص المنع مختصّة بمن لم يُصلّ عليه، كان ذلك تامّاً، من جهة أنّ نصوص المنع لورودها مورد توهم الوجوب، لا يستفاد منها أزيد من عدم الوجوب، فالجمع بينها وبين نصوص الجواز، يقتضي الالتزام بذلك، ولكن عرفت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أنّها ليس كذلك، فلا يصحّ هذا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فالأصحّ هو عدم إمكان الجمع بين الطائفتين، فلابدّ من الرجوع إلى المرجّحات، وهي تقتضي تقديم نصوص الجواز لكونها أشهر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أنّ الأشبه هو الجواز في المورد الثاني أيضاً، وهو ما لو دُفِن بعد الصَّلاة عليه، ولكن ما ذكروه من تحديد وقتها، لم نعثر على دليله، بل مقتضى إطلاق النصوص عدم تحديده</w:t>
      </w:r>
      <w:r>
        <w:rPr>
          <w:rFonts w:eastAsia="Amiri" w:cs="Amiri" w:ascii="Amiri" w:hAnsi="Amiri"/>
          <w:color w:val="111111"/>
          <w:sz w:val="28"/>
          <w:szCs w:val="28"/>
          <w:rtl w:val="true"/>
          <w:lang w:bidi="ar-SA"/>
        </w:rPr>
        <w:t>.</w:t>
      </w:r>
      <w:bookmarkStart w:id="39" w:name="pg11797_256349"/>
    </w:p>
    <w:p>
      <w:pPr>
        <w:pStyle w:val="BookText"/>
        <w:rPr/>
      </w:pPr>
      <w:bookmarkEnd w:id="39"/>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يقف الإمام عند وسط الرَّجل وصدر المرأة</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10390928_73709187"/>
      <w:bookmarkStart w:id="41" w:name="_Toc15"/>
      <w:bookmarkEnd w:id="40"/>
      <w:r>
        <w:rPr>
          <w:rtl w:val="true"/>
        </w:rPr>
        <w:t>وقوف الإمام عند وسط الرَّجل وصدر المرأة</w:t>
      </w:r>
      <w:bookmarkEnd w:id="4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يقف الإمام عند وسط الرَّجل، وصدر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للأكثر، بل المشهور نقلاً وتحصيلاً،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عبد اللّه بن المغيرة،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امرأةٍ فلا يقوم في وسطها، ويكون ممّا يلي صدرها، وإذا صَلّى على الرّجل، فليقم في وسطه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 جابر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وظاهرهما وإنْ كان وجوب ذلك، إلّاأنّهما يُحملان على إرادة الاستحباب،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من دعوى الإجماع على الاستحباب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ظاهرهما وإنْ كان تعيّن هذه الكيفيّة، إلّاأنّ الجمع بينهما وبين ما رواه الشيخ عن موسى بن بكير، عن أبي الحسن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اتّفقا جَعَل الرَّجُل ممّا يليه، والمرأة ممّا يلي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على المرأة فقُم عند رأسها، وإذا صلّيت على الرّجل فقُم عند صدره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يقتضي الالتزام بالتخيير بين الكيفيّتين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ما في كلمات القوم في المقام، فلا حاجة إلى إطالة الكلام ببيانها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النصوص غير مختصّة بالإمام، وتعمّ المنفرد أيضاً، نعم المأموم خارجٌ عنها قطعاً، فالتخصيص بالإمام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الرَّجل والمرأة، واُريد الصَّلاة عليهما دفعة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الرَّجل ممّا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ممّا يَلي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قول علمائنا كافّة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وتشهد به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بكير،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جنائز الرجال والنساء والصبيان‌؟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النِّساء ممّا يلي القبلة، والصبيان دونهم، والرِّجال دون ذلك، ويقوم الإمام ممّا يلي الرِّجال</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02"/>
      </w:r>
      <w:r>
        <w:rPr>
          <w:rFonts w:ascii="Amiri" w:hAnsi="Amiri" w:eastAsia="Amiri" w:cs="Amiri"/>
          <w:color w:val="111111"/>
          <w:sz w:val="28"/>
          <w:sz w:val="28"/>
          <w:szCs w:val="28"/>
          <w:rtl w:val="true"/>
          <w:lang w:bidi="ar-SA"/>
        </w:rPr>
        <w:t>من المحمولة على الفضيلة، بقرينة صحيح هشام بن سالم،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يُقدَّم الرَّجل وتُؤخَّر المرأة</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البصري،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جنائزالرِّجال والنساءإذا اجتمعت‌؟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الرِّجال في كتاب عليّ‌</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ومضمر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جنائز الرِّجال والنساء إذا اجتمعت‌؟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الرَّجل قُدّام المرأة قليلاً، وتوضع المرأة أسفل من ذلك قليلاً، ويقوم الإمام عند رأس الميّت، فيصلّى عليهما جميعاً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ينافيان ذلك، فإنّ الظاهر منهما لا سيّما بعد الجمع بينهما وبين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 على المرأة والرّجل، قُدّم المرأة وأُخّر الرّجل</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إرادة التقديم بمعنى جَعْل صدرها محاذياً لوسطه، ليقف الإمام موقف الفضيلة منهما، كما لا يخفى‌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2" w:name="pg11797_256355"/>
    </w:p>
    <w:p>
      <w:pPr>
        <w:pStyle w:val="Heading6"/>
        <w:numPr>
          <w:ilvl w:val="5"/>
          <w:numId w:val="1"/>
        </w:numPr>
        <w:rPr/>
      </w:pPr>
      <w:bookmarkStart w:id="43" w:name="__RefHeading___Toc10390930_73709187"/>
      <w:bookmarkStart w:id="44" w:name="_Toc16"/>
      <w:bookmarkEnd w:id="42"/>
      <w:bookmarkEnd w:id="43"/>
      <w:r>
        <w:rPr>
          <w:rtl w:val="true"/>
        </w:rPr>
        <w:t>وجوب جعل رأس الميّت على يمين المُصلّي</w:t>
      </w:r>
      <w:bookmarkEnd w:id="44"/>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يُجعل رأسُ الميّت عن يمين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يُجعل رأس الميّت على يمين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غَير واحدٍ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عمّن صُلّي عليه، فلمّا سَلّم الإمام فإذا الميّت مقلوبٌ رجلاه إلى موضع رأسه‌؟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يُسوّى وتُعاد الصَّلاة عليه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 w:name="__RefHeading___Toc10390932_73709187"/>
      <w:bookmarkStart w:id="46" w:name="_Toc17"/>
      <w:bookmarkEnd w:id="45"/>
      <w:r>
        <w:rPr>
          <w:rtl w:val="true"/>
        </w:rPr>
        <w:t>يجب فيها استقبال المُصلّي القبلة</w:t>
      </w:r>
      <w:bookmarkEnd w:id="46"/>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فيها استقبال المُصلّي القبلة، بلا خلافٍ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العبادة كيفيّة متلقّاة من الشارع، والمنقول من المعصومين عليهم السلام كذلك، فيكون خلافه 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 الإطلاق لأدلّة هذه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شرطيّة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يكون مراده بما ذكره، دعوى السيرة المستمرّة إلى زمان المعصوم عليه السلام على ذلك، وعليه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كاشف اللّثام</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ما دلَّ على اعتبار الاستقبال في الصَّلاة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ثبوت عمومٍ دالّ على ذلك، بما أنّ هذه العبادة ليست بصلاةٍ‌، </w:t>
      </w:r>
      <w:bookmarkStart w:id="47" w:name="pg11797_256357"/>
    </w:p>
    <w:p>
      <w:pPr>
        <w:pStyle w:val="BookText"/>
        <w:rPr/>
      </w:pPr>
      <w:bookmarkEnd w:id="47"/>
      <w:r>
        <w:rPr>
          <w:rFonts w:ascii="Amiri" w:hAnsi="Amiri" w:eastAsia="Amiri" w:cs="Amiri"/>
          <w:color w:val="111111"/>
          <w:sz w:val="28"/>
          <w:sz w:val="28"/>
          <w:szCs w:val="28"/>
          <w:rtl w:val="true"/>
          <w:lang w:bidi="ar-SA"/>
        </w:rPr>
        <w:t>وإنّما هي دعاء، لما تضمّن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الركوع، وثلثٌ السجود، وثلثٌ الطهور</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يعتبر شيء منها في هذه العبادة، فلا تكون مشمولة لتلك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ما هو الحقّ من ثبوت الحقيقة الشرعيّة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أشرنا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حمل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تضمّن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تلك العبادة، لاما يشمل معناها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يونس المتقدّم، المتضمّن لتعليل عدم اعتبار الطهارة فيها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تكبيرٌ وتسبيحٌ وتحميدٌ وتهليل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فالصحيح أن يستدلّ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بالسيرة القطعيّة، المعتضدة بالإجماعات المنقولة، والشهرة المحقّقة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الظاهر من النصوص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الصلاه على الجنائزالمتعدّدة، المتقدّم بعضها، والصَّلاة على المصلوب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الاستقبال فيها كان من الأُمور المسلّمة عندهم، كما يظهر لمن لاحظها</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10390934_73709187"/>
      <w:bookmarkStart w:id="49" w:name="_Toc18"/>
      <w:bookmarkEnd w:id="48"/>
      <w:r>
        <w:rPr>
          <w:rtl w:val="true"/>
        </w:rPr>
        <w:t>يجبُ فيها القيام بلا خلافٍ‌</w:t>
      </w:r>
      <w:bookmarkEnd w:id="49"/>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فيها القيام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جماعةٍ‌</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في الموارد المختلفة، مثل ما ورد في الوقوف عند الوسط والصدر، وما ورد في الصَّلاة على الجنائز المتعدّدة المتقدّمان وغيرهما، </w:t>
      </w:r>
      <w:bookmarkStart w:id="50" w:name="pg11797_256359"/>
    </w:p>
    <w:p>
      <w:pPr>
        <w:pStyle w:val="BookText"/>
        <w:rPr/>
      </w:pPr>
      <w:bookmarkEnd w:id="50"/>
      <w:r>
        <w:rPr>
          <w:rFonts w:ascii="Amiri" w:hAnsi="Amiri" w:eastAsia="Amiri" w:cs="Amiri"/>
          <w:color w:val="111111"/>
          <w:sz w:val="28"/>
          <w:sz w:val="28"/>
          <w:szCs w:val="28"/>
          <w:rtl w:val="true"/>
          <w:lang w:bidi="ar-SA"/>
        </w:rPr>
        <w:t>المتضمّنة للأمر بالقيام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وجوب الخصوصيّات التي تضمّنتها تلك النصوص لدليلٍ آخر، لا يلازم ندبيّة القيام، كي يُحمل الأمر به على الاستحباب</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10390936_73709187"/>
      <w:bookmarkStart w:id="52" w:name="_Toc19"/>
      <w:bookmarkEnd w:id="51"/>
      <w:r>
        <w:rPr>
          <w:rtl w:val="true"/>
        </w:rPr>
        <w:t>استحبابُ إتيان الصَّلاة جماعة</w:t>
      </w:r>
      <w:bookmarkEnd w:id="52"/>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إتيان هذه الصَّلاة جماعة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ما دلَّ علي استحباب الجماعة في الصَّلاة، لما تقدّم من عدم كون هذه العبادة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أنّك ستعرف في الجزء الخامس من هذا الشرح عدم ثبوت مشروعيّة الجماعة في كلّ صلاة إلّاما 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النصوص الواردة في بيان أحكامها التي سيمرّ عليك بعضها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هي شرطاً فيها بلا خلافٍ‌، ويشهد به خبر اليَسَع بن عبد اللّه القُمّي،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يُصلّي على جنازةٍ وحده‌؟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اعتبار شروط الإمامة فيمن يُقتدى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الشروط التي اعتبروها، مستندين إلى ما يشمل الجماعة مطلقاً، أو إلى أصالة عدم تحقّق الجماعة، مع عدم رعاية تلك الشروط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استندوا في اعتباره إلى دليلٍ مختصّ بالصلاة كالعدالة فلأنّ هذا ممّا يقتضيه الإطلاق المقامي،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اعتبار اجتماع شروط الجماعة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الإمام في أثناء صلاته، له أنْ يدخل في الجماعة، فإذا فرغ الإمام يأتي بالبقيّة فُرادى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الرّجل التكبيرة أو التكبيرتين من الصَّلاة على الميّت فليقض ما بقي متتابعاً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يُدرك من الصَّلاة على الميّت تكبيرة‌؟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بقي</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خبر إسحاق، 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ما سبق من تكبير الجنازة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يتعيّن طرحه بعد موافقة معارضه للشهرة، ومخالفته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بأس بحمله على ما ذكره شيخ الطائفة رحمه الله</w:t>
      </w:r>
      <w:r>
        <w:rPr>
          <w:rStyle w:val="FootnoteAnchor"/>
          <w:rtl w:val="true"/>
        </w:rPr>
        <w:footnoteReference w:id="121"/>
      </w:r>
      <w:r>
        <w:rPr>
          <w:rFonts w:ascii="Amiri" w:hAnsi="Amiri" w:eastAsia="Amiri" w:cs="Amiri"/>
          <w:color w:val="111111"/>
          <w:sz w:val="28"/>
          <w:sz w:val="28"/>
          <w:szCs w:val="28"/>
          <w:rtl w:val="true"/>
          <w:lang w:bidi="ar-SA"/>
        </w:rPr>
        <w:t>من إرادة أنّه لا يقضى كما كان يبتدأ بها من الفصل بينها بالدّعاء، وإنّما يقضي 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جماعة من القدماء والمتأخّرين</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لايدعو بين التكبيرات الّتي يأتي بها بعد الإمام، بل يأتي بها ولاء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المصنّف رحمه الله في بعض كتبه</w:t>
      </w:r>
      <w:r>
        <w:rPr>
          <w:rStyle w:val="FootnoteAnchor"/>
          <w:rtl w:val="true"/>
        </w:rPr>
        <w:footnoteReference w:id="124"/>
      </w:r>
      <w:r>
        <w:rPr>
          <w:rFonts w:ascii="Amiri" w:hAnsi="Amiri" w:eastAsia="Amiri" w:cs="Amiri"/>
          <w:color w:val="111111"/>
          <w:sz w:val="28"/>
          <w:sz w:val="28"/>
          <w:szCs w:val="28"/>
          <w:rtl w:val="true"/>
          <w:lang w:bidi="ar-SA"/>
        </w:rPr>
        <w:t>وجمعٍ ممّن تأخّر عنه</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ذلك بصورة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المحدِّث المحقّق المجلسي رحمه الله</w:t>
      </w:r>
      <w:r>
        <w:rPr>
          <w:rStyle w:val="FootnoteAnchor"/>
          <w:rtl w:val="true"/>
        </w:rPr>
        <w:footnoteReference w:id="126"/>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بعمومات أدلّة الأدعية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وإطلاق سائر نصوص المقام، بعد تنزيل الصحيح على الغالب من خوف الفوات برفع الجنازة ونحوه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الحكم استحبابي، فيمكن مشروعيّة المطلق والمقيّد، وبصحيح ابن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يتمّ ما بقي من تكبيرة، ويبادره دفعةً ويخفّف</w:t>
      </w:r>
      <w:r>
        <w:rPr>
          <w:rStyle w:val="FootnoteAnchor"/>
          <w:rtl w:val="true"/>
        </w:rPr>
        <w:footnoteReference w:id="127"/>
      </w:r>
      <w:r>
        <w:rPr>
          <w:rFonts w:ascii="Amiri" w:hAnsi="Amiri" w:eastAsia="Amiri" w:cs="Amiri"/>
          <w:color w:val="111111"/>
          <w:sz w:val="28"/>
          <w:sz w:val="28"/>
          <w:szCs w:val="28"/>
          <w:rtl w:val="true"/>
          <w:lang w:bidi="ar-SA"/>
        </w:rPr>
        <w:t>، بدعوى أنّ ظاهره الإتيان بالدّعاء، مع الاقتصار على أقلّ المُجزي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غلبة عدم التمكّن من إتيان أقلّ ما يجزي من الدُّعاء غير ثابتة، مع أنّها لا تصلح لتقييد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أشرنا إليه من أنّ دليل المقيّد إنْ كان متضمّناً لحكمٍ إلزامي يوجب تقييد المطلق، ولو 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يمكن أن يكون المراد بالتخفيف ترك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الاستدلال له بأنّ الأمر بإتيان ما بقي متتابعاً لوروده مورد توهّم الحظر، لايستفاد منه أكثر من الجواز، وعليه فلا مقيّد لدليل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 المأمومُ الإمامَ بتكبيرةٍ أو ما زاد، فله أنْ يُتمّها منفرداً، لاستجماعها حينئذٍ لجميع ما يُعتبر في صلاة المنفرد، وإنْ سبقه في التكبيرات المتوسّطة، ومجرّد إتيان ما قبلها جماعةً‌، لا يوجب البطلان،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له أن يصبر حتّى يلحقه الإمام فيأتمّ به فيما بقى، لعدم بطلان الجماعة بمجرّد التقدّم في فعل، كما سيأتي تحقيقه في الجزء الخامس من هذا الشرح</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بطلت، بما أنّه يجوز العدول من إمامٍ إلى إمامٍ في الأثناء، لثبوت ذلك في اليوميّة الموجب لجواز الائتمام في الأثناء كما لا يخفى، يجوز ذلك أيضاً، لكن السؤال حينئذٍ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تستحبّ إعادة التكبير، كما عن المصنّف رحمه الله</w:t>
      </w:r>
      <w:r>
        <w:rPr>
          <w:rStyle w:val="FootnoteAnchor"/>
          <w:rtl w:val="true"/>
        </w:rPr>
        <w:footnoteReference w:id="128"/>
      </w:r>
      <w:r>
        <w:rPr>
          <w:rFonts w:ascii="Amiri" w:hAnsi="Amiri" w:eastAsia="Amiri" w:cs="Amiri"/>
          <w:color w:val="111111"/>
          <w:sz w:val="28"/>
          <w:sz w:val="28"/>
          <w:szCs w:val="28"/>
          <w:rtl w:val="true"/>
          <w:lang w:bidi="ar-SA"/>
        </w:rPr>
        <w:t>والمحقّق</w:t>
      </w:r>
      <w:r>
        <w:rPr>
          <w:rStyle w:val="FootnoteAnchor"/>
          <w:rtl w:val="true"/>
        </w:rPr>
        <w:footnoteReference w:id="129"/>
      </w:r>
      <w:r>
        <w:rPr>
          <w:rFonts w:ascii="IRNazanin" w:hAnsi="IRNazanin" w:eastAsia="IRNazanin"/>
          <w:color w:val="111111"/>
          <w:sz w:val="28"/>
          <w:sz w:val="28"/>
          <w:szCs w:val="28"/>
          <w:rtl w:val="true"/>
          <w:lang w:bidi="fa-IR"/>
        </w:rPr>
        <w:t>، أم لا؟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الحميري، عن علي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أخاه عن الرّجل يُصلّي، له أن يُكبِّر قبل الإمام‌؟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يُكبِّر إلّامع الإمام، فإنْ كبّر قبله أعاد التكبير</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استحبابه لكونه ذِكراً غير ما هو محلّ الكلام من استحبابه بما أنّه من أجزاء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لم يكن ظاهراً في اليوميّة، لا يكون ظاهراً فيما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الاستحباب، سوى فتوى الأساطين</w:t>
      </w:r>
      <w:r>
        <w:rPr>
          <w:rStyle w:val="FootnoteAnchor"/>
          <w:rtl w:val="true"/>
        </w:rPr>
        <w:footnoteReference w:id="131"/>
      </w:r>
      <w:r>
        <w:rPr>
          <w:rFonts w:ascii="Amiri" w:hAnsi="Amiri" w:eastAsia="Amiri" w:cs="Amiri"/>
          <w:color w:val="111111"/>
          <w:sz w:val="28"/>
          <w:sz w:val="28"/>
          <w:szCs w:val="28"/>
          <w:rtl w:val="true"/>
          <w:lang w:bidi="ar-SA"/>
        </w:rPr>
        <w:t xml:space="preserve">،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من التوقّف فيه في محلّه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3" w:name="pg11797_256370"/>
    </w:p>
    <w:p>
      <w:pPr>
        <w:pStyle w:val="Heading5"/>
        <w:numPr>
          <w:ilvl w:val="4"/>
          <w:numId w:val="1"/>
        </w:numPr>
        <w:rPr/>
      </w:pPr>
      <w:bookmarkStart w:id="54" w:name="__RefHeading___Toc10390938_73709187"/>
      <w:bookmarkStart w:id="55" w:name="_Toc20"/>
      <w:bookmarkEnd w:id="53"/>
      <w:bookmarkEnd w:id="54"/>
      <w:r>
        <w:rPr>
          <w:rtl w:val="true"/>
        </w:rPr>
        <w:t>البحث الخامس</w:t>
      </w:r>
      <w:r>
        <w:rPr>
          <w:rtl w:val="true"/>
        </w:rPr>
        <w:t xml:space="preserve">: </w:t>
      </w:r>
      <w:r>
        <w:rPr>
          <w:rtl w:val="true"/>
        </w:rPr>
        <w:t>في الدفن</w:t>
      </w:r>
      <w:bookmarkEnd w:id="55"/>
    </w:p>
    <w:p>
      <w:pPr>
        <w:pStyle w:val="Heading6"/>
        <w:numPr>
          <w:ilvl w:val="5"/>
          <w:numId w:val="1"/>
        </w:numPr>
        <w:rPr/>
      </w:pPr>
      <w:bookmarkStart w:id="56" w:name="__RefHeading___Toc10390940_73709187"/>
      <w:bookmarkStart w:id="57" w:name="_Toc21"/>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ستره في الأرض عن الهوام والسباع وطم رائحته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الاحكام المتعلّقة بالأموات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135"/>
      </w:r>
      <w:r>
        <w:rPr>
          <w:rFonts w:ascii="Amiri" w:hAnsi="Amiri" w:eastAsia="Amiri" w:cs="Amiri"/>
          <w:color w:val="111111"/>
          <w:sz w:val="28"/>
          <w:sz w:val="28"/>
          <w:szCs w:val="28"/>
          <w:rtl w:val="true"/>
          <w:lang w:bidi="ar-SA"/>
        </w:rPr>
        <w:t>، بل لعلّه من الضروريّات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في الأرض عن الهوامّ والسِّباع، وطَمّ رائحته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سَتره في الأرض، فلا يكفي وضعه في صندوق من حديدٍ ونحوه ممّا يفيدُ فائدة الدّفن، لعدم صدق الدّفن عليه، وللأمر بالمواراة في بعض النصوص، وجعله في حفيرة القبر في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جري هذه النصوص مجرى العادة، وإلّا فالمقصود الأصلي هو سَتره بالنحو الذي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خلاف الظاهر، لا يُصار إليه إلّامع القرينة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المواراة بنحوٍ يترتّب عليها عدم انتشار ريحه، وحفظه من أن يظهر بدنه بفعل السّباع ونحوه من العوارض العادية، وذلك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للسيرة القطعيّة المتّصلة إلى زمان المعصوم، المعتضدة بالإجماع</w:t>
      </w:r>
      <w:r>
        <w:rPr>
          <w:rStyle w:val="FootnoteAnchor"/>
          <w:rtl w:val="true"/>
        </w:rPr>
        <w:footnoteReference w:id="137"/>
      </w:r>
      <w:r>
        <w:rPr>
          <w:rFonts w:ascii="IRNazanin" w:hAnsi="IRNazanin" w:eastAsia="IRNazanin"/>
          <w:color w:val="111111"/>
          <w:sz w:val="28"/>
          <w:sz w:val="28"/>
          <w:szCs w:val="28"/>
          <w:rtl w:val="true"/>
          <w:lang w:bidi="fa-IR"/>
        </w:rPr>
        <w:t>المنقول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الظاهر ورود هذه النصوص لإمضاء ما عليه بناء العُقلاء من لزوم دفن الموتى، ولا شبهة في أنّ بناءهم على لزومه بالنحو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ورد في مقام بيان علّة الدّفن، كالمروي عن علل الفضل، عن مولانا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يُدفن لئلّا يظهر النّاس على فساد جَسَده، وقُبح منظره، وتغيير ريحه، ولا يتأذّى به الأحياء وبريحه، وبما يدخل عليه من الآفة والفساد</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فما ذكره بعض أكابر المحقّقين</w:t>
      </w:r>
      <w:r>
        <w:rPr>
          <w:rStyle w:val="FootnoteAnchor"/>
          <w:rtl w:val="true"/>
        </w:rPr>
        <w:footnoteReference w:id="139"/>
      </w:r>
      <w:r>
        <w:rPr>
          <w:rFonts w:ascii="Amiri" w:hAnsi="Amiri" w:eastAsia="Amiri" w:cs="Amiri"/>
          <w:color w:val="111111"/>
          <w:sz w:val="28"/>
          <w:sz w:val="28"/>
          <w:szCs w:val="28"/>
          <w:rtl w:val="true"/>
          <w:lang w:bidi="ar-SA"/>
        </w:rPr>
        <w:t xml:space="preserve">من التمسّك بإطلاق الأدلّة، لكفاية مسمى الدفن، وعدم اعتبار الوصفين، لعدم الدليل عليهما، بدعوى عدم أخذهما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وعدم ثبوت الحقيقة الشرعيّة أو العرفيّة له، وعدم تحقّق الإجماع على شيء منهما،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راكب البحر إذا ماتَ‌، يُلقى فيه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 إمّا مثقلاً بحجرٍ ونحوه، أو مستوراً في وعاءٍ كالخابية وشبهها، مخيّراً بينهما على المشهور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Pr>
        <w:footnoteReference w:id="143"/>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تعيّن الأوّل، لاقتصارهم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جمعٍ من المتأخّرين منهم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لأنّ ذلك ممّا يقتضيه الجمع بين صحيح أيّوب بن الحُرّ،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رجلٍ مات وهو في السفينة في البحر، كيف يصنع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في خابيةٍ‌، ويوكأ رأسها، وتطرح في الماء</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خبر وهب،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في البحر، غُسِّل وكُفِّن وحُنِّط، ثمّ يُصلّى عليه، ثمّ يوثّق في رجله حَجرٌ ويُرمى به في الماء</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يُعتمد على الطائفة الثانية، لضعفها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منجبرٌ ضعفها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إنّما يكون ذلك مع تعذّر الوصول إلى البرّ، أو تعسّره، لإنصراف النصوص إليه، فما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جوازه ابتداءً في غير محلّه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جانبه الأيمن موجِّهاً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فيه أيضاً أن يَوضع المدفون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جانبه الأيمن، موجِّهاً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التوجيه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كونه على جانبه الأيمن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اختاره المشهور هو الأقوى‌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لاستقرار السيرة القطعيّة على الالتزام به، المعتضدة بالإجماع المنقول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معاوية،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البراء بن مَعرور الأنصاري بالمدينة، وكان رسول اللّه صلى الله عليه و آله بمكّة، وأنّه حضره الموت، وكان رسول اللّه صلى الله عليه و آله والمسلمون يُصلّون إلى بيت المَقْدس، فأوصى البراء إذا دُفِن أن يُجعل وجهه إلى رسول اللّه صلى الله عليه و آله إلى القبلة، فجرت به السُنّة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بها الطريقة الثابتة، كما لا يخفى‌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شهد رسول اللّه صلى الله عليه و آله جنازةَ رجلٍ من ولد عبد المطّلب، فلما أنزلوه في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اضطجعوه في لحده على جنبه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الأيمن مستقبل القبلة، ولا تكبّوه لوجهه، ولا تلقوه لظهره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القيام باُمور قبل دفن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اتّباع الجنازة، أو مع أحد جانبيها، وتربيعها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ووضعها عند رِجْل القبر إنْ كان رجلاً، وقدّامه ممّا يلي القبلة إنْ كانت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وأخذ الرّجل من قِبل رأسه، والمرأة عَرَضاً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وحفر القبر قدر قامة أو إلى 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واللّحدُ أفضل من الشَّق بقدر ما يجلس فيه الجالس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والذِّكر عند تناوله، وعند وضعه في اللّحد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والتَّحفي، وحَلّ الإزار، وكشف الرأس، وحَلّ عُقد الأكفان، ووضع خَدّه على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ووضع شيء من التربة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وتلقينه الشهادتين والإقرار بالأئمّة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وشرج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والخروج من قِبل رِجليه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وإهالة الحاضرين التّرابَ بظهور الأكفّ‌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وطمّ القبر، وتربيعه، وصبّ الماء عليه دوراً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ووضع اليد عليه والترحّم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وتلقين الوليّ بعد إنصراف النّاس</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مكروهات الدّفن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نزول ذوي الرَّحم إلّافي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وإهالة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وفرش القبر بالسّاج من غير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وتجصيصه، وتجديده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ودفن ميّتين في قبرٍ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ونقله إلى غير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الإشارة إلى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الميّت في البحر يُثقّل، ويُرمى فيه كما تقدّم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يدفن في مقبرة المسلمين غيرهم إلّاالذميّة الحاملة من المسلم، بلا خلافٍ فيهما، والنصوص شاهدة بهما، فيُستدبر بها القبلة، ليكون الجنين وجهه إليها، فإنّه هو المقصود بالدفن أصالةً‌، وتوهم وجوب شقّ بطنها وإخراج الولد ودفنه مع المسلمين، يدفعه خبر يونس</w:t>
      </w:r>
      <w:r>
        <w:rPr>
          <w:rFonts w:eastAsia="Amiri" w:cs="Amiri" w:ascii="Amiri" w:hAnsi="Amiri"/>
          <w:color w:val="111111"/>
          <w:sz w:val="28"/>
          <w:szCs w:val="28"/>
          <w:rtl w:val="true"/>
          <w:lang w:bidi="ar-SA"/>
        </w:rPr>
        <w:t>.</w:t>
      </w:r>
      <w:bookmarkStart w:id="58" w:name="pg11797_256382"/>
    </w:p>
    <w:p>
      <w:pPr>
        <w:pStyle w:val="Heading6"/>
        <w:numPr>
          <w:ilvl w:val="5"/>
          <w:numId w:val="1"/>
        </w:numPr>
        <w:rPr/>
      </w:pPr>
      <w:bookmarkStart w:id="59" w:name="__RefHeading___Toc10390942_73709187"/>
      <w:bookmarkStart w:id="60" w:name="_Toc22"/>
      <w:bookmarkEnd w:id="58"/>
      <w:bookmarkEnd w:id="59"/>
      <w:r>
        <w:rPr>
          <w:rtl w:val="true"/>
        </w:rPr>
        <w:t>مسائل</w:t>
      </w:r>
      <w:r>
        <w:rPr>
          <w:rtl w:val="true"/>
        </w:rPr>
        <w:t>:</w:t>
      </w:r>
      <w:bookmarkEnd w:id="60"/>
    </w:p>
    <w:p>
      <w:pPr>
        <w:pStyle w:val="Heading6"/>
        <w:numPr>
          <w:ilvl w:val="5"/>
          <w:numId w:val="1"/>
        </w:numPr>
        <w:rPr/>
      </w:pPr>
      <w:bookmarkStart w:id="61" w:name="__RefHeading___Toc10390944_73709187"/>
      <w:bookmarkStart w:id="62" w:name="_Toc23"/>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لا يُغسّل ولا يُكفَّن، بل يُصلّى عليه بثيابه</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10390946_73709187"/>
      <w:bookmarkStart w:id="64" w:name="_Toc24"/>
      <w:bookmarkEnd w:id="63"/>
      <w:r>
        <w:rPr>
          <w:rtl w:val="true"/>
        </w:rPr>
        <w:t>كيفيّة تجهيز الشهيد</w:t>
      </w:r>
      <w:bookmarkEnd w:id="64"/>
    </w:p>
    <w:p>
      <w:pPr>
        <w:pStyle w:val="Heading6"/>
        <w:numPr>
          <w:ilvl w:val="5"/>
          <w:numId w:val="1"/>
        </w:numPr>
        <w:rPr/>
      </w:pPr>
      <w:bookmarkStart w:id="65" w:name="__RefHeading___Toc10390948_73709187"/>
      <w:bookmarkStart w:id="66" w:name="_Toc25"/>
      <w:bookmarkEnd w:id="65"/>
      <w:r>
        <w:rPr>
          <w:rtl w:val="true"/>
        </w:rPr>
        <w:t>اشارة</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لا يُغسّل ولا يُكفّن، بل 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محصّلاً ومنقولاً مستفيضاً، وإنْ لم يكن متواتراً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عليها إجماع أهل العلم، خلا سعيد بن المسيّب والحَسَن،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كحسن أبان بن تغلب بن هاشم،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يُقتل في سبيل اللّه يُدفن في ثيابه، ولا يُغسّل، وإلّا أن يدركه المسلمون وبه رمق ثمّ يموت بعدُ، فإنّه يُغسّل ويُكفّن ويُحنّط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كَفّن حمزة في ثيابه، ولم يُغسّله، ولكن صَلّى عليه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الذي يُقتل في سبيل اللّه، أيُغسّل ويُكفّن ويُحنّط؟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كما هو في ثيابه، إلّاأن يكون به رمق ثمّ مات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زرارة وإسماعيل، عن مولانا الباقر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الشهيد يدفن بدمائه‌؟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بثيابه ودمائه، ولا يُحنّط ولا يُغسّل، ويُدفن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رسول اللّه صلى الله عليه و آله حمزة في ثيابه بدمائه الّتي اُصيب فيها، وردّاه النبيّ صلى الله عليه و آله بردائه، فقصر عن رجليه، فدعا له بإذخرٍ فطَرَحه عليه، وصَلّى عليه سبعين صلاة، وكبّر عليه سبعين تكبيرة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أبي مريم</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ومضمرة أبي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كلّ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 وأكيل السَّبع، وكلُّ شيء إلّا ما قُتل بين الصّفين، فإنْ كان به رَمقٌ غُسِّل وإلّا فلا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الحكم في الجملة من الضروريّات، لا يحتاج إلى إطالة البحث والكلام عنه، إنّما الكلام يقع في موارد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7" w:name="pg11797_256386"/>
    </w:p>
    <w:p>
      <w:pPr>
        <w:pStyle w:val="Heading6"/>
        <w:numPr>
          <w:ilvl w:val="5"/>
          <w:numId w:val="1"/>
        </w:numPr>
        <w:rPr/>
      </w:pPr>
      <w:bookmarkStart w:id="68" w:name="__RefHeading___Toc10390950_73709187"/>
      <w:bookmarkStart w:id="69" w:name="_Toc26"/>
      <w:bookmarkEnd w:id="67"/>
      <w:bookmarkEnd w:id="68"/>
      <w:r>
        <w:rPr>
          <w:rtl w:val="true"/>
        </w:rPr>
        <w:t>في معنى الشهيد</w:t>
      </w:r>
      <w:bookmarkEnd w:id="69"/>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بالشهيد، هو الذي قُتل في سبيل اللّه، في كلّ جهادٍ بحقّ‌، ولو في حال الغيبة، كما لو دَهَم المسلمين عدوٌّ يُخاف منه على بيضة الإسلام،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أو صريحها،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السبق</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 بل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أو 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مراد من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قُتل بين يدي الإمام، كالمقنعة</w:t>
      </w:r>
      <w:r>
        <w:rPr>
          <w:rStyle w:val="FootnoteAnchor"/>
          <w:rtl w:val="true"/>
        </w:rPr>
        <w:footnoteReference w:id="1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 xml:space="preserve">هو التمثيل، إذ لا كلام في عموم الحكم بالنسبة إلى من قُتل بين يدي النبيّ صلى الله عليه و آله، أو نائبه، كما صرّح به في محكيّ‌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للمختار؛ إطلاق حَسَن أبان، وصحيحه، ومضمر أبي خالد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استبعاد كثرة السؤال من الرواة، لفرضٍ لا يحتاجون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ينافيها إثبات هذا الحكم للشهيد في بعض النصوص، بناءً على اعتبار إذن المعصوم أو نائبه الخاص في مسمّاه، إذ لا مفهوم له كي يوجب تقييد المطلقات، مع أنّ اعتبار ذلك في مسمّاه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يعمّ هذا الحكم غير من قُتل في سبيل اللّه في جهادٍ، فمن بذل نفسه في طاعة اللّه من غير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غُسله وتكفينه كغيره بلا خلافٍ‌، بل عن الفاضلين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اختصاص النصوص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العلاء بن سيّابة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وقُطع رأسه في معصية اللّه، أيغسّل أم يُفعل به ما يفعل بالشهيد؟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في معصية اللّه يُغسل أوّلاً منه الدّم ثُمّ يصبّ الماء عليه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 ذلك، مَنْ قُتل دون نفسه أو ماله أو عرضه، وما ورد من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مظلمةٍ فهو الشهيد</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فإنّه لا ينافي ذلك، إذ الظاهر منه ومن ما ورد في جملةٍ من الأموات من أنّهم بمنزلة الشهيد، كالمطعون والمبطون والغريق والمهدوم عليه والنفساء، إرادة كثرة الثواب، وسهولة الحساب، كما يشهد له خبر أبي خالد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يعتبر كونه عند تقابل العسكرين، فلو كان رجلٌ عيناً لهم، فقُتِل قبل التقابل، يجبُ غَسله وتكفينه أم لا يعتبر ذلك‌؟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إطلاق النصوص، ومن قوله عليه السلام في خبر أبي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قُتل بين الصَّفين</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ولايبعد تنزيل ذلك على الغالب، مع أنّه يحتمل أن يكون المراد به الموت في المعركة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0" w:name="pg11797_256392"/>
    </w:p>
    <w:p>
      <w:pPr>
        <w:pStyle w:val="Heading6"/>
        <w:numPr>
          <w:ilvl w:val="5"/>
          <w:numId w:val="1"/>
        </w:numPr>
        <w:rPr/>
      </w:pPr>
      <w:bookmarkStart w:id="71" w:name="__RefHeading___Toc10390952_73709187"/>
      <w:bookmarkStart w:id="72" w:name="_Toc27"/>
      <w:bookmarkEnd w:id="70"/>
      <w:bookmarkEnd w:id="71"/>
      <w:r>
        <w:rPr>
          <w:rtl w:val="true"/>
        </w:rPr>
        <w:t>اعتبار الموت في المعركة</w:t>
      </w:r>
      <w:bookmarkEnd w:id="72"/>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قدماتَفي المعركة، كماصرّح بذلك غيرواحدٍ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ظاهر جماعةٍ‌</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إذا ماتَ في المعركة لا يُغسَّل، ولا يُكفّن، ذهب إليه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نَقْلُ الإجماع عليه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روحه بعد الإخراج من المعركة، وانقضاء الحرب يُغسّل ويُكفّن، وتشهد لذلك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كلام فيه، إنّما الكلام في أنّه هل يعتبر الموتُ في المعركة، كما هو ظاهر معاقد الإجماعات، أم يثبتُ هذا الحكم فيما لو خرج بنفسه، أو اُخرج ثمّ مات قبل انقضاء الحرب‌؟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أظهرهما الأوّل، لخبر أبي خالد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يشهد لوجوب التغسيل والتكفين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نصوص الباب، ولأجل ذلك فصّل بعضهم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عمرو بن خالد، عن زيد بن عليّ‌، عن أبيه، عن آبائه، عن أمير المؤمنين عليه السلام،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الشهيد من يومه أو من الغد، فواروه في ثيابه، وإنْ بقي أيّاماً حتّى تتغيّر جراحته غُسّل</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فمضافاً إلى ضعف سنده، محمولٌ على التقيّة، كما عن الشيخ</w:t>
      </w:r>
      <w:r>
        <w:rPr>
          <w:rStyle w:val="FootnoteAnchor"/>
          <w:rtl w:val="true"/>
        </w:rPr>
        <w:footnoteReference w:id="197"/>
      </w:r>
      <w:r>
        <w:rPr>
          <w:rFonts w:ascii="Amiri" w:hAnsi="Amiri" w:eastAsia="Amiri" w:cs="Amiri"/>
          <w:color w:val="111111"/>
          <w:sz w:val="28"/>
          <w:sz w:val="28"/>
          <w:szCs w:val="28"/>
          <w:rtl w:val="true"/>
          <w:lang w:bidi="ar-SA"/>
        </w:rPr>
        <w:t>وغيره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ماتَ في المعركة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محلّ العِراك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الحرب، فالظاهر أنّه لا خلاف في وجوب الغُسل والكفن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الفرقة على أنّه يُغسّل ولو كان غير مستقرّ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يقيّد إطلاق حَسَن أبان الدالّ على أنّه لا يُغسَّل، إذا لم يُدْرِكه المسلمون، وإنْ ماتَ بعد انقضاء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والمحكيّ عن جماعة من الأصحاب، كالمفيد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والشهيدين في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 xml:space="preserve">، وابن البرّاج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وغيرهم في غيرها</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التغسيل بمجرّد إدراكه حيّاً، ولو في أثناء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وخالفهم في ذلك جماعة من الأساطين</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الجمود على ظاهر بعض النصوص، كحسن أبان المتقدّم، وإنْ كان هو الأوّل، إلّاأنّه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لأجل ما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رُوي عن النبيّ صلى الله عليه و آله أنّه قال يوم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ينظر ما فُعِل بسعد بن الربيع‌؟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أنظرُ لكَ يا رسول اللّه صلى الله عليه و آله، فَنَظر فوجده جريحاً وبه رمق،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أمرني أن أنظر في الأحياء أنتَ أم في الأموات‌؟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الأموات؛ فابلغ رسول اللّه صلى الله عليه و آله عنّي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أبرح أنْ ماتَ‌، ولم يأمر النبيّ صلى الله عليه و آله بتغسيل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قضيّة عمّار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واستظهار المحقّق الثاني</w:t>
      </w:r>
      <w:r>
        <w:rPr>
          <w:rStyle w:val="FootnoteAnchor"/>
          <w:rtl w:val="true"/>
        </w:rPr>
        <w:footnoteReference w:id="208"/>
      </w:r>
      <w:r>
        <w:rPr>
          <w:rFonts w:ascii="IRNazanin" w:hAnsi="IRNazanin" w:eastAsia="IRNazanin"/>
          <w:color w:val="111111"/>
          <w:sz w:val="28"/>
          <w:sz w:val="28"/>
          <w:szCs w:val="28"/>
          <w:rtl w:val="true"/>
          <w:lang w:bidi="fa-IR"/>
        </w:rPr>
        <w:t>من إطلاق الأصحاب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والإجماع المحكيّ عن غير واحدٍ على عدم الفرق بين أنْ يُدْرِكه المسلمون وبه رمق وعدمه، يُحمل على إرادة الإدراك الكامل، بإدراكهم إيّاه حيّاً بعد انقضاء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وأيّده بعضهم بأنّه المتعارف في تفقّد القَتلى‌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وبإضافته إلى الجمع المُحلّى باللّام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هو الظاهر من خبر أبي خالد، حيث جُعل فيه أن يكون به رمق، في مقابل القتل بين الصَّفين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73" w:name="pg11797_256399"/>
    </w:p>
    <w:p>
      <w:pPr>
        <w:pStyle w:val="Heading6"/>
        <w:numPr>
          <w:ilvl w:val="5"/>
          <w:numId w:val="1"/>
        </w:numPr>
        <w:rPr/>
      </w:pPr>
      <w:bookmarkStart w:id="74" w:name="__RefHeading___Toc10390954_73709187"/>
      <w:bookmarkStart w:id="75" w:name="_Toc28"/>
      <w:bookmarkEnd w:id="73"/>
      <w:bookmarkEnd w:id="74"/>
      <w:r>
        <w:rPr>
          <w:rtl w:val="true"/>
        </w:rPr>
        <w:t>البحث عن عمر الشهيد وجنسه</w:t>
      </w:r>
      <w:bookmarkEnd w:id="75"/>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النصّ وكلام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هذا الحكم بين الصَّغير والكبير، والرَّجل والمرأة، والحُرّ والعَبد، ولا بين من ارتدّت رميته إليه فَقَتله وغيره، ولا بين من قُتل بالجُرح أو بغيره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في خصوص الصغير والمجنون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الخلاف في الصغير إلى أبي حنيفة، وردّه بالإطلاق، وأيده بما رُوي أنّه كان في قتلى بدرٍ و اُحد بعض الصغار، وقضيّة رضيع مولانا سيّد الشهداء عليه السلام معروفة</w:t>
      </w:r>
      <w:r>
        <w:rPr>
          <w:rStyle w:val="FootnoteAnchor"/>
          <w:rtl w:val="true"/>
        </w:rPr>
        <w:footnoteReference w:id="212"/>
      </w:r>
      <w:r>
        <w:rPr>
          <w:rFonts w:ascii="Amiri" w:hAnsi="Amiri" w:eastAsia="Amiri" w:cs="Amiri"/>
          <w:color w:val="111111"/>
          <w:sz w:val="28"/>
          <w:sz w:val="28"/>
          <w:szCs w:val="28"/>
          <w:rtl w:val="true"/>
          <w:lang w:bidi="ar-SA"/>
        </w:rPr>
        <w:t xml:space="preserve">، ولم يُنقل تيمّمه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واستحسنه الشيخ الأعظم</w:t>
      </w:r>
      <w:r>
        <w:rPr>
          <w:rStyle w:val="FootnoteAnchor"/>
          <w:rtl w:val="true"/>
        </w:rPr>
        <w:footnoteReference w:id="21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الظاهر من حَسَنة أبان وصحيحته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المقتول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فيختصّ بمن كان الجهاد راجحاً في حقّه جوهد به، كما إذا توقّف دفع العدو على الاستعانة بالأطفال والمجانين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دعوى الإطلاق في مضمر أبي خالد، ولعلّه المراد من 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فمع التأييد بما ذُكر، وبما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أصاب نفسه، بالسيف فلفّه </w:t>
      </w:r>
    </w:p>
    <w:p>
      <w:pPr>
        <w:pStyle w:val="BookText"/>
        <w:rPr/>
      </w:pPr>
      <w:r>
        <w:rPr>
          <w:rFonts w:ascii="Amiri" w:hAnsi="Amiri" w:eastAsia="Amiri" w:cs="Amiri"/>
          <w:color w:val="111111"/>
          <w:sz w:val="28"/>
          <w:sz w:val="28"/>
          <w:szCs w:val="28"/>
          <w:rtl w:val="true"/>
          <w:lang w:bidi="ar-SA"/>
        </w:rPr>
        <w:t>رسول اللّه صلى الله عليه و آله بثيابه ودمائه، وصَلّى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أشهيدٌ 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وأنا له شهيد</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يصلح أنْ يكونا مدركاً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حَسَن أبان وصحيحه فإنّه لا مفهوم لهما، كي يوجب تقييد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الانصراف إلى من يكون الجهاد في حقّه راجحاً،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أجاب به بعض أعاظم المحقّقين رحمه الله</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النصوص هو المقتول في الجهاد مِنْ عسكر المسلمين، ولو لم يكن المقتول بشخصه مقتولاً في سبيل اللّه، ولذا لا ريب في عموم الحكم لمن لا يكون ناوياً بفعله التقرّب، بل كان قاصداً إظهار الشجاعة، أو تحصيل الغنيمة ونحوهما ممّا ينافي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الموضوع لو كان هو عنوانٌ جامعٌ لجميع من في العسكر، لصحّ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ما لو كان الأكثر كذلك، ولكن بما أنّ المأخوذ في لسان الدليل عنوانٌ منطبقٌ على كلّ فرد، وهو الذي يُقتل في سبيل اللّه، فكلّ من صَدَق عليه بشخصه أنّه كذلك، يترتّب عليه الحكم، وإلّا فلا، فالصحيح ما ذكرناه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76" w:name="pg11797_256403"/>
    </w:p>
    <w:p>
      <w:pPr>
        <w:pStyle w:val="Heading6"/>
        <w:numPr>
          <w:ilvl w:val="5"/>
          <w:numId w:val="1"/>
        </w:numPr>
        <w:rPr/>
      </w:pPr>
      <w:bookmarkStart w:id="77" w:name="__RefHeading___Toc10390956_73709187"/>
      <w:bookmarkStart w:id="78" w:name="_Toc29"/>
      <w:bookmarkEnd w:id="76"/>
      <w:bookmarkEnd w:id="77"/>
      <w:r>
        <w:rPr>
          <w:rtl w:val="true"/>
        </w:rPr>
        <w:t>في حكم الشهيد المُجنب</w:t>
      </w:r>
      <w:bookmarkEnd w:id="78"/>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النصوص، وكلام الأصحاب، عدم الفرق بين كون المقتول جُنُباً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وابن الجنيد</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لإخبار النبيّ صلى الله عليه و آله بغُسل الملائكة حَنظلة بن راهب، حيثُ خرج إلى الجهاد جُنُباً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دلَّ على أنّه يُغسّل الميّت الجُنُب غُسلين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غُسل الملائكة غَير الغُسل الذي اُمرنا به، كما لايخفى‌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دلَّ‌</w:t>
      </w:r>
      <w:r>
        <w:rPr>
          <w:rStyle w:val="FootnoteAnchor"/>
          <w:rtl w:val="true"/>
        </w:rPr>
        <w:footnoteReference w:id="220"/>
      </w:r>
      <w:r>
        <w:rPr>
          <w:rFonts w:ascii="Amiri" w:hAnsi="Amiri" w:eastAsia="Amiri" w:cs="Amiri"/>
          <w:color w:val="111111"/>
          <w:sz w:val="28"/>
          <w:sz w:val="28"/>
          <w:szCs w:val="28"/>
          <w:rtl w:val="true"/>
          <w:lang w:bidi="ar-SA"/>
        </w:rPr>
        <w:t>على أنّه يُغسَّل الميّت الجُنُب كغيره غُسلاً واحداً</w:t>
      </w:r>
      <w:r>
        <w:rPr>
          <w:rFonts w:eastAsia="Amiri" w:cs="Amiri" w:ascii="Amiri" w:hAnsi="Amiri"/>
          <w:color w:val="111111"/>
          <w:sz w:val="28"/>
          <w:szCs w:val="28"/>
          <w:rtl w:val="true"/>
          <w:lang w:bidi="ar-SA"/>
        </w:rPr>
        <w:t>.</w:t>
      </w:r>
      <w:bookmarkStart w:id="79" w:name="pg11797_256405"/>
    </w:p>
    <w:p>
      <w:pPr>
        <w:pStyle w:val="Heading6"/>
        <w:numPr>
          <w:ilvl w:val="5"/>
          <w:numId w:val="1"/>
        </w:numPr>
        <w:rPr/>
      </w:pPr>
      <w:bookmarkStart w:id="80" w:name="__RefHeading___Toc10390958_73709187"/>
      <w:bookmarkStart w:id="81" w:name="_Toc30"/>
      <w:bookmarkEnd w:id="79"/>
      <w:bookmarkEnd w:id="80"/>
      <w:r>
        <w:rPr>
          <w:rtl w:val="true"/>
        </w:rPr>
        <w:t>دفن الشهيدبثيابه</w:t>
      </w:r>
      <w:bookmarkEnd w:id="81"/>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إمّا أن تبقى ثيابه أو لا تبقى‌؟</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بثيابه إجماعاً كما تقدّم، ولا فرق بين السَّراويل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نزع السَّراويل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تقويته إذا لم يُصبها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فيشملها 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زيد بن عليّ‌،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يُنزع من الشهيد الفَرو والخُفّ والقَلنسُوة والعمامة والمنطقة والسَّراويل، إلّا أن يكون أصابه دمٌ‌، فإنْ أصابه دمٌ تُرك، ولا يُترَك عليه شيء معقودٌ إلّاحَلّ‌</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لايُعتمد عليه لضعفه في نفسه، وعدم عمل الأصحاب بهذه الفقرة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نزع ما لا يصدق عليه الثوب، كالخُفّ والنَعل ونحوهما، للاقتصار في النصوص على الدفن بالثياب، فَعَدم نزع ما لا يصدق عليه الثوب تضييع للمال،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النصوص أنّ وجوب الدفن بثيابه عينيٌّ‌، فلا يتخيّر بينه وبين التكفين، بل نُهي عنه في بعضها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تكفينه فوق ثيابه، لأنّ ظاهر الأخبار انحصار الكفن المشروع في حقّه بالثياب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يُكفّن كما عن جماعةٍ من الأصحاب، لعدم شمول نصوص الباب المتضمّنة أنّه يُدفن بثيابه له، فالمرجع فيه عموم ما دلَّ على التكفين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أبان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كفّن حمزة وحنّطه لأنّه كان قد 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مع حسنة</w:t>
      </w:r>
      <w:r>
        <w:rPr>
          <w:rStyle w:val="FootnoteAnchor"/>
          <w:rtl w:val="true"/>
        </w:rPr>
        <w:footnoteReference w:id="225"/>
      </w:r>
      <w:r>
        <w:rPr>
          <w:rFonts w:ascii="Amiri" w:hAnsi="Amiri" w:eastAsia="Amiri" w:cs="Amiri"/>
          <w:color w:val="111111"/>
          <w:sz w:val="28"/>
          <w:sz w:val="28"/>
          <w:szCs w:val="28"/>
          <w:rtl w:val="true"/>
          <w:lang w:bidi="ar-SA"/>
        </w:rPr>
        <w:t>وصحيح زرارة وإسماعيل المتقدّمين، المتضمّنين أنّه صلى الله عليه و آله لم يُكفِّن حمرة، بل دفنه بثيابه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يُجمع بين الأخبار بأنّه جُرِّد من بعض ثيابه، فجعل صلى الله عليه و آله ردائه قائماً مقام ما جُرِّد عليه، ولا يخفى وجهه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82" w:name="pg11797_256409"/>
    </w:p>
    <w:p>
      <w:pPr>
        <w:pStyle w:val="Heading6"/>
        <w:numPr>
          <w:ilvl w:val="5"/>
          <w:numId w:val="1"/>
        </w:numPr>
        <w:rPr/>
      </w:pPr>
      <w:bookmarkStart w:id="83" w:name="__RefHeading___Toc10390960_73709187"/>
      <w:bookmarkStart w:id="84" w:name="_Toc31"/>
      <w:bookmarkEnd w:id="82"/>
      <w:bookmarkEnd w:id="83"/>
      <w:r>
        <w:rPr>
          <w:rtl w:val="true"/>
        </w:rPr>
        <w:t>في مَن شُكَّ في شهادته</w:t>
      </w:r>
      <w:bookmarkEnd w:id="84"/>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في المعركة ميّتٌ‌، لم يعلم أنّه شهيد أم 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عليه أثر القتل، فلا خلاف ظاهراً في سقوط تغسيله،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عند الأصحاب على الظاهر في إجراء أحكام الشهيد على كلّ من وُجد فيه أثر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الأظهر، لظاهر الحال الذي هو حجّة، لبناء العُرف والعقلاء على العمل به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ذلك، لما بقي للنصوص المتقدّمة إلّاموارد نادرة، كما لايخفى‌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يكن عليه أثرُ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w:t>
      </w:r>
      <w:r>
        <w:rPr>
          <w:rStyle w:val="FootnoteAnchor"/>
          <w:rtl w:val="true"/>
        </w:rPr>
        <w:footnoteReference w:id="228"/>
      </w:r>
      <w:r>
        <w:rPr>
          <w:rFonts w:ascii="Amiri" w:hAnsi="Amiri" w:eastAsia="Amiri" w:cs="Amiri"/>
          <w:color w:val="111111"/>
          <w:sz w:val="28"/>
          <w:sz w:val="28"/>
          <w:szCs w:val="28"/>
          <w:rtl w:val="true"/>
          <w:lang w:bidi="ar-SA"/>
        </w:rPr>
        <w:t>، والمحقّق</w:t>
      </w:r>
      <w:r>
        <w:rPr>
          <w:rStyle w:val="FootnoteAnchor"/>
          <w:rtl w:val="true"/>
        </w:rPr>
        <w:footnoteReference w:id="229"/>
      </w:r>
      <w:r>
        <w:rPr>
          <w:rFonts w:ascii="IRNazanin" w:hAnsi="IRNazanin" w:eastAsia="IRNazanin"/>
          <w:color w:val="111111"/>
          <w:sz w:val="28"/>
          <w:sz w:val="28"/>
          <w:szCs w:val="28"/>
          <w:rtl w:val="true"/>
          <w:lang w:bidi="fa-IR"/>
        </w:rPr>
        <w:t>، والمصنّف رحمه الله</w:t>
      </w:r>
      <w:r>
        <w:rPr>
          <w:rStyle w:val="FootnoteAnchor"/>
          <w:rtl w:val="true"/>
        </w:rPr>
        <w:footnoteReference w:id="230"/>
      </w:r>
      <w:r>
        <w:rPr>
          <w:rFonts w:ascii="Amiri" w:hAnsi="Amiri" w:eastAsia="Amiri" w:cs="Amiri"/>
          <w:color w:val="111111"/>
          <w:sz w:val="28"/>
          <w:sz w:val="28"/>
          <w:szCs w:val="28"/>
          <w:rtl w:val="true"/>
          <w:lang w:bidi="ar-SA"/>
        </w:rPr>
        <w:t>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بظاهر الحال، لعدم انحصار القتل بما ظَهر أثره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البراءة عن التكليف بالغُسل، بعد عدم صحّة التمسّك بالعمومات في الشبهات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أصالة عدم الشهادة، يثبت بها الموضوع الباقي تحت العمومات، ويرتفع بها موضوع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أصالة عدم الموت حَتف الأنف، لعدم كونه موضوعاً للأثر، حتّى يجري في نفيه الأصل، ولا تثبت بها الشهادة كي تكون جارية لذلك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هو عدم إجراء حكم الشهيد عليه</w:t>
      </w:r>
      <w:r>
        <w:rPr>
          <w:rFonts w:eastAsia="Amiri" w:cs="Amiri" w:ascii="Amiri" w:hAnsi="Amiri"/>
          <w:color w:val="111111"/>
          <w:sz w:val="28"/>
          <w:szCs w:val="28"/>
          <w:rtl w:val="true"/>
          <w:lang w:bidi="ar-SA"/>
        </w:rPr>
        <w:t>.</w:t>
      </w:r>
      <w:bookmarkStart w:id="85" w:name="pg11797_256414"/>
    </w:p>
    <w:p>
      <w:pPr>
        <w:pStyle w:val="Heading6"/>
        <w:numPr>
          <w:ilvl w:val="5"/>
          <w:numId w:val="1"/>
        </w:numPr>
        <w:rPr/>
      </w:pPr>
      <w:bookmarkStart w:id="86" w:name="__RefHeading___Toc10390962_73709187"/>
      <w:bookmarkStart w:id="87" w:name="_Toc32"/>
      <w:bookmarkEnd w:id="85"/>
      <w:bookmarkEnd w:id="86"/>
      <w:r>
        <w:rPr>
          <w:rtl w:val="true"/>
        </w:rPr>
        <w:t>في حكم المقتول برجمٍ أو قصاص</w:t>
      </w:r>
      <w:bookmarkEnd w:id="87"/>
    </w:p>
    <w:p>
      <w:pPr>
        <w:pStyle w:val="BookText"/>
        <w:rPr/>
      </w:pPr>
      <w:r>
        <w:rPr>
          <w:rFonts w:ascii="Amiri" w:hAnsi="Amiri" w:eastAsia="Amiri" w:cs="Amiri"/>
          <w:color w:val="111111"/>
          <w:sz w:val="28"/>
          <w:sz w:val="28"/>
          <w:szCs w:val="28"/>
          <w:rtl w:val="true"/>
          <w:lang w:bidi="ar-SA"/>
        </w:rPr>
        <w:t>المورد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قتله برجمٍ أو قصاصٍ‌، لا يُغسَّل بعد تنفيذ الحكم به غُسل الأموات، بل يؤمر بالإغتسال قبله، 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جماعةٍ‌</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مسمع كردين الذي رواه الكليني بسندٍ ضعيف،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المرجوم والمرجومة يُغسّلان ويُحنّطان ويُلبسان الكفن قبل ذلك، ثمّ يُرجمان، ويُصلّى عليهما، والمقتصُّ منه بمنزلة ذلك، يُغسّل ويُحنّط ويُلبس الكفن، ويصلّى عليه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الصدوق مرسلة، عن أمير المؤمنين عليه السلام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رواه الشيخ بإسناده عن محمّد بن يعقوب، وبإسناد آخر فيه إرسال عن مسمع كردين، عن أبي عبد اللّه عليه السلام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الافتعال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وضعفها مجبور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أكثر الأصحاب، اختصاص هذا الحكم بالمرجوم والمقتص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كلُّ من وَجَب عليه القتل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239"/>
      </w:r>
      <w:r>
        <w:rPr>
          <w:rFonts w:ascii="Amiri" w:hAnsi="Amiri" w:eastAsia="Amiri" w:cs="Amiri"/>
          <w:color w:val="111111"/>
          <w:sz w:val="28"/>
          <w:sz w:val="28"/>
          <w:szCs w:val="28"/>
          <w:rtl w:val="true"/>
          <w:lang w:bidi="ar-SA"/>
        </w:rPr>
        <w:t>وسلّار</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أظهر لظاهر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بالمشاركة في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لعدم العلم بمناط الحكم، لا يجدي مجرّد المشاركة في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القول الأخير، إذا لا دليل لهذا الحكم، سوى ما تقدّم المشتمل على المرجوم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 الأصحاب في هذه المسألة بأنّه يؤمر مَنْ وَجَب عليه الحَدّ بالاغتسال والتحنيط،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والآمر هو الإمام أو نائبه،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واستشكل هو قدس سره تبعاً لبعضٍ في ذلك، وتبعه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به إلّاأنّه لا يعتبر أنْ يكون الآمر هو الإمام أو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اعتبر ذلك، لكن لا يعتبر الآمر في صحّة الغسل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أن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يَغتَسلان ويتحنّطان</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من باب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الافتعال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فإنّه لا ريب في ظهوره في كونه أمراً متوجها إلى الفاعل، وهو من يجب قتله برجمٍ أو قصاصٍ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دليل على لزوم الأمر إلّامن باب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أن يكون من باب التفعيل، فهو ظاهرٌ في أنّ وجوب الغُسل والحنوط إنّما يكون وجوباً كفائيّاً على كلّ واحدٍ، لأنّه ممّا يقتضيه إطلاق الخطاب، وعدم توجيهه إلى شخصٍ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إنّ من المعلوم أنّ الشارع لم يرد المباشرة من غير من وجب قتله، فيُحمل على إرادة الآمر منه تنزيلاً لآمره منزلة تغسيله، ولازم ذلك وجوب الآمر في فرض امتناعه من الغُسل، فمع التصدّي لا يجب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على هذا التقدير، توجيه الخطاب إلى غير مَنْ وجب قتله، وعليه فيجب الأمر لذلك، وحيثُ أنّ الأصحاب أفتوا بوجوب الأمر، فيعلم استنادهم إلى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وجوبه، الظاهر اعتباره في صحّة الغُسل، لما حقّقناه في محلّه من أنّ الأمر بالأمر بشيءٍ ظاهرٌ في كونه أمراً بذلك الشيء، مع اعتبار أمر الأوّل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 وإنْ لم يتضمّن اختصاص الأمر بالإمام أو نائبه، إلّاأنّه بما أنّ تولّي الحَدّ إنّما يكون له، وهذا أيضاً من مقاماته وشؤونه، لا يبعد القول بالاختصاص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لو لم يكن ذلك أظهر، فلا ريب في كونه أحوط</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ظاهر النصّ كون هذا الغُسل هو غُسل الميّت، بقرينة التحنيط ولبس الكفن، فلابدّ من الغَسَلات الثلاث، كما صرّح به جماعة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وتبعه جمعٌ ممّن تأخّر عنه</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الثلاث والاكتفاء بغُسلٍ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المعهود في غُسل الأحياء الوحدة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الأمر بالاغتسال في النصّ والفتوى‌، فيتحقّق مع الوحدة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ظهور النصّ والفتوى‌، في أنّ المأمور به هو غُسل الأموات، فمقتضى الإطلاق المقامي، اعتبار جميع مايعتبر في غُسل الأموات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المأمور به هو غُسل التوبة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أنّه يكفّن كتكفين الميّت، غاية الأمر أنّه لو امتنع معه القصاص، ينتزع المقدار المنافي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بعد الغُسل حتف أنفه، غُسِّل، اقتصاراً فيما خالف إطلاق الأدلّة على المقدار الثابت تقييده، كما أنّه لو لم يُغسّل صحيحاً وانكشف فساده، يُغسّل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تحتّمه عليه، أو التخيير بينه وبين غُسله بعد الموت، لقيامه مقامه نظرٌ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 هو وجوب أمر الآمر به، ووجوب الفعل بعده، فهو ليس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قبيل الأمر الواقع مورد توهّم الحظر، حتّى يقال إنّه لا يدلّ إلّاعلى‌عدم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أن تكون نيّة الغُسل من الآمر، أو من المأمور؟ أم يكفي في صحّته نيّة كلّ واحدٍ منهما؟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الثاني، لأنّ المأمور به العبادي هو فعله، وكون غُسل الميّت واجباً على غيره، لا يقتضي كون غُسله القائم مقام غُسل غيره واجباً على الغير وتعتبر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قيام أمره مقام التغسيل، لا يقتضي ذلك، وعلى فرض الاقتضاء الاكتفاء بنيّة المأمور، لا يخلو عن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من اختيار القول الثالث ضعيفٌ جدّاً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88" w:name="pg11797_256424"/>
    </w:p>
    <w:p>
      <w:pPr>
        <w:pStyle w:val="BookText"/>
        <w:rPr/>
      </w:pPr>
      <w:bookmarkEnd w:id="88"/>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الميّت كالميّت في أحكامه</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10390964_73709187"/>
      <w:bookmarkStart w:id="90" w:name="_Toc33"/>
      <w:bookmarkEnd w:id="89"/>
      <w:r>
        <w:rPr>
          <w:rtl w:val="true"/>
        </w:rPr>
        <w:t>في حكم صَدر الميّت</w:t>
      </w:r>
      <w:bookmarkEnd w:id="90"/>
    </w:p>
    <w:p>
      <w:pPr>
        <w:pStyle w:val="Heading6"/>
        <w:numPr>
          <w:ilvl w:val="5"/>
          <w:numId w:val="1"/>
        </w:numPr>
        <w:rPr/>
      </w:pPr>
      <w:bookmarkStart w:id="91" w:name="__RefHeading___Toc10390966_73709187"/>
      <w:bookmarkStart w:id="92" w:name="_Toc34"/>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الميّت كالميّت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يجب أنْ يُغسّل ويُكفّن، ويُصلّى عليه ويُدفن، على المشهور بين الأصحاب،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 شيءٍ من ذلك بين المتقدّمين والمتأخّرين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غير واحدٍ</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المدّعين للإجماع فهموا من عبارات الجميع، مع ما فيها من الاختلاف، إرادة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فالاختلاف في كلماتهم إنّما يكون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يُفعل به من الأحكام‌؟</w:t>
      </w:r>
    </w:p>
    <w:p>
      <w:pPr>
        <w:pStyle w:val="BookText"/>
        <w:rPr/>
      </w:pPr>
      <w:r>
        <w:rPr>
          <w:rFonts w:ascii="Amiri" w:hAnsi="Amiri" w:eastAsia="Amiri" w:cs="Amiri"/>
          <w:color w:val="111111"/>
          <w:sz w:val="28"/>
          <w:sz w:val="28"/>
          <w:szCs w:val="28"/>
          <w:rtl w:val="true"/>
          <w:lang w:bidi="ar-SA"/>
        </w:rPr>
        <w:t>فعن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ذكر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الإقتصار عليها مع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التكفين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التغسيل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التحنيط أيضاً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يترتّب عليه الأحكام‌؟ </w:t>
      </w:r>
    </w:p>
    <w:p>
      <w:pPr>
        <w:pStyle w:val="BookText"/>
        <w:rPr/>
      </w:pPr>
      <w:r>
        <w:rPr>
          <w:rFonts w:ascii="Amiri" w:hAnsi="Amiri" w:eastAsia="Amiri" w:cs="Amiri"/>
          <w:color w:val="111111"/>
          <w:sz w:val="28"/>
          <w:sz w:val="28"/>
          <w:szCs w:val="28"/>
          <w:rtl w:val="true"/>
          <w:lang w:bidi="ar-SA"/>
        </w:rPr>
        <w:t>فعن الحِلّي</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ما فيه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بموضع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بالصّدر وما فيه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قُطِع نصفين، فُعل بما فيه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يترتّب على ما يجب الصَّلاة عليه سائر أحكامه أم لا؟</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يظهر لي من النصوص، هو ما أفتى به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 الصَّلاة إلّاأن يوجد مافيه القلب أو الصّدر واليدان، أو عظام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إضافة موردٍ إليها، وهو ما يصدق معه أنّه إنسان ولو بقيد أنّه مقطوع الأطراف، وتعميم المورد الثالث بنحوٍ يشمل عظام النصف الأعلى، وذلك لأنّ النصوص الواردة في المقام على طوائف</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وجوبها في المورد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خبر الفضل بن عثمان الأعور،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عن مولانا الصادق عليه السلام، عن أبيه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يُقتل، فيوجد رأسه في قبيلةٍ‌، ووسطه وصدره ويداه في قبيلة، والباقي منه في قبيلة‌؟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على من وجد في قبيلته صدره ويداه والصَّلاة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في غير محلّه، لأنّ طريق الصدوق إلى الفضل بن عثمان صحيحٌ في قولٍ‌، على ما عن بعض كتب الرِّجال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ضعفه، فهو منجبرٌ بعمل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أنّ ذكر اليدين في الجواب، إنّما يكون لذكرهما في السؤال لا لخصوصيّةٍ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السؤال ذكر الوسط أيضاً، فعدم ذكره مع ذكرهما، دليلٌ على ثبوت الخصوصيّة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كون ذكر اليدين إنّما هو لذلك، فحيثُ أنّه لا محالة يفرض أنّ المراد الإشارة إلى مفروض السؤال، فلا مناص عن الالتزام بأنّ الموضوع هو النصف الأعلى من التَّرقوة إلى الرِّجلين، لا كون الموضوع هو الصَّدر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ونحوهافي الضعف دعوى</w:t>
      </w:r>
      <w:r>
        <w:rPr>
          <w:rStyle w:val="FootnoteAnchor"/>
          <w:rtl w:val="true"/>
        </w:rPr>
        <w:footnoteReference w:id="263"/>
      </w:r>
      <w:r>
        <w:rPr>
          <w:rFonts w:ascii="Amiri" w:hAnsi="Amiri" w:eastAsia="Amiri" w:cs="Amiri"/>
          <w:color w:val="111111"/>
          <w:sz w:val="28"/>
          <w:sz w:val="28"/>
          <w:szCs w:val="28"/>
          <w:rtl w:val="true"/>
          <w:lang w:bidi="ar-SA"/>
        </w:rPr>
        <w:t>اعتبار وجود القلب فعلاً في الصّدر واليدين، إذ الإطلاق محمولٌ على وجود القلب فعلاً في القطعة المشتملة على الصّدر واليدين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غلبة وجود فردٍ لا توجبُ تقييد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 المستفاد من المصحّح، أنّه يُصلّى على الصدر إذا كان معه اليدان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وجوبها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كمرفوع</w:t>
      </w:r>
      <w:r>
        <w:rPr>
          <w:rStyle w:val="FootnoteAnchor"/>
          <w:rtl w:val="true"/>
        </w:rPr>
        <w:footnoteReference w:id="264"/>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المقتول إذا قُطع أعضاءه، يُصلّى على العضو الذي فيه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فيه القلب اُريد به نفس العضو الذي هو مستقرّ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فيه القلب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يكفي في صحّة سنده، وجوده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مرويّ عن ابن عيسى‌، الذي كان لتحرّزه وشدّته يطرد مِن قم مَنْ يعتمد المراسيل ويروي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منه اعتبار وجود القلب فيه فعلاً، فإنّ الظاهر من كلّ عنوان أُخذ في الموضوع دَخْله فيه بنفسه، ودوران الحكم مدار وجوده إثباتاً ونفياً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وجوبها في المورد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أخاه موسى بن جعفر عليه السلام عن الرّجل يأكله السَّبع أو الطير، فتبقى عظامه بغير لحمٍ‌، كيف يُصنع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ويُكفّن ويُصلّى عليه، ويُدفن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الخالد، عن مولانا الباقر عليه السلام،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يأكله السَّبع أو الطير، فتبقى عظامه بغير لحمٍ‌، كيف يُصنع به‌؟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ويُكفّن ويُصلّى عليه ويدفن، فإذا كان الميّت نصفين صُلّي على النصف الذي فيه قلبه</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بقرينة التفريع؛ هو النصف من عظامه الذي هو موضع القلب، أي عظام النصف الأعلى من الجثة، وحيثُ أنّ المفروض في السؤال بقاء العظام بلا لحم، فلا مناص عن حمل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فيه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إشارة إلى مستقرّ القلب، بلا اعتبارٍ لوجود القلب فيه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هذه الطائفة، وجوب الصَّلاة على مجموع عظام الميّت، وعلى عظام نصفه الأعلى، المشتمل على الصدر والقلب عند انقسامه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وجوبها في المورد الرابع، كخبر طلحة بن زيد،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على عضوِ رجلٍ مِنْ رِجْلٍ أو يدٍ أو رأسٍ منفرداً، فإذا كان البدن فَصَّلِّ عليه، وإنْ كان ناقصاً من الرأس واليد والرِّجل</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أنّه لاتنافي بين هذه النصوص، لعدم المفهوم لشيء منها، فيعمل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في غير الأخيرة، وأمّا هي فتكون ذات مفهوم كما لا يخفى‌، وعليه فتعارض مع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الشرطيّة، كونها مسوقة في قبال نفي الصَّلاة على اليد والرّجل والرأس، لا على شرطيّة وجود البدن للصلاة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ثبوت المفهوم لها، فهو عدمُ وجوب الصَّلاة على غير البدن، وحيثُ أنّه مطلق، فيقيّد إطلاقه بما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طائفةٌ اُخرى من النصوص، وهي ما يدلّ على وجوب الصَّلاة على العضو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أحمد بن محمّد بن خالد، عن أبيه، عن بعض أصحابه،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الرَّجلُ قتيلاً، فإنْ وُجِد له عضوٌ تامّ صُلّىُ عليه ودُفِن، وإنْ لم يوجد له عضوٌ تامّ‌، لم يُصلّ عليه ودفن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المغيرة،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 أبي جعفر عليه السلام أنّه يُصلّي على كلّ عضوٍ رِجْلاً كان أو يَداً، والرأس جزءٌ فما زاد، فإذا نقص عن يدٍ أو رجلٍ أو رأسٍ لم يُصلّ عليه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عمل الإسكافي بها</w:t>
      </w:r>
      <w:r>
        <w:rPr>
          <w:rStyle w:val="FootnoteAnchor"/>
          <w:rtl w:val="true"/>
        </w:rPr>
        <w:footnoteReference w:id="271"/>
      </w:r>
      <w:r>
        <w:rPr>
          <w:rFonts w:ascii="Amiri" w:hAnsi="Amiri" w:eastAsia="Amiri" w:cs="Amiri"/>
          <w:color w:val="111111"/>
          <w:sz w:val="28"/>
          <w:sz w:val="28"/>
          <w:szCs w:val="28"/>
          <w:rtl w:val="true"/>
          <w:lang w:bidi="ar-SA"/>
        </w:rPr>
        <w:t>، ولكن لعدم عمل سائر الأصحاب بها، ومعارضتها بخبر طلحة، بل وبصحيح على بن جعفر وغيره من الأخبار الدالّة على أنّه لا يُصلّى على العضو الذي ليس فيه القلب، تُطرح هذه الرواية أو تُحمل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محمّد بن مسلم، عن سيّدنا الباقر عليه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قتيلٌ فلم يوجد إلّالحمٌ بلا عظم، لم يُصلّ عليه، فإنْ وُجد عظمٌ بلا لحم فصلّي عليه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 سُلّم كون المراد به مطلق العظم لا عَظمه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للمنع عنه مجالاً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فيتّحد مفاده مع الطائفة الرابعة، لمعارضته مع جميع ما تقدّم من النصوص، حتّى الطائفة الأخيرة، فلا مجال للعمل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على وجوب الصَّلاة على الصّدر المجرّد عن القلب بدليلين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باستصحاب الوجوب النفسي الضمني، الثابت له قبل الانفصال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الصدق على الحكم بثبوت الحكم في زمان الشكّ‌، أنّه إبقاءُ المتيقّن عرفاً، مع أنّك قد عرفت أنّ المختار عدم جريان الاستصحاب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الصَّلاة على البعض بعضاً من الصَّلاة على الكلّ‌، مضافاً إلى ما عرفت من عدم ثبوت القاعدة في أجزاء المركّب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وجوب الصَّلاة على الصّدر وحده، أو القلب وحده، لا سيّما وقد دلّ بعض النصوص على أنّه لا يُصلّى على اللّحم المجرّد، والقلب معدودٌ من اللّحوم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لوجوبها على القلب وحده، بأنّه رئيسُ الأعضاء، ومحلّ الاعتقادات الّتي بها تمتاز الدرجات، فكأنّه الإنسان حقيقة، كما ترى، إذ هذه الوجوه الاستحسانيّة، لا تصلح أن تكون مدركاً للحكم الشرعي، ولكن الاحتياط طريق النجاة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ترتّب جميع أحكام الميّت عدا التحنيط على ما يُصلّى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القول بالفصل بين الصَّلاة وسائر الأحكام، لأخصّيّة الصَّلاة لديهم من الغُسل والكفن والدفن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فحوى ما دلَّ على وجوب الغُسل للقطعة ذات العظم من الإجماع</w:t>
      </w:r>
      <w:r>
        <w:rPr>
          <w:rStyle w:val="FootnoteAnchor"/>
          <w:rtl w:val="true"/>
        </w:rPr>
        <w:footnoteReference w:id="275"/>
      </w:r>
      <w:r>
        <w:rPr>
          <w:rFonts w:ascii="Amiri" w:hAnsi="Amiri" w:eastAsia="Amiri" w:cs="Amiri"/>
          <w:color w:val="111111"/>
          <w:sz w:val="28"/>
          <w:sz w:val="28"/>
          <w:szCs w:val="28"/>
          <w:rtl w:val="true"/>
          <w:lang w:bidi="ar-SA"/>
        </w:rPr>
        <w:t>وغيره،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دفن كلّ عضوٍ، وهي جملةٌ من النصوص المتقدّمة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الفضل المتقدّم</w:t>
      </w:r>
      <w:r>
        <w:rPr>
          <w:rStyle w:val="FootnoteAnchor"/>
          <w:rtl w:val="true"/>
        </w:rPr>
        <w:footnoteReference w:id="276"/>
      </w:r>
      <w:r>
        <w:rPr>
          <w:rFonts w:ascii="Amiri" w:hAnsi="Amiri" w:eastAsia="Amiri" w:cs="Amiri"/>
          <w:color w:val="111111"/>
          <w:sz w:val="28"/>
          <w:sz w:val="28"/>
          <w:szCs w:val="28"/>
          <w:rtl w:val="true"/>
          <w:lang w:bidi="ar-SA"/>
        </w:rPr>
        <w:t>، فإنّ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ديته على من وُجِد في قبيلته صدره ويداه والصَّلاة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العضو هو الذي يكون بمنزلة كلّ الميّت في الآثار المترتّبة عليه من مطالبة الدية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النصوص كونها مسوقة لبيان تعميم الموضوع، لا خصوص الصَّلاة من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الحنوط في موضع التحنيط، فهو أيضاً كسائر الأحكام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غير موضعه، فالأظهر عدم الوجوب، وفاقاً لجماعة من الأساطين كالشهيدين</w:t>
      </w:r>
      <w:r>
        <w:rPr>
          <w:rStyle w:val="FootnoteAnchor"/>
          <w:rtl w:val="true"/>
        </w:rPr>
        <w:footnoteReference w:id="277"/>
      </w:r>
      <w:r>
        <w:rPr>
          <w:rFonts w:ascii="Amiri" w:hAnsi="Amiri" w:eastAsia="Amiri" w:cs="Amiri"/>
          <w:color w:val="111111"/>
          <w:sz w:val="28"/>
          <w:sz w:val="28"/>
          <w:szCs w:val="28"/>
          <w:rtl w:val="true"/>
          <w:lang w:bidi="ar-SA"/>
        </w:rPr>
        <w:t>والمحقّق الثاني</w:t>
      </w:r>
      <w:r>
        <w:rPr>
          <w:rStyle w:val="FootnoteAnchor"/>
          <w:rtl w:val="true"/>
        </w:rPr>
        <w:footnoteReference w:id="278"/>
      </w:r>
      <w:r>
        <w:rPr>
          <w:rFonts w:ascii="Amiri" w:hAnsi="Amiri" w:eastAsia="Amiri" w:cs="Amiri"/>
          <w:color w:val="111111"/>
          <w:sz w:val="28"/>
          <w:sz w:val="28"/>
          <w:szCs w:val="28"/>
          <w:rtl w:val="true"/>
          <w:lang w:bidi="ar-SA"/>
        </w:rPr>
        <w:t>والشيخ الأعظم</w:t>
      </w:r>
      <w:r>
        <w:rPr>
          <w:rStyle w:val="FootnoteAnchor"/>
          <w:rtl w:val="true"/>
        </w:rPr>
        <w:footnoteReference w:id="279"/>
      </w:r>
      <w:r>
        <w:rPr>
          <w:rFonts w:ascii="Amiri" w:hAnsi="Amiri" w:eastAsia="Amiri" w:cs="Amiri"/>
          <w:color w:val="111111"/>
          <w:sz w:val="28"/>
          <w:sz w:val="28"/>
          <w:szCs w:val="28"/>
          <w:rtl w:val="true"/>
          <w:lang w:bidi="ar-SA"/>
        </w:rPr>
        <w:t>وغيرهم للأصل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والأدلّة المتقدّمة لا تدلّ إلّاعلى وجوبه في موضع الحنوط، وكذلك إطلاق الفتاوي بكونه كالميّت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ذكرنا عدم وجوب تكفينه في ثلاث قطع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الصّدر</w:t>
      </w:r>
      <w:r>
        <w:rPr>
          <w:rFonts w:eastAsia="Amiri" w:cs="Amiri" w:ascii="Amiri" w:hAnsi="Amiri"/>
          <w:color w:val="111111"/>
          <w:sz w:val="28"/>
          <w:szCs w:val="28"/>
          <w:rtl w:val="true"/>
          <w:lang w:bidi="ar-SA"/>
        </w:rPr>
        <w:t>.</w:t>
      </w:r>
      <w:bookmarkStart w:id="93" w:name="pg11797_256445"/>
    </w:p>
    <w:p>
      <w:pPr>
        <w:pStyle w:val="BookText"/>
        <w:rPr/>
      </w:pPr>
      <w:bookmarkEnd w:id="93"/>
      <w:r>
        <w:rPr>
          <w:rFonts w:ascii="Amiri" w:hAnsi="Amiri" w:eastAsia="Amiri" w:cs="Amiri"/>
          <w:color w:val="111111"/>
          <w:sz w:val="28"/>
          <w:sz w:val="28"/>
          <w:szCs w:val="28"/>
          <w:rtl w:val="true"/>
          <w:lang w:bidi="ar-SA"/>
        </w:rPr>
        <w:t>وغيره إنْ كان فيه عَظمٌ غُسِّل</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10390968_73709187"/>
      <w:bookmarkStart w:id="95" w:name="_Toc35"/>
      <w:bookmarkEnd w:id="94"/>
      <w:r>
        <w:rPr>
          <w:rtl w:val="true"/>
        </w:rPr>
        <w:t>حكم غير الصّدر</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الصدر،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فيه عَظْمٌ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فيه بين علمائنا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وبقاعدة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وبمرسل أيّوب بن نوح، عن بعض أصحابنا،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قطع من الرّجل قطعةً فهي ميتة، فإذا مسّه إنسانٌ فكلّما كان فيه عظمٌ‌، فقد وجبَ على من يمسّه الغُسل، وإنْ لم يكن فيه عَظْمٌ فلا غُسل عليه</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بتقريبين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جعلها ميتة، ترتّب جميع أحكامها، حتّى وجوب التغسيل، وتفريع غُسل مسّ الميّت عليه، لو لم يدلّ على التيمّم، لا ريب في عدم دلالته على الاختصاص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غُسل مسّ الميّت، ملازمٌ لثبوت التغسيل، كما نسبه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إلى ظاهر الأخبار والأصحاب، ومورده وإنْ كان الحَيّ‌، إلّاأنّه يتعدّى إلى الميّت للأولويّة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يأكله السَّبع أو الطير، فتبقى عظامه بغير لحم‌؟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ويُكفّن ويُصلّى عليه ويُدفن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صدق العظام على التامّة والناقصة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تضمّن تغسيل أهل مكّة يد عبد الرحمن بن عتّاب الّتي خطفها طائر من معركة الجمل وألقاها بمكّة وعرفوها من نقش خاتمه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وبفحوى صحيح محمّد بن مسلم، عن مولانا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قتيلٌ فلم يوجد إلّالحم بلا عظم، لم يُصلّ عليه، فإنْ وجد عظم بلا لحم صُلِّي عليه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المستفاد من مجموع الأدلّة، لاسيّما النصوص المتضمّنة لبيان علّة وجوب التغسيل، بأنّه تطهير جسد الميّت، من كون المقصود بالغُسل ليماسّ الملائكة ويماسّونه، لا حصول أمر معنوي لا نتعقّله، وذلك لأنّ الشارع أوجب غَسل جميع الأجزاء مطلقاً، واعتبر في صحّته اُموراً تعبّديّة، يجب التقييد بها بالقدر الثابت، وحيثُ لم يثبت الاشتراط في مثل الفرض، كي يسقط التكليف بالتعذّر، فلا يرفع اليد عمّا يقتضيه إطلاق مطلوبيّة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أشرنا إليه غير مرّة من عدم جريان الاستصحاب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كونها حجّة في أمثال المقام، ممّا تعذّر امتثال الأمر بالمركّب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يرد على التقريب الأوّل أنّ مجرّد صدق الميتة لا يكفي في وجوب الغُسل، لعدم الدليل على وجوب تغسيل كلّ ما يصدق عليه أنّه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 أن يكون المراد به كونه ميتة حُكماً، أو يكون كونه ميتة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يدلّ على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دليل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بيان الشارع للفرد الحقيقي الخفيّ‌، لا محالة يكون بلحاظ ثبوت الحكم الثابت للفرد الجَليّ له، وإلّا فليس بيان ذلك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يتمّ بالنسبة إلى الأحكام الثابتة للميتة مطلقاً كالنجاسة، لا ما ثبت لقسمٍ خاص، فتدبّر، فإنّ التفريع يدلّ على كون التنزيل أو بيان الفرد الخفيّ بلحاظ جميع أحكام ميتة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الملازمة المذكورة، بحيث يصحّ الاستدلال لإثبات كلّ منهما بثبوت الآخر، فإنّه مضافاً إلى عدم الإجماع عليه، الظاهر كون مدركهم في الحكم بثبوت كلا الحكمين في الفرض بعض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أنّه ضعيفٌ للإرسال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انجبار ضعفه بالعمل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استناد الأصحاب إليه في هذا الحكم، بل الظاهر هو العدم، ويؤيّده عدم الإفتاء بما تضمّنه في مورده وهو الحَيّ‌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العظم ممنوعٌ‌، كما لا يخفى، بل ظاهرها إرادة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تغسيل أهل مكّة يد عبد الرحمن، فإنّه 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للمنع عنه مجالاً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عملٌ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محمّد بن مسلم، فالظاهر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هو عظمه المطلق لامطلق عظمه، ولا أقلّ من لزوم حمله عليه، بشهادة النصّ والإجماع على عدم وجوب الصَّلاة على مطلق 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فلأنّه مضافاً إلى عدم ثبوت كون حكمة وجوب التغسيل ذلك، بل جملةٌ من النصوص تدلّ على أنّ حكمته رفع الجنابة الحاصلة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لا يدور الحكم مدارها، والظاهر من الأدلّة ثبوت تكليف واحدٍ بمجموع ما يعتبر في التغسيل، فلو تعذّر الإتيان بالجميع، فإنّ ثبوت وجوب البقيّة يحتاج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فالإفتاء بالوجوب مشكلٌ‌، كما اعترف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الإفتاء بالعدم، مع ذهاب الأساطين والمحقّقين إلى الوجوب، فالاحتياط طريق النجاة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يظهر حكم القطعة المنفصلة عن الحَيّ‌، إذ لا مدرك لوجوب تغسيلها، إلّابعض ما تقدّم، الذي عرفت ما في جميعها، وحيث لم يفتِ الجميع بالوجوب فيها، فالأظهر هو العدم،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وكُفّن ودُفِن،</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كلّه انقدح مدرك ما ذكره الأصحاب، من أنّه بعد أن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كُفِّن ودُفِن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اختلفت عباراتهم بالنسبة إلى الأوّل، فإنّ جماعة عبّروا بأنّه يُلفَ في خرقةٍ‌</w:t>
      </w:r>
      <w:r>
        <w:rPr>
          <w:rStyle w:val="FootnoteAnchor"/>
          <w:rtl w:val="true"/>
        </w:rPr>
        <w:footnoteReference w:id="295"/>
      </w:r>
      <w:r>
        <w:rPr>
          <w:rFonts w:ascii="Amiri" w:hAnsi="Amiri" w:eastAsia="Amiri" w:cs="Amiri"/>
          <w:color w:val="111111"/>
          <w:sz w:val="28"/>
          <w:sz w:val="28"/>
          <w:szCs w:val="28"/>
          <w:rtl w:val="true"/>
          <w:lang w:bidi="ar-SA"/>
        </w:rPr>
        <w:t>، وحيثُ عرفتَ عدم دلالة النصوص المتقدّمة على الوجوب، وانحصار المدرك بالإجماع، والقدر المتيقّن منه اللّف في خرقةٍ‌، فيقتصر عليه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96" w:name="pg11797_256455"/>
    </w:p>
    <w:p>
      <w:pPr>
        <w:pStyle w:val="BookText"/>
        <w:rPr/>
      </w:pPr>
      <w:bookmarkEnd w:id="96"/>
      <w:r>
        <w:rPr>
          <w:rFonts w:ascii="Amiri" w:hAnsi="Amiri" w:eastAsia="Amiri" w:cs="Amiri"/>
          <w:color w:val="111111"/>
          <w:sz w:val="28"/>
          <w:sz w:val="28"/>
          <w:szCs w:val="28"/>
          <w:rtl w:val="true"/>
          <w:lang w:bidi="ar-SA"/>
        </w:rPr>
        <w:t>وكذا السِّقط لأربعة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دُفن بعد لفّه في خِرقة، وكذا السِّقط لدون أربعة أشهر</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10390970_73709187"/>
      <w:bookmarkStart w:id="98" w:name="_Toc36"/>
      <w:bookmarkEnd w:id="97"/>
      <w:r>
        <w:rPr>
          <w:rtl w:val="true"/>
        </w:rPr>
        <w:t>في حكم السِّقط وبعض الميّت</w:t>
      </w:r>
      <w:bookmarkEnd w:id="98"/>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السِّقط لأربعة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ويُكفّن ويُدفن، كما تقدّم في مبحث التغسيل</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وُجِد بعض الميّت، ولم يكن فيه 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بعد لفّه في 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تغسيله كما هو المشهور في اللّف</w:t>
      </w:r>
      <w:r>
        <w:rPr>
          <w:rStyle w:val="FootnoteAnchor"/>
          <w:rtl w:val="true"/>
        </w:rPr>
        <w:footnoteReference w:id="297"/>
      </w:r>
      <w:r>
        <w:rPr>
          <w:rFonts w:ascii="Amiri" w:hAnsi="Amiri" w:eastAsia="Amiri" w:cs="Amiri"/>
          <w:color w:val="111111"/>
          <w:sz w:val="28"/>
          <w:sz w:val="28"/>
          <w:szCs w:val="28"/>
          <w:rtl w:val="true"/>
          <w:lang w:bidi="ar-SA"/>
        </w:rPr>
        <w:t>، وإجماعٌ في الدفن</w:t>
      </w:r>
      <w:r>
        <w:rPr>
          <w:rStyle w:val="FootnoteAnchor"/>
          <w:rtl w:val="true"/>
        </w:rPr>
        <w:footnoteReference w:id="298"/>
      </w:r>
      <w:r>
        <w:rPr>
          <w:rFonts w:ascii="Amiri" w:hAnsi="Amiri" w:eastAsia="Amiri" w:cs="Amiri"/>
          <w:color w:val="111111"/>
          <w:sz w:val="28"/>
          <w:sz w:val="28"/>
          <w:szCs w:val="28"/>
          <w:rtl w:val="true"/>
          <w:lang w:bidi="ar-SA"/>
        </w:rPr>
        <w:t>، وعدم وجوب الغُسل، وهو الحجّة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يدلّ على وجوب الدفن جملةٌ من النصوص المتضمّنة للأمر بدفن كلّ عضوٍ، وإن لم يكن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عدم وجوب الغُسل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اللّف في الخِرقة، فحيثُ لا دليل على وجوبه، ولم يثبت إجماعٌ على اختيار المحقّق وغيره فالحقّ العدم</w:t>
      </w:r>
      <w:r>
        <w:rPr>
          <w:rStyle w:val="FootnoteAnchor"/>
          <w:rtl w:val="true"/>
        </w:rPr>
        <w:footnoteReference w:id="299"/>
      </w:r>
      <w:r>
        <w:rPr>
          <w:rFonts w:ascii="Amiri" w:hAnsi="Amiri" w:eastAsia="Amiri" w:cs="Amiri"/>
          <w:color w:val="111111"/>
          <w:sz w:val="28"/>
          <w:sz w:val="28"/>
          <w:szCs w:val="28"/>
          <w:rtl w:val="true"/>
          <w:lang w:bidi="ar-SA"/>
        </w:rPr>
        <w:t>، وعليه فالأظهر عدم وجوبه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السّقط لدون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بعدما يُلفّ في خِرقةٍ على الأحوط، كما تقدّم تفصيل ذلك أيضاً في مبحث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بعض الميّت، وكان عَظْماً مجرّداً، فهل يُلحق بما إذا وُجِد عضوٌ مشتملٌ على العظم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 جماعة كالإسكافي</w:t>
      </w:r>
      <w:r>
        <w:rPr>
          <w:rStyle w:val="FootnoteAnchor"/>
          <w:rtl w:val="true"/>
        </w:rPr>
        <w:footnoteReference w:id="300"/>
      </w:r>
      <w:r>
        <w:rPr>
          <w:rFonts w:ascii="Amiri" w:hAnsi="Amiri" w:eastAsia="Amiri" w:cs="Amiri"/>
          <w:color w:val="111111"/>
          <w:sz w:val="28"/>
          <w:sz w:val="28"/>
          <w:szCs w:val="28"/>
          <w:rtl w:val="true"/>
          <w:lang w:bidi="ar-SA"/>
        </w:rPr>
        <w:t>والشهيد</w:t>
      </w:r>
      <w:r>
        <w:rPr>
          <w:rStyle w:val="FootnoteAnchor"/>
          <w:rtl w:val="true"/>
        </w:rPr>
        <w:footnoteReference w:id="301"/>
      </w:r>
      <w:r>
        <w:rPr>
          <w:rFonts w:ascii="Amiri" w:hAnsi="Amiri" w:eastAsia="Amiri" w:cs="Amiri"/>
          <w:color w:val="111111"/>
          <w:sz w:val="28"/>
          <w:sz w:val="28"/>
          <w:szCs w:val="28"/>
          <w:rtl w:val="true"/>
          <w:lang w:bidi="ar-SA"/>
        </w:rPr>
        <w:t>والمحقّق، هو القول الثاني</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آخرين</w:t>
      </w:r>
      <w:r>
        <w:rPr>
          <w:rStyle w:val="FootnoteAnchor"/>
          <w:rtl w:val="true"/>
        </w:rPr>
        <w:footnoteReference w:id="303"/>
      </w:r>
      <w:r>
        <w:rPr>
          <w:rFonts w:ascii="Amiri" w:hAnsi="Amiri" w:eastAsia="Amiri" w:cs="Amiri"/>
          <w:color w:val="111111"/>
          <w:sz w:val="28"/>
          <w:sz w:val="28"/>
          <w:szCs w:val="28"/>
          <w:rtl w:val="true"/>
          <w:lang w:bidi="ar-SA"/>
        </w:rPr>
        <w:t>حيث اقتصروا في مقابل القطعة ذات العظم على اللّحم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جماعةٍ العدم، وقوّاه الشيخ الأعظم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المدرك لوجوب التغسيل وغيره من الآثار في القطعة ذات العظم، هو ما تضمّن تغسيل أهل مكّة يَد عبد الرحمن، أو ما ذُكر أخيراً، فالأظهر في المقام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الوجوه، فهي تدلّ على الوجوب في المقام أيضاً، كما لا يخفى على المتدبّر، ولأجل ذلك لا يُترك الاحتياط</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99" w:name="pg11797_256460"/>
    </w:p>
    <w:p>
      <w:pPr>
        <w:pStyle w:val="BookText"/>
        <w:rPr/>
      </w:pPr>
      <w:bookmarkEnd w:id="99"/>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الكفن من أصل التركة، قبل الدِّيون والوصايا</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10390972_73709187"/>
      <w:bookmarkStart w:id="101" w:name="_Toc37"/>
      <w:bookmarkEnd w:id="100"/>
      <w:r>
        <w:rPr>
          <w:rtl w:val="true"/>
        </w:rPr>
        <w:t>في أخذ الكَفن من أصل التركة</w:t>
      </w:r>
      <w:bookmarkEnd w:id="101"/>
    </w:p>
    <w:p>
      <w:pPr>
        <w:pStyle w:val="Heading6"/>
        <w:numPr>
          <w:ilvl w:val="5"/>
          <w:numId w:val="1"/>
        </w:numPr>
        <w:rPr/>
      </w:pPr>
      <w:bookmarkStart w:id="102" w:name="__RefHeading___Toc10390974_73709187"/>
      <w:bookmarkStart w:id="103" w:name="_Toc38"/>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الكفن من أصل التركة قبل الدِّيون والوصايا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جماعةٍ‌</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لهما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مات وعليه دَينٌ بقدر ثمن كفنه‌؟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 ترك في ثمن كفنه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شيء يُبدأ به من المال الكفن، ثمّ الدَّين، ثمّ الميراث</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بضميمة ما دلَّ على تأخّر الوصيّة عن الدَّين، يدلّان على تأخّر الوصيّة عن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تركة الميّت متعلّقاً لحقّ الغير،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الكفن عليه مطلقاً، وهو الظاهر من كلمات أكثر الأصحاب</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تقديمه على الكفن كذلك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الحقوق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حقّ الجناية عليه، وتقديمه على سائر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وحواشي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 الحاوي</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المرتهن والمجنيّ عليه يُقدّمان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المرتهن بخلاف غُرماء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تقديم الكفن على جميع الحقوق، عدا حقّ الجناية، وتقديمه على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تقدّم الكفن على الدَّين مطلقاً هو ذلك، إذ تلك الحقوق إنّما تتعلّق بالشيء في صورة وجوب أداء الدَّين 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بالنسبة إلى غُرماء المفلّس، ولا يتمّ في المرتهن، إذ ثبوت الحقّ يدور مدار نفس الدَّين، إذ العين تكون رهناً عليه، وحيثُ أنّ تقديم الكفن لا يوجب سقوط الدَّين، فما دلَّ على الابتداء بالكفن يعارض مع ما دلَّ على ثبوت الحقّ على نحو تعارض العامين من وجه، فيرجع بعد تساقط الإطلاقين إلى استصحاب بقاء الحقّ‌، فيُقدّم على الكفن، لحرمة التصرّف في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الراهن ليس له التصرّف في العين، من جهة أنّ للمرتهن استيفاء حقّه من العين في صورة وجوب أداء الدَّين، وامتناع المالك منه، فإذا دلّ الدليل على عدم وجوبه، وتعيّن صرف العين في الكفن، فلا محالة يسقط حقّ المرتهن من العين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حقّ الجناية إنّما يتعلّق بالعين، وليس متفرِّعاً على ثبوت الدَّين، كي يجري فيه ما سبق، ودليل وجوب الكفن لا يصلح للترخيص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التصرّف في حقّ الغير وملكه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أنّ قوله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شيء يُبدأ به من المال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بإطلاقه على تقديم الكفن على حقّ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يصلح للمزاحمة مع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أمكن البيع مع بقاء الحقّ‌، لا يكون حقّ الجناية مانعاً عن بيع ماله وصرفه في الكفن، كما لا يخفى‌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04" w:name="pg11797_256466"/>
    </w:p>
    <w:p>
      <w:pPr>
        <w:pStyle w:val="Heading6"/>
        <w:numPr>
          <w:ilvl w:val="5"/>
          <w:numId w:val="1"/>
        </w:numPr>
        <w:rPr/>
      </w:pPr>
      <w:bookmarkStart w:id="105" w:name="__RefHeading___Toc10390976_73709187"/>
      <w:bookmarkStart w:id="106" w:name="_Toc39"/>
      <w:bookmarkEnd w:id="104"/>
      <w:bookmarkEnd w:id="105"/>
      <w:r>
        <w:rPr>
          <w:rtl w:val="true"/>
        </w:rPr>
        <w:t>إذا لم يكن للميّت كفنٌ‌</w:t>
      </w:r>
      <w:bookmarkEnd w:id="106"/>
    </w:p>
    <w:p>
      <w:pPr>
        <w:pStyle w:val="BookText"/>
        <w:rPr/>
      </w:pPr>
      <w:r>
        <w:rPr>
          <w:rFonts w:ascii="Amiri" w:hAnsi="Amiri" w:eastAsia="Amiri" w:cs="Amiri"/>
          <w:color w:val="111111"/>
          <w:sz w:val="28"/>
          <w:sz w:val="28"/>
          <w:szCs w:val="28"/>
          <w:rtl w:val="true"/>
          <w:lang w:bidi="ar-SA"/>
        </w:rPr>
        <w:t xml:space="preserve">إذا لم يكن للميّت تركةٌ بمقدار الكفن، فلا خلاف ظاهراً في عدم وجوب تكفينه على المسلمين،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عن غير واحدٍ</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يُستشهد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بعد عدم الدليل على الوجوب، إذ ما يتوهّم أن يكون دالّاً على الوجوب، ليس إلّاإطلاق ما دلَّ على وجوب الكفن، بدعوى أنّه يقتضي وجوب مقدّماته، ومن جملتها بذل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توهّمٌ فاسد، لأنّه مضافاً إلى عدم وجود مطلق دالّ عليه، فإنّ النصوص التي يُستفاد منها الوجوب كلّها واردة في مقام بيان حكمٍ آخر، فلا إطلاق لها من هذه الجهة، حيث أنّ إطلاقها لو ثبت إنّما هو مَسوقٌ لبيان وجوب نفس العمل في الكفن المفروض وجوده، ولذا لم يتوهّم أحدٌ التنافي بين تلك الأدلّة، مع ما دلَّ على تعيّن شراءه من ماله أو من مال الزوج ونحوه، كما أنّ الفقهاء لم يتصدّوا لوجه الجمع بين الأدلّة من هذه الجهة، وهذا يكشف عن أنّ المستفاد من النصوص بحسب المتفاهم العرفي ليس إلّاما ذكرناه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تعيين مأخذ الكفن مع كثرة إمكان أخذه من ذلك المأخذ، وعدم التصريح بأنّه عند فقد ذلك المأخذ يجبُ بذله على عامّة المسلمين، دليلٌ على عدم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سعد بن طريف، عن إمامنا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كفّن مؤمناً كان كمَن ضَمن كسوته إلى يوم القيامة</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محبوب، عن الفضل بن يونس الكاتب،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عن رجلٍ من أصحابنا ماتَ‌، ولم يترك ما يكفّن به، أشتري له كفنه من الزكاة‌؟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 عياله من الزّكاة قدر ما يجهّزونه، فيكونون هم الذين يجهّزونه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ولدٌ ولا مَنْ يقوم بأمره، فاُجهّزه أنا من الزّكاة‌؟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بدن الميّت ميّتاً كحرمته حيّاً، فوار بدنه وعورته، وكفّنه وحنّطه، واحتسب بذلك من الزّكاة، وشيّع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اتّجر عليه بعض اخوانه بكفنٍ آخر، وكان عليه دَينٌ أيُكفّن بواحدٍ، ويُقضى دينه بالآخر؟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هذا ميراثاً، إنّما هذا شيءٌ صار إليه بعد وفاته، فليكفّنوه بالذي اتّجر عليه، ويكون الآخر لهم يُصلحون به شأنهم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الأخير يدلّ على جواز تجهيزه وتكفينه من الزكاة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جماعةٍ كالمنتهى</w:t>
      </w:r>
      <w:r>
        <w:rPr>
          <w:rStyle w:val="FootnoteAnchor"/>
          <w:rtl w:val="true"/>
        </w:rPr>
        <w:footnoteReference w:id="3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بوجوبه للأمر به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به لوروده مورد توهّم الحظر، وللاستدلال بقول أبيه عليه السلام، بضميمة عدم وجوب كسوة الحَيّ‌، لا يُحمل على الوجوب، كما أنّ الأمر بإعطاء عياله ليجهّزوه محمولٌ على الفضل، لعدم القول بوجوبه، ولعدم تعيّن صرفه في تجهيزه بعد انتقال الزكاة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الزوجة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7" w:name="pg11797_256473"/>
    </w:p>
    <w:p>
      <w:pPr>
        <w:pStyle w:val="BookText"/>
        <w:rPr/>
      </w:pPr>
      <w:bookmarkEnd w:id="107"/>
      <w:r>
        <w:rPr>
          <w:rFonts w:ascii="Amiri" w:hAnsi="Amiri" w:eastAsia="Amiri" w:cs="Amiri"/>
          <w:color w:val="111111"/>
          <w:sz w:val="28"/>
          <w:sz w:val="28"/>
          <w:szCs w:val="28"/>
          <w:rtl w:val="true"/>
          <w:lang w:bidi="ar-SA"/>
        </w:rPr>
        <w:t>وَكَفَنُ المرأة على زوجها، وإنْ كانَتْ موسِرةً‌</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10390978_73709187"/>
      <w:bookmarkStart w:id="109" w:name="_Toc40"/>
      <w:bookmarkEnd w:id="108"/>
      <w:r>
        <w:rPr>
          <w:rtl w:val="true"/>
        </w:rPr>
        <w:t>كفن الزوجة على زوجها</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كفن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محقّقاً في الجملة</w:t>
      </w:r>
      <w:r>
        <w:rPr>
          <w:rStyle w:val="FootnoteAnchor"/>
          <w:rtl w:val="true"/>
        </w:rPr>
        <w:footnoteReference w:id="323"/>
      </w:r>
      <w:r>
        <w:rPr>
          <w:rFonts w:ascii="Amiri" w:hAnsi="Amiri" w:eastAsia="Amiri" w:cs="Amiri"/>
          <w:color w:val="111111"/>
          <w:sz w:val="28"/>
          <w:sz w:val="28"/>
          <w:szCs w:val="28"/>
          <w:rtl w:val="true"/>
          <w:lang w:bidi="ar-SA"/>
        </w:rPr>
        <w:t xml:space="preserve">، ومحكياً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موسِرةً‌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عليه فتوى الأصحاب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 وعند علمائنا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السكوني، عن جعفر، عن أبيه عليهما السلام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الزّوج كفن امرأته إذا ماتت</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 المرأة على زوجها</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جعله جماعة تبعاً 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هذا المرسل من تتمّة صحيح ابن سنان المرويّ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الكفن من جميع المال</w:t>
      </w:r>
      <w:r>
        <w:rPr>
          <w:rStyle w:val="FootnoteAnchor"/>
          <w:rtl w:val="true"/>
        </w:rPr>
        <w:footnoteReference w:id="336"/>
      </w:r>
      <w:r>
        <w:rPr>
          <w:rFonts w:ascii="Amiri" w:hAnsi="Amiri" w:eastAsia="Amiri" w:cs="Amiri"/>
          <w:color w:val="111111"/>
          <w:sz w:val="28"/>
          <w:sz w:val="28"/>
          <w:szCs w:val="28"/>
          <w:rtl w:val="true"/>
          <w:lang w:bidi="ar-SA"/>
        </w:rPr>
        <w:t>،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المرأة على زوجها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غير ثابتٍ‌، لا سيّما أنّه قد روى الصحيح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خالياً عن هذه التتمّة، وملاحظة المتعارف من عادة الصدوق رحمه الله، وعدم استدلال أحدٍ من الفقهاء به إلى زمان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 الخبرين المنجبر ضعفهما بالعمل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الاستدلال له بأنّه من الإنفاق الواجب على الزوج، لبقاء الزوجيّة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 أدلّة الإنفاق له، لو سُلّم صدق الإنفاق عليه، ولعلّه لذلك بنى الفقهاء على عدم وجوب كفن سائر من تجب نفقته، لا للإجماع حتّى يقال إنّه الفارق بين البابين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من النقض عليه بغيرها ممّن يجب إنفاقه في محلّه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فالعمدة الخبران، ومقتضى إطلاقهما عدم الفرق بين كونها مُعسرة أو موسرة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يسارها، يقع التعارض بين إطلاق الخبرين، وإطلاق ما دلَّ على أنّ الكفن من جميع المال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غلبة وجود قيمة الكفن، وكون الزوجيّة من العناوين الثانويّة، توجبان قوّة ظهور الخبرين في إرادة كون كفنها على الزوج، حتّى مع يسارها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إطلاقهما، عدم الفرق بين الصغيرة والكبيرة، والمجنونة والعاقلة، والدائمة والمتمتّع بها، والمدخول بها وغيرها، والمطيعة والناشزة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إنصراف الإطلاق إلى الدائمة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الأدلّة، عدم الفرق في الزوج بين كونه صغيراً أو كبيراً، عاقلاً أو 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لعدم ثبوته على الصغير والمجنون، بحديث رفع القلم عنهما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سديدٍ، لما حقّقناه في محلّه في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من عدم شمول الحديث لباب الضمانات والتعزيرات والجناية والحيازة، ونحوها كما هو المشهور بين الأصحاب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0" w:name="pg11797_256479"/>
    </w:p>
    <w:p>
      <w:pPr>
        <w:pStyle w:val="Heading6"/>
        <w:numPr>
          <w:ilvl w:val="5"/>
          <w:numId w:val="1"/>
        </w:numPr>
        <w:rPr/>
      </w:pPr>
      <w:bookmarkStart w:id="111" w:name="__RefHeading___Toc10390980_73709187"/>
      <w:bookmarkStart w:id="112" w:name="_Toc41"/>
      <w:bookmarkEnd w:id="110"/>
      <w:bookmarkEnd w:id="111"/>
      <w:r>
        <w:rPr>
          <w:rtl w:val="true"/>
        </w:rPr>
        <w:t>شروط كون الكفن على الزَّوج</w:t>
      </w:r>
      <w:bookmarkEnd w:id="11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تنبيهات يقتضي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يعتبر في كون الكفن على الزَّوج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والحكم مختصٌّ بالزّوج الموسر فيما قطع به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واحتمل شموله للمُعْسِر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النصّ‌، ومقتضاه أنّه لو كان مُعْسِراً يقع التزاحم بينه وبين ما دلَّ على وجوب بذل نفقة واجبي النفقة، وما يجب عليه إبقائه من داره وثيابه ونحو ذلك، ولازم ذلك وجوب الاستقراض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جماعةٌ من المتأخّرين عنه</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إطلاقه يقتضي ثبوته في الذمّة، وعليه فمادلّ على‌عدم لزوم بيع مستثنيات الدّين، كمصحّح الحلبي، الوارد فيه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تُباع الدار في الدَّين، ولا الخادم، وذلك لأنّه لابدّ للرَّجل من ظلٍّ يسكنه وخادمٍ‌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ونحوه غيره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عدم مزاحمة كفن الزوجة، مع ما هو من ضروريّات معاش الرّجل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ذلك من الدّين، ولذا لا ينتقل إلى الوارث، وليس لهم المطالبة به بعد تكفينها من مالها ودفنها، بل الظاهر من الأدلّة كونه من قبيل الإنفاق على الأقارب، الذي يكون الخطاب به شرعيّاً لا ذميّاً، فيكون الواجب كسوتها بالكفن لا تمليكه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فلا تصلح تلك النصوص للدلالة على تقدّم ما هو من ضروريّات المعاش عليه، بل مقتضى إطلاق دليله ثبوته مطلقاً، ووجوب الاستقراض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واستفادة عدم مزاحمة مثل هذا الحقّ‌، مع ما هو من ضروريّات معاش الرّجل من مثل المصحّح المتقدّم، تحتاج إلى لطف قريحةٍ‌، وإلّا فالجمود على ظاهره يأبى عن هذه 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جماعةٌ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تعذّر الكفن ولو بالاستقراض، أو كان حَرَجيّاً سقط وجوب بذله،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فرض سقوطه مع الإعسار مطلقاً، أو فيما إذا كان حَرَجيّاً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تُدفن الزوجة عارية‌؟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يؤخذ من بيت المال، لتصبح كفاقد الكفن، كما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يؤخذ الكفن من تركتها لها، كما هو المشهور،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الخلاف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خرجت الزوجة عن عموم ما دلَّ على أخذ الكفن من التركة، وسقوط الخطاب المتوجّه إلى الزوج عن كفنها، لايقضي بالانتقال إلي تركتها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عدم شمول ما دلَّ على كون كفنها على الزّوج، لا مخرج لها عن عموم ما دلَّ على أنّ الكفن يؤخذ من التركة، فعموم ما دلَّ على أنّه في جميع المال هو المحكّم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يتعلّق بأموال الزوج حقّ الغير من رهنٍ أو حَجْرٍ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المنع الشرعي كالمنع العقلي، فهو كالمُعْسِر الذي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من عدم سقوطه عنه مع الإعسار إلّاإذا تعذّر أو كان حَرَجيّاً، لا وجه لسقوطه بتعلّق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السقوط، كما هو المشهور، فاشتراط هذا الشرط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350"/>
      </w:r>
      <w:r>
        <w:rPr>
          <w:rFonts w:ascii="Amiri" w:hAnsi="Amiri" w:eastAsia="Amiri" w:cs="Amiri"/>
          <w:color w:val="111111"/>
          <w:sz w:val="28"/>
          <w:sz w:val="28"/>
          <w:szCs w:val="28"/>
          <w:rtl w:val="true"/>
          <w:lang w:bidi="ar-SA"/>
        </w:rPr>
        <w:t xml:space="preserve">أنّ المستفاد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الكفن على حقّ الرهانة وحقّ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يتمّ في أخذ الكفن من تركة الميّت، لا في أخذه من مال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تعيينها الكفن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ما دلَّ على وجوب العمل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الدليل لا ينافي الخطاب المتوجّه إلى الزوج في فرض عدم العمل، فلا وجه لسقوطه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العمل بها يسقط لارتفاع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تقارن موتهما، وإلّا فيسقط كفنها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وجماعة من المتأخّرين عنه كالمقداد</w:t>
      </w:r>
      <w:r>
        <w:rPr>
          <w:rStyle w:val="FootnoteAnchor"/>
          <w:rtl w:val="true"/>
        </w:rPr>
        <w:footnoteReference w:id="352"/>
      </w:r>
      <w:r>
        <w:rPr>
          <w:rFonts w:ascii="Amiri" w:hAnsi="Amiri" w:eastAsia="Amiri" w:cs="Amiri"/>
          <w:color w:val="111111"/>
          <w:sz w:val="28"/>
          <w:sz w:val="28"/>
          <w:szCs w:val="28"/>
          <w:rtl w:val="true"/>
          <w:lang w:bidi="ar-SA"/>
        </w:rPr>
        <w:t>، والشهيد</w:t>
      </w:r>
      <w:r>
        <w:rPr>
          <w:rStyle w:val="FootnoteAnchor"/>
          <w:rtl w:val="true"/>
        </w:rPr>
        <w:footnoteReference w:id="353"/>
      </w:r>
      <w:r>
        <w:rPr>
          <w:rFonts w:ascii="Amiri" w:hAnsi="Amiri" w:eastAsia="Amiri" w:cs="Amiri"/>
          <w:color w:val="111111"/>
          <w:sz w:val="28"/>
          <w:sz w:val="28"/>
          <w:szCs w:val="28"/>
          <w:rtl w:val="true"/>
          <w:lang w:bidi="ar-SA"/>
        </w:rPr>
        <w:t>والمحقّق</w:t>
      </w:r>
      <w:r>
        <w:rPr>
          <w:rStyle w:val="FootnoteAnchor"/>
          <w:rtl w:val="true"/>
        </w:rPr>
        <w:footnoteReference w:id="354"/>
      </w:r>
      <w:r>
        <w:rPr>
          <w:rFonts w:ascii="Amiri" w:hAnsi="Amiri" w:eastAsia="Amiri" w:cs="Amiri"/>
          <w:color w:val="111111"/>
          <w:sz w:val="28"/>
          <w:sz w:val="28"/>
          <w:szCs w:val="28"/>
          <w:rtl w:val="true"/>
          <w:lang w:bidi="ar-SA"/>
        </w:rPr>
        <w:t>الثانيين، لظهور الدليل في الزوج الحَيّ‌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الزوج بعد الزوجة، وكان له ما يساوي كفن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يُقدّم عليها مطلقاً، كما صرّح به جماعة</w:t>
      </w:r>
      <w:r>
        <w:rPr>
          <w:rStyle w:val="FootnoteAnchor"/>
          <w:rtl w:val="true"/>
        </w:rPr>
        <w:footnoteReference w:id="35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لا يُقدّم كذلك‌؟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تقدّم عليه لو وضع عليها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احتماله فيما قبل الدفن والجزم به بعده‌؟</w:t>
      </w:r>
    </w:p>
    <w:p>
      <w:pPr>
        <w:pStyle w:val="BookText"/>
        <w:rPr/>
      </w:pPr>
      <w:r>
        <w:rPr>
          <w:rFonts w:ascii="Amiri" w:hAnsi="Amiri" w:eastAsia="Amiri" w:cs="Amiri"/>
          <w:color w:val="111111"/>
          <w:sz w:val="28"/>
          <w:sz w:val="28"/>
          <w:szCs w:val="28"/>
          <w:rtl w:val="true"/>
          <w:lang w:bidi="ar-SA"/>
        </w:rPr>
        <w:t xml:space="preserve">وجوهٌ أقواها الأوّل، إذ حقّ الغير لا يزاحم الكفن كما مرّ، فكون كفن المرأة على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مالكيّة الزوجة للكفن في ذمّة الزوج، أم مالكيّتها عليه أن يكفّنها، كملكها عليه الإسكان في حال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للمزاحمة بعد دلالة الدليل على أنّ الكفن مقدّم على الدَّين والحقّ 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كونها مالكة في ذمّته عين الكفن، والبناء علي انطباق ما في الذمّة على ما كفنت به خارجاً، بحيث لو أراد التبديل لما جاز له ذلك، يتعيّن الالتزام بالوجه الثالث، من غير فرقٍ بين ما قبل الدفن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كلا المبنيين فاسدين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دليل على تعيّن ما في الذمّة بمجرّد التكفين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هو المقطوع به في كلمات الأساطين من جوازالتبديل، دليلٌ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القول الأوّل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غير الزوجة من الأقارب ليس عليه، وإنْ كان ممّن يجب نفقته مطلقاً، سواءٌ أكان للميّت مالٌ أم لم يكن، بلا خلافٍ ظاهرٍ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ظاهر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ومالَ جماعةٌ من محشّي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إلى وجوبه في فرض عدم المال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الدليل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الإنفاق الواجب، وحيثُ أنّه يشترط في وجوب الإنفاق علي غير الزوجة أن لا يكون عنده ما يُغنيه عن أن يكون كَلاً على غيره، فخصَّ جماعةٌ الوجوب بما إذا لم يكن عنده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مرّ أنّ صدق الإنفاق على الكفن يمكن منعه، كما أنّ شمول أدلّة الإنفاق له على فرض صدقه قابلٌ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على فرض تماميّة أركانه، لا يجري، لكونه محكوماً لاستصحاب عدم الجعل كما أشرنا إليه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مطلقاً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بالكفن جماعةٌ من الأصحاب، كالشيخ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 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والشهيدين في جملةٍ من كتبهما</w:t>
      </w:r>
      <w:r>
        <w:rPr>
          <w:rStyle w:val="FootnoteAnchor"/>
          <w:rtl w:val="true"/>
        </w:rPr>
        <w:footnoteReference w:id="363"/>
      </w:r>
      <w:r>
        <w:rPr>
          <w:rFonts w:ascii="Amiri" w:hAnsi="Amiri" w:eastAsia="Amiri" w:cs="Amiri"/>
          <w:color w:val="111111"/>
          <w:sz w:val="28"/>
          <w:sz w:val="28"/>
          <w:szCs w:val="28"/>
          <w:rtl w:val="true"/>
          <w:lang w:bidi="ar-SA"/>
        </w:rPr>
        <w:t xml:space="preserve">، 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وغيرهم في غيرها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مؤونة التجهيز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خلافاً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ذكر الكفن في الخبرين، إنّما هو لكونه أهمّ مؤن التجهيز لا لخصوصيّة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الوجه في الاقتصار على الكفن، فيما دلَّ على خروجه من أصل المال، وأنّه مقدّم على الدَّين، مع أنّه لا خلاف في أنّ سائر مؤن التجهيز تُؤخذ من أصل التركة، وبأنّه من الإنفاق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الأخير ما عرفت آنفاً، وعلى ما قبله أنّ الظاهر من النصّ الاختصاص بالكفن، وأنّ ذكره إنّما يكون لخصوصيّة فيه، لا من باب المثال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توقّف جماعةٌ من متأخّري المتأخّرين</w:t>
      </w:r>
      <w:r>
        <w:rPr>
          <w:rStyle w:val="FootnoteAnchor"/>
          <w:rtl w:val="true"/>
        </w:rPr>
        <w:footnoteReference w:id="366"/>
      </w:r>
      <w:r>
        <w:rPr>
          <w:rFonts w:ascii="Amiri" w:hAnsi="Amiri" w:eastAsia="Amiri" w:cs="Amiri"/>
          <w:color w:val="111111"/>
          <w:sz w:val="28"/>
          <w:sz w:val="28"/>
          <w:szCs w:val="28"/>
          <w:rtl w:val="true"/>
          <w:lang w:bidi="ar-SA"/>
        </w:rPr>
        <w:t>، تبعاً للمحقّق الأردبيلي رحمه الله</w:t>
      </w:r>
      <w:r>
        <w:rPr>
          <w:rStyle w:val="FootnoteAnchor"/>
          <w:rtl w:val="true"/>
        </w:rPr>
        <w:footnoteReference w:id="367"/>
      </w:r>
      <w:r>
        <w:rPr>
          <w:rFonts w:ascii="Amiri" w:hAnsi="Amiri" w:eastAsia="Amiri" w:cs="Amiri"/>
          <w:color w:val="111111"/>
          <w:sz w:val="28"/>
          <w:sz w:val="28"/>
          <w:szCs w:val="28"/>
          <w:rtl w:val="true"/>
          <w:lang w:bidi="ar-SA"/>
        </w:rPr>
        <w:t>في هذا الحكم، وهو في محلّه، بل لولا إفتاء الأصحاب، وما ادّعاه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بعضهم من عدم الفصل بين الكفن وغيره، لكان الأقوى عدم كون ما عدا الكفن على الزوج</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كفّنها الزوج، فسرقه سارق، وجب عليه مرّةً اُخرى‌، إذ مقتضى إطلاق الخبرين أنّ الكفن الواجب على المكلّفين عامّة، وجوباً كفائيّاً، يجب بذله على الزوج</w:t>
      </w:r>
      <w:r>
        <w:rPr>
          <w:rFonts w:eastAsia="Amiri" w:cs="Amiri" w:ascii="Amiri" w:hAnsi="Amiri"/>
          <w:color w:val="111111"/>
          <w:sz w:val="28"/>
          <w:szCs w:val="28"/>
          <w:rtl w:val="true"/>
          <w:lang w:bidi="ar-SA"/>
        </w:rPr>
        <w:t>.</w:t>
      </w:r>
      <w:bookmarkStart w:id="113" w:name="pg11797_256494"/>
    </w:p>
    <w:p>
      <w:pPr>
        <w:pStyle w:val="BookText"/>
        <w:rPr/>
      </w:pPr>
      <w:bookmarkEnd w:id="113"/>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كالحلال إلّافي الكافور فلا يَقربه</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10390982_73709187"/>
      <w:bookmarkStart w:id="115" w:name="_Toc42"/>
      <w:bookmarkEnd w:id="114"/>
      <w:r>
        <w:rPr>
          <w:rtl w:val="true"/>
        </w:rPr>
        <w:t>في حكم الميّت المُحْرِم</w:t>
      </w:r>
      <w:bookmarkEnd w:id="11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كالحلال إلّافي الكافور فلا يَقربه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تحنيطه، ولا وضع الكافور في ماء غُسله، بلا خلافٍ‌، كما عن المصنّف</w:t>
      </w:r>
      <w:r>
        <w:rPr>
          <w:rStyle w:val="FootnoteAnchor"/>
          <w:rtl w:val="true"/>
        </w:rPr>
        <w:footnoteReference w:id="368"/>
      </w:r>
      <w:r>
        <w:rPr>
          <w:rFonts w:ascii="Amiri" w:hAnsi="Amiri" w:eastAsia="Amiri" w:cs="Amiri"/>
          <w:color w:val="111111"/>
          <w:sz w:val="28"/>
          <w:sz w:val="28"/>
          <w:szCs w:val="28"/>
          <w:rtl w:val="true"/>
          <w:lang w:bidi="ar-SA"/>
        </w:rPr>
        <w:t>والمحقّق الثاني</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إذا مات كيف يُصنع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يُغطّى وجهه، ويُصنع به كما يُصنع بالحلال، غير أنّه لا يُقرّبه طيباً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خبره الآخر عن الإمامين الباقر والصادق عليهما السلام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يموت‌؟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ويُكفّن بالثياب كلّها، ويغطّى وجهه، ويُصنع به كما يُصنع بالمُحلّ‌، غير أنّه لا يُمسّ الطيب</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يموت كيف يُصنع به‌؟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بن الحسن عليه السلام ماتَ بالأبواء مع الحُسين عليه السلام وهو </w:t>
      </w:r>
    </w:p>
    <w:p>
      <w:pPr>
        <w:pStyle w:val="BookText"/>
        <w:rPr/>
      </w:pPr>
      <w:r>
        <w:rPr>
          <w:rFonts w:ascii="Amiri" w:hAnsi="Amiri" w:eastAsia="Amiri" w:cs="Amiri"/>
          <w:color w:val="111111"/>
          <w:sz w:val="28"/>
          <w:sz w:val="28"/>
          <w:szCs w:val="28"/>
          <w:rtl w:val="true"/>
          <w:lang w:bidi="ar-SA"/>
        </w:rPr>
        <w:t>مُحْرِمٌ‌، ومع الحسين عليه السلام عبد اللّه بن العبّاس، وعبد اللّه بن جعفر، وصَنَع به كما يُصنع بالميّت، وغَطّى وجهه، ولم يمسّه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كان في كتاب عليٍّ عليه السلام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ومقتضى إطلاقها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الفرق بين الكافور وسائر أنواع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وعدم الفرق بين أقسام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وعدم الفرق بين التحنيط، وجعل الكافور في ماء 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ظهور النصوص في المنع عن التحنيط خاصّة، أو انصرافها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لو تمّ فإنّما هو في بعضها، لا في جميعها، لاحظ صحيح ابن مسلم المتقدّم، وخبر ابن أبي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يموتُ‌، يُغسّل ويُكفّن ويُغطّى وجهه، ولا يحنّط ولا يمسّ شيئاً من الطيب</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ضعف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379"/>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الإجماع على عدم جواز تغسيله بماء الكافور، لأمكن الخدشة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عموم قولهم عليهم السلام في النصوص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ويُصنَعُ به كما يُصنَعُ بالمُحلّ‌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وخصوص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يُغطّى وجهه ورأسه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جواز تغطية وجهه ورأسه، كما هو المشهور على ما نُسب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أبي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والجُعفي</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النهي عن تطييبه، يدلّ على بقائه مُحْرِماً، فيجب ترتيب جميع أحكام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رُوي عن ابن عبّاس،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مات، لا تمسّوه طيباً، ولا تخمّروا رأسه، فإنّه يُحشر يوم القيامة مُلبّياً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مُحْرِماً بعثه اللّه مُلبيّاً</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يُعتمد على إطلاقات أدلّة أحكام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المقيّد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ضعيفُ السند، مع أنّه لا يصلح لمعارضة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يدلّ على كونه مُحْرِماً بعد الموت قبل يوم المحشر، مع أنّه لو دلّ على ذلك، وسَلّمنا أنّ مقتضى الإطلاقات ترتيب أحكام الإحرام بالنسبة إلى هذا المحرم، يتعيّن رفع اليد عنها، للنصوص المصرّح بأنّه يُغطّى وجهه ورأسه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16" w:name="pg11797_256501"/>
    </w:p>
    <w:p>
      <w:pPr>
        <w:pStyle w:val="BookText"/>
        <w:rPr/>
      </w:pPr>
      <w:bookmarkEnd w:id="116"/>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ميّتاً من النّاس بعد برده بالموت، وقبل تطهيره بالغسل</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10390984_73709187"/>
      <w:bookmarkStart w:id="118" w:name="_Toc43"/>
      <w:bookmarkEnd w:id="117"/>
      <w:r>
        <w:rPr>
          <w:rtl w:val="true"/>
        </w:rPr>
        <w:t>وجوب الغُسل بمسّ الميّت</w:t>
      </w:r>
      <w:bookmarkEnd w:id="118"/>
    </w:p>
    <w:p>
      <w:pPr>
        <w:pStyle w:val="Heading6"/>
        <w:numPr>
          <w:ilvl w:val="5"/>
          <w:numId w:val="1"/>
        </w:numPr>
        <w:rPr/>
      </w:pPr>
      <w:bookmarkStart w:id="119" w:name="__RefHeading___Toc10390986_73709187"/>
      <w:bookmarkStart w:id="120" w:name="_Toc44"/>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ميّتاً من النّاس بعد برده بالموت، وقبل تطهيره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الغُسل، كما عن القديمين</w:t>
      </w:r>
      <w:r>
        <w:rPr>
          <w:rStyle w:val="FootnoteAnchor"/>
          <w:rtl w:val="true"/>
        </w:rPr>
        <w:footnoteReference w:id="383"/>
      </w:r>
      <w:r>
        <w:rPr>
          <w:rFonts w:ascii="Amiri" w:hAnsi="Amiri" w:eastAsia="Amiri" w:cs="Amiri"/>
          <w:color w:val="111111"/>
          <w:sz w:val="28"/>
          <w:sz w:val="28"/>
          <w:szCs w:val="28"/>
          <w:rtl w:val="true"/>
          <w:lang w:bidi="ar-SA"/>
        </w:rPr>
        <w:t>، والصدوقين</w:t>
      </w:r>
      <w:r>
        <w:rPr>
          <w:rStyle w:val="FootnoteAnchor"/>
          <w:rtl w:val="true"/>
        </w:rPr>
        <w:footnoteReference w:id="384"/>
      </w:r>
      <w:r>
        <w:rPr>
          <w:rFonts w:ascii="Amiri" w:hAnsi="Amiri" w:eastAsia="Amiri" w:cs="Amiri"/>
          <w:color w:val="111111"/>
          <w:sz w:val="28"/>
          <w:sz w:val="28"/>
          <w:szCs w:val="28"/>
          <w:rtl w:val="true"/>
          <w:lang w:bidi="ar-SA"/>
        </w:rPr>
        <w:t>، والشيخين</w:t>
      </w:r>
      <w:r>
        <w:rPr>
          <w:rStyle w:val="FootnoteAnchor"/>
          <w:rtl w:val="true"/>
        </w:rPr>
        <w:footnoteReference w:id="385"/>
      </w:r>
      <w:r>
        <w:rPr>
          <w:rFonts w:ascii="Amiri" w:hAnsi="Amiri" w:eastAsia="Amiri" w:cs="Amiri"/>
          <w:color w:val="111111"/>
          <w:sz w:val="28"/>
          <w:sz w:val="28"/>
          <w:szCs w:val="28"/>
          <w:rtl w:val="true"/>
          <w:lang w:bidi="ar-SA"/>
        </w:rPr>
        <w:t>، والحلّي</w:t>
      </w:r>
      <w:r>
        <w:rPr>
          <w:rStyle w:val="FootnoteAnchor"/>
          <w:rtl w:val="true"/>
        </w:rPr>
        <w:footnoteReference w:id="386"/>
      </w:r>
      <w:r>
        <w:rPr>
          <w:rFonts w:ascii="Amiri" w:hAnsi="Amiri" w:eastAsia="Amiri" w:cs="Amiri"/>
          <w:color w:val="111111"/>
          <w:sz w:val="28"/>
          <w:sz w:val="28"/>
          <w:szCs w:val="28"/>
          <w:rtl w:val="true"/>
          <w:lang w:bidi="ar-SA"/>
        </w:rPr>
        <w:t>، والحلبي</w:t>
      </w:r>
      <w:r>
        <w:rPr>
          <w:rStyle w:val="FootnoteAnchor"/>
          <w:rtl w:val="true"/>
        </w:rPr>
        <w:footnoteReference w:id="387"/>
      </w:r>
      <w:r>
        <w:rPr>
          <w:rFonts w:ascii="Amiri" w:hAnsi="Amiri" w:eastAsia="Amiri" w:cs="Amiri"/>
          <w:color w:val="111111"/>
          <w:sz w:val="28"/>
          <w:sz w:val="28"/>
          <w:szCs w:val="28"/>
          <w:rtl w:val="true"/>
          <w:lang w:bidi="ar-SA"/>
        </w:rPr>
        <w:t>وغيرهم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المشهور بين الأصحاب</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يغمضُ الميّت أعليه غُسلٌ؟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بحرارته فلا، ولكن إذا مسّه بعدما بَرَد فليغتسل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يُغسّله يَغتسل‌؟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عاصم بن حميد،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الميّت إذا مسّه الإنسان أفيه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مَسَست جسده حين يبرَد فاغتسل</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يُغسّل الميّت أعليه غُسلٌ؟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مسّه وهو سُخنٌ؟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غُسل عليه، فادا بَرَد فعليه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والبهائم والطير إذا مسها عليه غُسلٌ؟ قال عليه السلام لا، ليس هذا كالإنسان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السيّد في جملةٍ من كتبه</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ظهور الأخبار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وبذكره في سياق الأغسال المسنونة في جملةٍ من النصوص، كصحيح الحلبي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يوم الأضحى والفطر والجمعة، وإذا غَسّلت ميّتاً</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وبجعله من السنّة في مقابل غُسل الجنابة الذي جُعل من الفرض في عدّة من الأخبار</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عمرو بن خالد، عن زيد بن علي، عن آبائه،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من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الجنابة هو واجب، ومن غُسل الميّت، وإنْ تطهّرت أجزأك</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وبالتوقيع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جواب الحميري، حيثُ كتبَ إلى القائم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لنا عن العالم عليه السلام أنّه سُئل عن إمام قومٍ يُصلّي بهم بعض صلاتهم، وحدثت عليه حادثة، كيف يَعمل من خلفه‌؟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ويتقدّم بعضهم، ويتمّ صلاتهم، ويغتسل من مسّه‌؟</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من نحّاه إلّاغسل اليد</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يعدّ من المكابرة الواضحة إنكار ظهور هذه الأخبار المستفيضة، المشتملة على التعبيرات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بوجوب الغُسل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به في الوجوب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ذكر المأمور به في سياق المندوبات، لا يكون قرينة لرفع اليد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ظهور الأمر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الجائز أن يكون المراد بالسُنّة، ما وجب ولم يكن دليله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يمكن أن يكون المراد إجزاء التطهير بالغُسل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ضعيف السند، ورواته من العامّة والزيديّة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يدلّ على ثبوت بدل له لا على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فمورده حال الحرارة، كما يشهد له التوقيع الآخر،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العالم عليه السلام أنّ مَن مسّ ميّتاً بحرارته غَسل يده، ومَن مسّه وقد بَرد فعليه الغُسل، وهذا الميّت في هذه الحال لا يكون إلّابحرارته، فالعمل في ذلك على ما هو، ولعلّه ينحّيه بثيابه ولا يمسّه، فكيف يجب عليه الغسل‌؟</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في هذه الحال، لم يكن عليه إلّاغَسل يده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لو سلّم إطلاقه يقيّد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عدم وجوب الغُسل إذا مسّه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علماء الأمصار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مسلم،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 الميّت عند موته وبعد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غُسله والقُبلة ليس بها بأس</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سنان،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بأن يمسّه بعد الغُسل ويقبّله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وبهما يقيّد إطلاق ما دلَّ على وجوب الغُسل بمسّ الميّت بعد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مسَّ ميّتاً فعليه الغُسل، وإنْ كان الميّت قد غُسّل</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وإنْ كان ظاهراً في الوجوب، إلّاأنّه يُحمل على الاستحباب، لما تقدّم كما عن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تعليل عدم الأمر بغُسل مسّ الميّت في خبر سليمان بن خالد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مسّ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فيُحمل على إرادة عدم الاستحباب أيضاً في هذا الفرض</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21" w:name="pg11797_256513"/>
    </w:p>
    <w:p>
      <w:pPr>
        <w:pStyle w:val="Heading6"/>
        <w:numPr>
          <w:ilvl w:val="5"/>
          <w:numId w:val="1"/>
        </w:numPr>
        <w:rPr/>
      </w:pPr>
      <w:bookmarkStart w:id="122" w:name="__RefHeading___Toc10390988_73709187"/>
      <w:bookmarkStart w:id="123" w:name="_Toc45"/>
      <w:bookmarkEnd w:id="121"/>
      <w:bookmarkEnd w:id="122"/>
      <w:r>
        <w:rPr>
          <w:rtl w:val="true"/>
        </w:rPr>
        <w:t>فروع غُسل الميّت</w:t>
      </w:r>
      <w:bookmarkEnd w:id="123"/>
    </w:p>
    <w:p>
      <w:pPr>
        <w:pStyle w:val="Heading6"/>
        <w:numPr>
          <w:ilvl w:val="5"/>
          <w:numId w:val="1"/>
        </w:numPr>
        <w:rPr/>
      </w:pPr>
      <w:bookmarkStart w:id="124" w:name="__RefHeading___Toc10390990_73709187"/>
      <w:bookmarkStart w:id="125" w:name="_Toc46"/>
      <w:bookmarkEnd w:id="124"/>
      <w:r>
        <w:rPr>
          <w:rtl w:val="true"/>
        </w:rPr>
        <w:t>المناط في وجوب الغُسل برد تمام جسده</w:t>
      </w:r>
      <w:bookmarkEnd w:id="125"/>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وجوب الغُسل، برد تمام جسده، فلا يوجب برد بعض جسده، ولو كان هو الممسوس، إذ البرد المأخوذ في النصوص موضوعاً لوجوب الغُسل، قد اُضيف إلى الميّت، فهو ظاهرٌ في إرادة برد تمام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مفهوم جملةٍ منها والمصرّح به في الخبر الذي رواه عليّ بن جعفر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الميّت لم يبرد فلا غُسل عليه</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عدم وجوب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يعارضه ما قاله عليه السلام في حَسَن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مسّه ما دام حارّاً فلا غُسل عليه</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بمفهومها تدلّ على أنّه إنْ مسّه ولم يكن الميّت حارّاً، وإنْ كان بعضه كذلك، يجبُ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جميع النصوص المتضمّنة لذلك ذكر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بَرَد ثمّ مسّه فليغتسل أو ما يقرّبه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ندّع ظهورها في أنّ الفقرة الثانية تصريحٌ بمفهوم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ريب في عدم صحّة التمسّك بمفهوم شيء منهما، كما لا يخفى‌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عدم الدليل على عدم الوجوب، وتعيّن الرجوع إلى الاُصول العمليّة، كان اللّازم البناء على ذلك، لأصالة البراءة عن الوجوب</w:t>
      </w:r>
      <w:r>
        <w:rPr>
          <w:rFonts w:eastAsia="Amiri" w:cs="Amiri" w:ascii="Amiri" w:hAnsi="Amiri"/>
          <w:color w:val="111111"/>
          <w:sz w:val="28"/>
          <w:szCs w:val="28"/>
          <w:rtl w:val="true"/>
          <w:lang w:bidi="ar-SA"/>
        </w:rPr>
        <w:t>.</w:t>
      </w:r>
      <w:bookmarkStart w:id="126" w:name="pg11797_256515"/>
    </w:p>
    <w:p>
      <w:pPr>
        <w:pStyle w:val="Heading6"/>
        <w:numPr>
          <w:ilvl w:val="5"/>
          <w:numId w:val="1"/>
        </w:numPr>
        <w:rPr/>
      </w:pPr>
      <w:bookmarkStart w:id="127" w:name="__RefHeading___Toc10390992_73709187"/>
      <w:bookmarkStart w:id="128" w:name="_Toc47"/>
      <w:bookmarkEnd w:id="126"/>
      <w:bookmarkEnd w:id="127"/>
      <w:r>
        <w:rPr>
          <w:rtl w:val="true"/>
        </w:rPr>
        <w:t>هل المعتبر في سقوط الغُسل تمام الأغسال الثلاثة</w:t>
      </w:r>
      <w:bookmarkEnd w:id="128"/>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الغُسل تمام الأغسال الثلاثة، فلو أكمل غُسل الرأس مثلاً لا يسقط الغُسل بمسّه، وإنْ كان الممسوس العضو المغسول منه،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ومحتمل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لايعتبر ذلك كماعن المصنّف في أكثر كتبه</w:t>
      </w:r>
      <w:r>
        <w:rPr>
          <w:rStyle w:val="FootnoteAnchor"/>
          <w:rtl w:val="true"/>
        </w:rPr>
        <w:footnoteReference w:id="417"/>
      </w:r>
      <w:r>
        <w:rPr>
          <w:rFonts w:ascii="Amiri" w:hAnsi="Amiri" w:eastAsia="Amiri" w:cs="Amiri"/>
          <w:color w:val="111111"/>
          <w:sz w:val="28"/>
          <w:sz w:val="28"/>
          <w:szCs w:val="28"/>
          <w:rtl w:val="true"/>
          <w:lang w:bidi="ar-SA"/>
        </w:rPr>
        <w:t>، والشهيد</w:t>
      </w:r>
      <w:r>
        <w:rPr>
          <w:rStyle w:val="FootnoteAnchor"/>
          <w:rtl w:val="true"/>
        </w:rPr>
        <w:footnoteReference w:id="418"/>
      </w:r>
      <w:r>
        <w:rPr>
          <w:rFonts w:ascii="Amiri" w:hAnsi="Amiri" w:eastAsia="Amiri" w:cs="Amiri"/>
          <w:color w:val="111111"/>
          <w:sz w:val="28"/>
          <w:sz w:val="28"/>
          <w:szCs w:val="28"/>
          <w:rtl w:val="true"/>
          <w:lang w:bidi="ar-SA"/>
        </w:rPr>
        <w:t>، وجماعة</w:t>
      </w:r>
      <w:r>
        <w:rPr>
          <w:rStyle w:val="FootnoteAnchor"/>
          <w:rtl w:val="true"/>
        </w:rPr>
        <w:footnoteReference w:id="419"/>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وبدوران الغُسل مدار النجاسة الزائلة بمجرّد انفصال الغُسالة عن العضو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وبتبعّض أثر الغُسل بتبعّضه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يُرجع إليه مع الإطلاقات التي تقتضي عدم السقوط، فإنّه يصدق في الفرض وقوع المسّ قبل الغُسل، بل في خبر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يمسّه بعد الغُسل</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الدوران، إذ لا دليل على التلازم، مع أنّ زوال النجاسة بمجرّد انفصال الغُسالة، إنّما يكون في المتنجّسات التي اُنيطت طهارتها بالغَسل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في نجس العين الذي اُنيطت طهارته بالغُسل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يتحقّق إلّا بغَسل تمام الأجزاء</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ظهر الجواب عن الأخير، وعليه فالأظهر هو الأوّل</w:t>
      </w:r>
      <w:r>
        <w:rPr>
          <w:rFonts w:eastAsia="Amiri" w:cs="Amiri" w:ascii="Amiri" w:hAnsi="Amiri"/>
          <w:color w:val="111111"/>
          <w:sz w:val="28"/>
          <w:szCs w:val="28"/>
          <w:rtl w:val="true"/>
          <w:lang w:bidi="ar-SA"/>
        </w:rPr>
        <w:t>.</w:t>
      </w:r>
      <w:bookmarkStart w:id="129" w:name="pg11797_256519"/>
    </w:p>
    <w:p>
      <w:pPr>
        <w:pStyle w:val="Heading6"/>
        <w:numPr>
          <w:ilvl w:val="5"/>
          <w:numId w:val="1"/>
        </w:numPr>
        <w:rPr/>
      </w:pPr>
      <w:bookmarkStart w:id="130" w:name="__RefHeading___Toc10390994_73709187"/>
      <w:bookmarkStart w:id="131" w:name="_Toc48"/>
      <w:bookmarkEnd w:id="129"/>
      <w:bookmarkEnd w:id="130"/>
      <w:r>
        <w:rPr>
          <w:rtl w:val="true"/>
        </w:rPr>
        <w:t>حكم الغُسل الاضطراري</w:t>
      </w:r>
      <w:bookmarkEnd w:id="131"/>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 عن أنّ الغُسل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يتحقّق فيما لو فقد السِّدر والكافور، وكانت الأغسال الثلاثة كلّها بالماء القَراح، أو كان الغاسل هو الكافر بأمر المسلم مع فقد المماثل، هل يوجب سقوط غُسل المسّ بمسّه بعده كما صرّح به جماعة</w:t>
      </w:r>
      <w:r>
        <w:rPr>
          <w:rStyle w:val="FootnoteAnchor"/>
          <w:rtl w:val="true"/>
        </w:rPr>
        <w:footnoteReference w:id="4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يسقط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423"/>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Style w:val="FootnoteAnchor"/>
          <w:rtl w:val="true"/>
        </w:rPr>
        <w:footnoteReference w:id="4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وجهان، أقواهما الأوّل، لإطلاق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425"/>
      </w:r>
      <w:r>
        <w:rPr>
          <w:rFonts w:ascii="Amiri" w:hAnsi="Amiri" w:eastAsia="Amiri" w:cs="Amiri"/>
          <w:color w:val="111111"/>
          <w:sz w:val="28"/>
          <w:sz w:val="28"/>
          <w:szCs w:val="28"/>
          <w:rtl w:val="true"/>
          <w:lang w:bidi="ar-SA"/>
        </w:rPr>
        <w:t>انصرافها إلى الغُسل التامّ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التيمّم مع فقد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قائماً مقام الغُسل في سقوط غُسل المسّ بمسّه بعده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وتبعه سيّد العروة</w:t>
      </w:r>
      <w:r>
        <w:rPr>
          <w:rStyle w:val="FootnoteAnchor"/>
          <w:rtl w:val="true"/>
        </w:rPr>
        <w:footnoteReference w:id="427"/>
      </w:r>
      <w:r>
        <w:rPr>
          <w:rFonts w:ascii="Amiri" w:hAnsi="Amiri" w:eastAsia="Amiri" w:cs="Amiri"/>
          <w:color w:val="111111"/>
          <w:sz w:val="28"/>
          <w:sz w:val="28"/>
          <w:szCs w:val="28"/>
          <w:rtl w:val="true"/>
          <w:lang w:bidi="ar-SA"/>
        </w:rPr>
        <w:t>وجملةٌ من محشّيها</w:t>
      </w:r>
      <w:r>
        <w:rPr>
          <w:rStyle w:val="FootnoteAnchor"/>
          <w:rtl w:val="true"/>
        </w:rPr>
        <w:footnoteReference w:id="428"/>
      </w:r>
      <w:r>
        <w:rPr>
          <w:rFonts w:ascii="IRNazanin" w:hAnsi="IRNazanin" w:eastAsia="IRNazanin"/>
          <w:color w:val="111111"/>
          <w:sz w:val="28"/>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وغيرها</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أجد فيه خلافاً ممّا عدا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وجوب التيمّم عند تعذّر الغُسل، إنْ كان إطلاق أدلّة البدليّة، فالأظهر إلحاق التيمّم بالغُسل، لأنّ تلك الأدلّة تدلّ على قيام التيمّم مقام الغُسل في جميع الآثار، ومنها رفع أثر المسّ‌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437"/>
      </w:r>
      <w:r>
        <w:rPr>
          <w:rFonts w:ascii="Amiri" w:hAnsi="Amiri" w:eastAsia="Amiri" w:cs="Amiri"/>
          <w:color w:val="111111"/>
          <w:sz w:val="28"/>
          <w:sz w:val="28"/>
          <w:szCs w:val="28"/>
          <w:rtl w:val="true"/>
          <w:lang w:bidi="ar-SA"/>
        </w:rPr>
        <w:t>أنّ الظاهر منها البدليّة في رفع الحَدَث، ولا يرفعُ الخَبَث إجماعاً، وكون الأثر في المقام للحَدَث دون الخَبَث غيرُ ثابتٍ‌، كما أشار إليه الشيخ الأعظم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الخَبَث الذي يزول بالغُسل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إجماع على عدم رفعه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الخَبَثُ الذي ينحصر رافعه بالغَسل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تدلّ على ترتّب هذا الأثر على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ومقتضى إطلاق أدلّة البدليّة قيام التيمّم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البدليّة مختصّة بما لا يكون لغير الماء دخلٌ فيه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هو الوجه الذي ذُكر لعدم شمول أدلّة البدليّة لغُسل الميّت،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تقدّم الكلام فيه، والكلام في المقام إنّما يكون على فرض الشمول، وأمّا إذا كان مدرك وجوب التيمّم النصّ الوارد في المجدور، فالأقوى عدم الإلحاق، إذ لا عموم له كي يدلّ على ترتّب جميع آثار الغُسل عليه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عرفتَ صحّة التمسّك بإطلاق أدلّة البدليّة، فالأظهر هو الإلحاق</w:t>
      </w:r>
      <w:r>
        <w:rPr>
          <w:rFonts w:eastAsia="Amiri" w:cs="Amiri" w:ascii="Amiri" w:hAnsi="Amiri"/>
          <w:color w:val="111111"/>
          <w:sz w:val="28"/>
          <w:szCs w:val="28"/>
          <w:rtl w:val="true"/>
          <w:lang w:bidi="ar-SA"/>
        </w:rPr>
        <w:t>.</w:t>
      </w:r>
      <w:bookmarkStart w:id="132" w:name="pg11797_256526"/>
    </w:p>
    <w:p>
      <w:pPr>
        <w:pStyle w:val="Heading6"/>
        <w:numPr>
          <w:ilvl w:val="5"/>
          <w:numId w:val="1"/>
        </w:numPr>
        <w:rPr/>
      </w:pPr>
      <w:bookmarkStart w:id="133" w:name="__RefHeading___Toc10390996_73709187"/>
      <w:bookmarkStart w:id="134" w:name="_Toc49"/>
      <w:bookmarkEnd w:id="132"/>
      <w:bookmarkEnd w:id="133"/>
      <w:r>
        <w:rPr>
          <w:rtl w:val="true"/>
        </w:rPr>
        <w:t>وجوب الغُسل بمسّ الكافر</w:t>
      </w:r>
      <w:bookmarkEnd w:id="134"/>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الميّت الذى يجبُ الغُسل بمسّه بين المسلم والكافر، كما عن المصنّف</w:t>
      </w:r>
      <w:r>
        <w:rPr>
          <w:rStyle w:val="FootnoteAnchor"/>
          <w:rtl w:val="true"/>
        </w:rPr>
        <w:footnoteReference w:id="438"/>
      </w:r>
      <w:r>
        <w:rPr>
          <w:rFonts w:ascii="Amiri" w:hAnsi="Amiri" w:eastAsia="Amiri" w:cs="Amiri"/>
          <w:color w:val="111111"/>
          <w:sz w:val="28"/>
          <w:sz w:val="28"/>
          <w:szCs w:val="28"/>
          <w:rtl w:val="true"/>
          <w:lang w:bidi="ar-SA"/>
        </w:rPr>
        <w:t>والشهيد</w:t>
      </w:r>
      <w:r>
        <w:rPr>
          <w:rStyle w:val="FootnoteAnchor"/>
          <w:rtl w:val="true"/>
        </w:rPr>
        <w:footnoteReference w:id="439"/>
      </w:r>
      <w:r>
        <w:rPr>
          <w:rFonts w:ascii="Amiri" w:hAnsi="Amiri" w:eastAsia="Amiri" w:cs="Amiri"/>
          <w:color w:val="111111"/>
          <w:sz w:val="28"/>
          <w:sz w:val="28"/>
          <w:szCs w:val="28"/>
          <w:rtl w:val="true"/>
          <w:lang w:bidi="ar-SA"/>
        </w:rPr>
        <w:t>والمحقّق الثاني</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وجوبه بمسّ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منشأه أنّه في النصوص جُعل الغُسل غايةً لوجوب غُسل المسّ‌، فمن لا يؤثّر في حقه التغسيل ولا يقبل التطهّر، فهو غير مشمولٍ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النصوص وإنْ كان مغيّاً بذلك، إلّاأنّ جملةً منها مطلقة غير مغيّاة بذلك، ومقتضى إطلاق تلك النصوص، عدم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غاية ما يستفاد من القيد المزبور، انتفاء الحكم في صورة تحقّق الغاية، ولا يدلّ على قصر الحكم الذي تضمّنه صدر تلك النصوص، بمن تحقّق هذه الغاية بالنسبة إليه،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تعليل ذلك بأنّ مسّ الكافر لا يزيد على مسّ البهيمة والكلب، فهو كما ترى يُعدّ من الوجوه الاعتباريّة، التي لا يُعتمد عليها في الأحكام الشرعيّة، مع أنّ إيجاب الغُسل بمسّه لا يوجب مزيّة له على أخويه، فتدبّر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هو عدم الفرق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يظهر أنّه لا فرق بين الصغير والكبير، حتّى السقط إذا تمّ له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قبل تمام أربعة أشهر، ففي وجوب الغُسل بمسّه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صدق الميتة عليه، لأنّ الموت هو ما يقابل الحياة، تقابل العدم والمَلَكة، فهو عدم الحياة عمّا من شأنه الحياة، ولا يعتبر في صدق العدم في مقابل المَلَكة القابليّة الفعليّة، بل تكفي القابليّة النوعيّة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ظهور النصوص في الميّت بعد الحياة، كما يشهد له اشتراط البرودة، الظاهر فيما بعد الحرارة، كما صرّح به في جملةٍ منها، والتعليل في خبري الفضل وابن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الميّت إذا خَرَج منه الروح بقي منه أكثر آفته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الثاني أقوى‌، لاسيّما وأنّه يستفاد من النصوص الواردة في القطعة المبانة، أنّ الميّت إنّما يجب الغُسل بمسّه إذا كان ذا عَظْمٍ لا مطلقاً، والسِّقط قبل ولوج الروح لا عَظْم له، فلا يجبُ على مَن مسّه الغُسل لذلك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35" w:name="pg11797_256531"/>
    </w:p>
    <w:p>
      <w:pPr>
        <w:pStyle w:val="Heading6"/>
        <w:numPr>
          <w:ilvl w:val="5"/>
          <w:numId w:val="1"/>
        </w:numPr>
        <w:rPr/>
      </w:pPr>
      <w:bookmarkStart w:id="136" w:name="__RefHeading___Toc10390998_73709187"/>
      <w:bookmarkStart w:id="137" w:name="_Toc50"/>
      <w:bookmarkEnd w:id="135"/>
      <w:bookmarkEnd w:id="136"/>
      <w:r>
        <w:rPr>
          <w:rtl w:val="true"/>
        </w:rPr>
        <w:t>لا فرق في الممسوس بين ما تحلّه الحياة وغيره</w:t>
      </w:r>
      <w:bookmarkEnd w:id="137"/>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الممسوس بين الأجزاء التي تحلّها الحياة وغيرها، لصدق المسّ‌، فيشمله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Style w:val="FootnoteAnchor"/>
          <w:rtl w:val="true"/>
        </w:rPr>
        <w:footnoteReference w:id="444"/>
      </w:r>
      <w:r>
        <w:rPr>
          <w:rFonts w:ascii="Amiri" w:hAnsi="Amiri" w:eastAsia="Amiri" w:cs="Amiri"/>
          <w:color w:val="111111"/>
          <w:sz w:val="28"/>
          <w:sz w:val="28"/>
          <w:szCs w:val="28"/>
          <w:rtl w:val="true"/>
          <w:lang w:bidi="ar-SA"/>
        </w:rPr>
        <w:t xml:space="preserve">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المسّ لما تحلّه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المحقّق الثاني</w:t>
      </w:r>
      <w:r>
        <w:rPr>
          <w:rStyle w:val="FootnoteAnchor"/>
          <w:rtl w:val="true"/>
        </w:rPr>
        <w:footnoteReference w:id="446"/>
      </w:r>
      <w:r>
        <w:rPr>
          <w:rFonts w:ascii="Amiri" w:hAnsi="Amiri" w:eastAsia="Amiri" w:cs="Amiri"/>
          <w:color w:val="111111"/>
          <w:sz w:val="28"/>
          <w:sz w:val="28"/>
          <w:szCs w:val="28"/>
          <w:rtl w:val="true"/>
          <w:lang w:bidi="ar-SA"/>
        </w:rPr>
        <w:t>في السِّن، بعد البناء على الوجوب في العَظْم والظُّفر، وعدم الوجوب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تردّد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للعدم في مقابل إطلاق الأدلّة،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الأجزاء التي لا تحلّها الحياة لا تتنجّس، فلا يجب الغُسل بمسّها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الغُسل في 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ومكاتبة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على مسّ الجَسَد بعد برده، والظاهر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بعد اتّصافه بالبرودة، ما يقابل مطلق ما عداه، ومنه شعر لحيته، لا ما يقابل ثياب الميّت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في حَسَن الفضل، كالصحيح عن مولانا الرضا عليه السلام الوارد في </w:t>
      </w:r>
    </w:p>
    <w:p>
      <w:pPr>
        <w:pStyle w:val="BookText"/>
        <w:rPr/>
      </w:pPr>
      <w:r>
        <w:rPr>
          <w:rFonts w:ascii="Amiri" w:hAnsi="Amiri" w:eastAsia="Amiri" w:cs="Amiri"/>
          <w:color w:val="111111"/>
          <w:sz w:val="28"/>
          <w:sz w:val="28"/>
          <w:szCs w:val="28"/>
          <w:rtl w:val="true"/>
          <w:lang w:bidi="ar-SA"/>
        </w:rPr>
        <w:t>عدم وجوب الغُسل بمسّ غير الإنسان،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هذه الأشياء كلّها ملبسة ريشاً وصوفاً وشعراً ووبراً، وهذا كلّه لا يموت، وإنّما يماسّ منه الشيء الذي هو ذكي من الحيّ والميّت</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نجاستها بالموت، لا يوجبُ تقييد إطلاق الأدلّة، إذ لا دليل على التلازم بين نجاسة الممسوس ووجوب الغسل بمسّه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دعوى عدم كون الأجزاء التي لا تحلّها الحياة كالعَظْم ونحوه من أجزاء الجَسَد، كي لا يصدق على مسّها مسّ الجسد ممنوعة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إنّما هو برودة جميع الجسد كما تقدّم، لا خصوص العضو الممسوس، كي يقال إنّه تختصّ الأدلّة بالعضو الذي يتصوّر فيه البرودة بعد حرارة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يصدق المسّ عرفاً فيما إذا مسّ الشعر المسترسل، كأطراف اللّحية، وما يسترسل من الرأس، بخلاف اُصولها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التعليل ممّا لا يمكن الأخذ بظاهره، إذ لا يجب الغُسل بمسّ غير الإنسان، ولو مع مباشرة الأجزاء التي تحلّها الحياة، فلابدّ من حمله على خلاف ظاهره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450"/>
      </w:r>
      <w:r>
        <w:rPr>
          <w:rFonts w:ascii="Amiri" w:hAnsi="Amiri" w:eastAsia="Amiri" w:cs="Amiri"/>
          <w:color w:val="111111"/>
          <w:sz w:val="28"/>
          <w:sz w:val="28"/>
          <w:szCs w:val="28"/>
          <w:rtl w:val="true"/>
          <w:lang w:bidi="ar-SA"/>
        </w:rPr>
        <w:t>أنّ عدم فهمنا للارتباط الواقعي بين العلّة والمعلول، لا يمنع من الأخذ بظاهر العلّة، وهي في المقام ظاهرة في عدم وجوب الغُسل لمسّ ما لا تحلّه الحياة من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التعليل بظاهره معلومٌ عدم ارتباطه بالمعلول، ولذلك يتعيّن حمله على خلاف ظاهره، فلا يمكن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وجوب الغُسل بالمسّ بكلّ ما لا تحلّه الحياة، إلّافيما لم يصدق بمسّه أنّه مسّ ميّتاً، كما هو كذلك في المسّ بطرف الشعر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451"/>
      </w:r>
      <w:r>
        <w:rPr>
          <w:rFonts w:ascii="Amiri" w:hAnsi="Amiri" w:eastAsia="Amiri" w:cs="Amiri"/>
          <w:color w:val="111111"/>
          <w:sz w:val="28"/>
          <w:sz w:val="28"/>
          <w:szCs w:val="28"/>
          <w:rtl w:val="true"/>
          <w:lang w:bidi="ar-SA"/>
        </w:rPr>
        <w:t>عن اعتبار الحياة في الماسّ ضعيفٌ‌</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38" w:name="pg11797_256537"/>
    </w:p>
    <w:p>
      <w:pPr>
        <w:pStyle w:val="Heading6"/>
        <w:numPr>
          <w:ilvl w:val="5"/>
          <w:numId w:val="1"/>
        </w:numPr>
        <w:rPr/>
      </w:pPr>
      <w:bookmarkStart w:id="139" w:name="__RefHeading___Toc10391000_73709187"/>
      <w:bookmarkStart w:id="140" w:name="_Toc51"/>
      <w:bookmarkEnd w:id="138"/>
      <w:bookmarkEnd w:id="139"/>
      <w:r>
        <w:rPr>
          <w:rtl w:val="true"/>
        </w:rPr>
        <w:t>مسّ الشهيد والمقتول بقصاصٍ أو حَدّ</w:t>
      </w:r>
      <w:bookmarkEnd w:id="140"/>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كتب المحقّق</w:t>
      </w:r>
      <w:r>
        <w:rPr>
          <w:rStyle w:val="FootnoteAnchor"/>
          <w:rtl w:val="true"/>
        </w:rPr>
        <w:footnoteReference w:id="452"/>
      </w:r>
      <w:r>
        <w:rPr>
          <w:rFonts w:ascii="Amiri" w:hAnsi="Amiri" w:eastAsia="Amiri" w:cs="Amiri"/>
          <w:color w:val="111111"/>
          <w:sz w:val="28"/>
          <w:sz w:val="28"/>
          <w:szCs w:val="28"/>
          <w:rtl w:val="true"/>
          <w:lang w:bidi="ar-SA"/>
        </w:rPr>
        <w:t>والمصنّف</w:t>
      </w:r>
      <w:r>
        <w:rPr>
          <w:rStyle w:val="FootnoteAnchor"/>
          <w:rtl w:val="true"/>
        </w:rPr>
        <w:footnoteReference w:id="453"/>
      </w:r>
      <w:r>
        <w:rPr>
          <w:rFonts w:ascii="Amiri" w:hAnsi="Amiri" w:eastAsia="Amiri" w:cs="Amiri"/>
          <w:color w:val="111111"/>
          <w:sz w:val="28"/>
          <w:sz w:val="28"/>
          <w:szCs w:val="28"/>
          <w:rtl w:val="true"/>
          <w:lang w:bidi="ar-SA"/>
        </w:rPr>
        <w:t>، والشهيدين</w:t>
      </w:r>
      <w:r>
        <w:rPr>
          <w:rStyle w:val="FootnoteAnchor"/>
          <w:rtl w:val="true"/>
        </w:rPr>
        <w:footnoteReference w:id="454"/>
      </w:r>
      <w:r>
        <w:rPr>
          <w:rFonts w:ascii="Amiri" w:hAnsi="Amiri" w:eastAsia="Amiri" w:cs="Amiri"/>
          <w:color w:val="111111"/>
          <w:sz w:val="28"/>
          <w:sz w:val="28"/>
          <w:szCs w:val="28"/>
          <w:rtl w:val="true"/>
          <w:lang w:bidi="ar-SA"/>
        </w:rPr>
        <w:t>، والمحقّق الثاني</w:t>
      </w:r>
      <w:r>
        <w:rPr>
          <w:rStyle w:val="FootnoteAnchor"/>
          <w:rtl w:val="true"/>
        </w:rPr>
        <w:footnoteReference w:id="455"/>
      </w:r>
      <w:r>
        <w:rPr>
          <w:rFonts w:ascii="Amiri" w:hAnsi="Amiri" w:eastAsia="Amiri" w:cs="Amiri"/>
          <w:color w:val="111111"/>
          <w:sz w:val="28"/>
          <w:sz w:val="28"/>
          <w:szCs w:val="28"/>
          <w:rtl w:val="true"/>
          <w:lang w:bidi="ar-SA"/>
        </w:rPr>
        <w:t>عدم وجوب الغسل بمسّ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واحتمله أو مالَ إليه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واختاره بعض أعاظم محقّقي العصر</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وتردّد فيه 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بعض الأخبار مختصٌّ بمن من شأنه أن يُغسّل، فلا يشمل الشهيد، والنصوص المطلقة تُحمل على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وبعموم ما دلَّ على أنّ الشهيد بحُكم المُغسّل</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وبخلوّ الأخبار الحاكية للغزوات الصّادرة عن النبيّ صلى الله عليه و آله أو الوصيّ عن أمر </w:t>
      </w:r>
    </w:p>
    <w:p>
      <w:pPr>
        <w:pStyle w:val="BookText"/>
        <w:rPr/>
      </w:pPr>
      <w:r>
        <w:rPr>
          <w:rFonts w:ascii="Amiri" w:hAnsi="Amiri" w:eastAsia="Amiri" w:cs="Amiri"/>
          <w:color w:val="111111"/>
          <w:sz w:val="28"/>
          <w:sz w:val="28"/>
          <w:szCs w:val="28"/>
          <w:rtl w:val="true"/>
          <w:lang w:bidi="ar-SA"/>
        </w:rPr>
        <w:t>من يُباشر دفن القتلى بغُسل المسّ‌، مع حصول المسّ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المستفاد من النصوص أنّ الغُسل بمسّ الميّت، إنّما يجب لوجود أثرٍ في الممسوس من الحَدَث أو الخَبَث، وهو مفقودٌ في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حَمل المُطلق على المقيّد في 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كونه في مقام تنزيل الشهيد منزلة المُغسّل، كي يصحّ التمسّك بإطلاق التنزيل، كما لا يخفى على مَن 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خلوّ الأخبار الحاكية عن الأمر بالغُسل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تلازم الدفن غالباً مع حصول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يكون مقيّداً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وجوب غُسل الشهيد، أعمٌّ من عدم وجود أثرٍ من آثار الموت الموجب لوجوب الغُسل بمسّه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بالوجوب لو لم يكن مخالفاً لفتوى أكثر الأساطين والمحقّقين،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عُبيد،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اغتَسلَ أمير المؤمنين عليه السلام حين غَسّل رسول اللّه صلى الله عليه و آله عند موته‌؟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طاهراً مطهّراً، ولكن فَعَل أمير المؤمنين عليه السلام وَجَرت به السُنّة</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خبر الصيقل</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المقتول بقصاصٍ أو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وجوب غُسل المسّ بمسّه، كما عن المصنّف في جملةٍ من كتبه</w:t>
      </w:r>
      <w:r>
        <w:rPr>
          <w:rStyle w:val="FootnoteAnchor"/>
          <w:rtl w:val="true"/>
        </w:rPr>
        <w:footnoteReference w:id="464"/>
      </w:r>
      <w:r>
        <w:rPr>
          <w:rFonts w:ascii="Amiri" w:hAnsi="Amiri" w:eastAsia="Amiri" w:cs="Amiri"/>
          <w:color w:val="111111"/>
          <w:sz w:val="28"/>
          <w:sz w:val="28"/>
          <w:szCs w:val="28"/>
          <w:rtl w:val="true"/>
          <w:lang w:bidi="ar-SA"/>
        </w:rPr>
        <w:t>، والشهيد</w:t>
      </w:r>
      <w:r>
        <w:rPr>
          <w:rStyle w:val="FootnoteAnchor"/>
          <w:rtl w:val="true"/>
        </w:rPr>
        <w:footnoteReference w:id="465"/>
      </w:r>
      <w:r>
        <w:rPr>
          <w:rFonts w:ascii="Amiri" w:hAnsi="Amiri" w:eastAsia="Amiri" w:cs="Amiri"/>
          <w:color w:val="111111"/>
          <w:sz w:val="28"/>
          <w:sz w:val="28"/>
          <w:szCs w:val="28"/>
          <w:rtl w:val="true"/>
          <w:lang w:bidi="ar-SA"/>
        </w:rPr>
        <w:t>، والمحقّق الثاني</w:t>
      </w:r>
      <w:r>
        <w:rPr>
          <w:rStyle w:val="FootnoteAnchor"/>
          <w:rtl w:val="true"/>
        </w:rPr>
        <w:footnoteReference w:id="466"/>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وغيرهم</w:t>
      </w:r>
      <w:r>
        <w:rPr>
          <w:rStyle w:val="FootnoteAnchor"/>
          <w:rtl w:val="true"/>
        </w:rPr>
        <w:footnoteReference w:id="468"/>
      </w:r>
      <w:r>
        <w:rPr>
          <w:rFonts w:ascii="Amiri" w:hAnsi="Amiri" w:eastAsia="Amiri" w:cs="Amiri"/>
          <w:color w:val="111111"/>
          <w:sz w:val="28"/>
          <w:sz w:val="28"/>
          <w:szCs w:val="28"/>
          <w:rtl w:val="true"/>
          <w:lang w:bidi="ar-SA"/>
        </w:rPr>
        <w:t>، إذ غُسله المقدّم هو غُسل الميّت، كما تقدّم، فيكون مسّه بعد القتل مسّاً بعد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انصراف النصوص إلى الغُسل بعد الموت، لأنّه المتعارف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التعارف لا يوجبُ انصرافاً موجباً لتقييد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إطلاق لنصوص عدم وجوب الغُسل بمسّ الميّت بعد الغُسل، بنحوٍ يشمل الغُسل قبل القتل، بل هي مختصّة بالغُسل بعد الموت، كما لا يخفى على مَن 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أنّه يُغسّل قبل القَتل، لا دلالة له على ترتّب جميع آثار الغُسل بعد الموت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فالأشبه هو الوجوب، كما عن جماعةٍ‌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41" w:name="pg11797_256543"/>
    </w:p>
    <w:p>
      <w:pPr>
        <w:pStyle w:val="BookText"/>
        <w:rPr/>
      </w:pPr>
      <w:bookmarkEnd w:id="141"/>
      <w:r>
        <w:rPr>
          <w:rFonts w:ascii="Amiri" w:hAnsi="Amiri" w:eastAsia="Amiri" w:cs="Amiri"/>
          <w:color w:val="111111"/>
          <w:sz w:val="28"/>
          <w:sz w:val="28"/>
          <w:szCs w:val="28"/>
          <w:rtl w:val="true"/>
          <w:lang w:bidi="ar-SA"/>
        </w:rPr>
        <w:t>أو مَسَّ قطعةً فيها عَظْمٌ قُطِعَتْ من حَيٍّ أو ميّتٍ‌، وجبَ عليه الغُسل</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10391002_73709187"/>
      <w:bookmarkStart w:id="143" w:name="_Toc52"/>
      <w:bookmarkEnd w:id="142"/>
      <w:r>
        <w:rPr>
          <w:rtl w:val="true"/>
        </w:rPr>
        <w:t>مسّ القِطعة المُبانة</w:t>
      </w:r>
      <w:bookmarkEnd w:id="143"/>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مَسُّ قطعةٍ فيها عَظْمٌ قُطِعت مِنْ حَيٍّ أو ميّتٍ‌، وجبَ 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الأصحاب قديماً وحديثاً،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وخالفهم المحقّق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 وتبعه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يوجباه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المشايخ الثلاثة، عن أيّوب بن نوح، عن بعض أصحابه،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 من الرَّجل قطعةً فهي ميتة، فإذا مسّه إنسانٌ‌، فكلّ ما كان فيه عَظْمٌ‌، فقد وَجَبَ على مَن يمسّه الغُسل، فإنْ لم يكن عَظْمٌ فلا غُسل عليه</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كان ضعيفاً للإرسال، إلّاأنّ ضعفه مجبورٌ بالعمل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474"/>
      </w:r>
      <w:r>
        <w:rPr>
          <w:rFonts w:ascii="Amiri" w:hAnsi="Amiri" w:eastAsia="Amiri" w:cs="Amiri"/>
          <w:color w:val="111111"/>
          <w:sz w:val="28"/>
          <w:sz w:val="28"/>
          <w:szCs w:val="28"/>
          <w:rtl w:val="true"/>
          <w:lang w:bidi="ar-SA"/>
        </w:rPr>
        <w:t>المحقّق أنّ الرواية مقطوعة، والعمل بها قليل، كما ترى‌، ومورده وإنْ كان المُبانة من الحيّ‌، إلّاأنّه يثبتُ في المُبانة من الميّت بالفحوى‌، وتنقيح المناط، وعدم القول بالفصل بين المُبانة من الميّت، والمُبانة من الحَيّ‌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بنفسه يدلّ على وجوب الغُسل بمسّ المبانة من الميّت أيضاً، من جهة صدق الميتة عليها حقيقةً‌، فتندرج في الموضوع الذي </w:t>
      </w:r>
    </w:p>
    <w:p>
      <w:pPr>
        <w:pStyle w:val="BookText"/>
        <w:rPr/>
      </w:pPr>
      <w:r>
        <w:rPr>
          <w:rFonts w:ascii="Amiri" w:hAnsi="Amiri" w:eastAsia="Amiri" w:cs="Amiri"/>
          <w:color w:val="111111"/>
          <w:sz w:val="28"/>
          <w:sz w:val="28"/>
          <w:szCs w:val="28"/>
          <w:rtl w:val="true"/>
          <w:lang w:bidi="ar-SA"/>
        </w:rPr>
        <w:t>ترتّب عليه الحكم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لا يُسمّى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يُسمّى ميّتاً كالبدن المقطوع الأطراف، فيدلّ على وجوب الغُسل بمسّه، ما دلَّ على وجوبه بمسّ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المبانة من الميّت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هذه القطعة جزءٌ من جملةٍ يجبُ الغُسل بمسّها، فكلّ دليلٍ دلّ على وجوب الغُسل بمسّ الميّت فهو دالٌّ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الغُسل يجب بمسّها متّصلةً‌، فلا يسقط بالانفصال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يلزم عدم الغُسل لو مسّ جميع الميّت متفرّقاً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لازمها وجوب الغُسل بمسّ كلّ جزءٍ مُبانٍ من الميّت، ولو لم يكن فيه عظم، ولم يلتزم به أحدٌ،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الحكم مسّ الميّت، وهو لا يصدق على مسّ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ما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الاستصحاب، لعدم بقاء الموضوع، مع أنّك قد عرفت غير مرّة، عدم جريان الاستصحاب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صدق على مسّ جميع الأجزاء المتفرّقة مسُّ الميّت، فهو الفارق بين الموردين، وإلّا فنلتزم بعدم وجوب الغسل في ذلك الفرض أيضاً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المُرسل، وعليه فلا يجبُ الغُسل بمسّ العظم المجرّد، فإنّ الموضوع في الخبر ما فيه عَظْمٌ‌، وهو لا يصدق على العَظْم المجرّد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والاستدلال للوجوب بمسّه، بدوران الحكم مداره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 إذ دوران الحكم مداره أعمٌّ من جريانه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إسماعيل الجُعفي،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مسّ عَظْم الميّت‌؟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سَنة فليس به بأس</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فمفهومه وإنْ كان ثبوت البأس بمسّه قبل مُضيّ السَّنة، إلّاأنّه لضعفه في نفسه، وإعراض المشهور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ينقل الإفتاء بمضمونه عن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عدم جريانه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47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وغيرها</w:t>
      </w:r>
      <w:r>
        <w:rPr>
          <w:rStyle w:val="FootnoteAnchor"/>
          <w:rtl w:val="true"/>
        </w:rPr>
        <w:footnoteReference w:id="482"/>
      </w:r>
      <w:r>
        <w:rPr>
          <w:rFonts w:ascii="IRNazanin" w:hAnsi="IRNazanin" w:eastAsia="IRNazanin"/>
          <w:color w:val="111111"/>
          <w:sz w:val="28"/>
          <w:sz w:val="28"/>
          <w:szCs w:val="28"/>
          <w:rtl w:val="true"/>
          <w:lang w:bidi="fa-IR"/>
        </w:rPr>
        <w:t>من القول بعدم الوجوب بمسّه،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ذكرناه ظهر ضعف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الشرائع</w:t>
      </w:r>
      <w:r>
        <w:rPr>
          <w:rFonts w:eastAsia="IRNazanin" w:cs="IRNazanin"/>
          <w:color w:val="111111"/>
          <w:sz w:val="28"/>
          <w:szCs w:val="28"/>
          <w:rtl w:val="true"/>
          <w:lang w:bidi="fa-IR"/>
        </w:rPr>
        <w:t>»</w:t>
      </w:r>
      <w:r>
        <w:rPr>
          <w:rStyle w:val="FootnoteAnchor"/>
          <w:rtl w:val="true"/>
        </w:rPr>
        <w:footnoteReference w:id="48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 من القول بالوجوب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الأقوى عدم الوجوب بمسّ السِّن المنفصل عن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خَلَتِ القطعة مِنْ 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خَلَت القِطْعة مِنْ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من مسّها الغُسل، بلا خلافٍ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أيّوب المتقدّم، المنجبر ضعفه بالعمل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44" w:name="pg11797_256552"/>
    </w:p>
    <w:p>
      <w:pPr>
        <w:pStyle w:val="Heading6"/>
        <w:numPr>
          <w:ilvl w:val="5"/>
          <w:numId w:val="1"/>
        </w:numPr>
        <w:rPr/>
      </w:pPr>
      <w:bookmarkStart w:id="145" w:name="__RefHeading___Toc10391004_73709187"/>
      <w:bookmarkStart w:id="146" w:name="_Toc53"/>
      <w:bookmarkEnd w:id="144"/>
      <w:bookmarkEnd w:id="145"/>
      <w:r>
        <w:rPr>
          <w:rtl w:val="true"/>
        </w:rPr>
        <w:t>وجوب غُسل المسّ شَرطي</w:t>
      </w:r>
      <w:bookmarkEnd w:id="146"/>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وجوب هذا الغُسل شرطي، وإنّما يجبُ لكلّ واجبٍ مشروط بالطهارة، على ما نُسب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اتّفاق جميع القائلين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غُسل الميّت، فلم أقف على ما يقتضي اشتراطه في شيء من العبادات، ولا مانع من أنْ يكون واجباً لنفسه كغُسل الجمعة والإحرام عند من أوجبهما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الجمودُ على ظواهر النصوص يقتضي ذلك، إذ لم يقيّد الأمر به في النصوص بشيء، ومقتضى إطلاقها الوجوب، وإنْ لم يجب شيءٌ من ما هو مشروطٌ بالطهارة، إلّاأنّ دعوى</w:t>
      </w:r>
      <w:r>
        <w:rPr>
          <w:rStyle w:val="FootnoteAnchor"/>
          <w:rtl w:val="true"/>
        </w:rPr>
        <w:footnoteReference w:id="4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ينسبق إلى الذهن من الأمر بالغُسل عند مسّ الميّت، كون المسّ كالجنابة من الأحداث المقتضية للتطهير منه، وليس من قبيل الأمر بغُسل الجمعة الذي يكون الأمر به مطلقاً غير مُعلّقٍ على حدوث أمر زماني مستندٍ إلى المغتسل، كما أنّ المنسبق إلى الذهن من الأمر بغَسل الثوب عند ملاقاته للبول نجاسته، قريبة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يشهد له التعليل في بعض النصوص، كصحيح الفضل أو حسنه بالطهارة ممّا أصابه من فضح الميّت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الميّت إذا خَرَج منه الرّوح بقي أكثر آفةً‌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ابن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غاية ما يستفاد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شرطيّة غُسل المسّ لكلّ ما كان صِرْف الحَدَث مانعاً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الحَدَث الأكبر مانعاً عنه دون الأصغر، كالمكث في المساجد، فلايكون هذا الغُسل شرطاً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قوّيناه من إغناء كلّ غسل عن الوضوء، لا أثر للنزاع في أنّ مسّ الميّت ينقضُ الوضوء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هو المشهور، من العدم، فالظاهر عدم ناقضيّته له، لعدم الدليل عليه، فإنّ الدليل إنّما دلَّ على تحقّق حدثٍ خاص بالمسّ‌، ويكون رافعه الغُسل، وأمّا كون ذلك الحَدَث منافياً للوضوء وناقضاً فلا يدلّ عليه، وما دلَّ على أنّ كلّ غُسلٍ معه وضوء، لا يدلّ على ذلك، كما تقدّم تنقيحه في مبحث الحيض، فراجع</w:t>
      </w:r>
      <w:r>
        <w:rPr>
          <w:rFonts w:eastAsia="Amiri" w:cs="Amiri" w:ascii="Amiri" w:hAnsi="Amiri"/>
          <w:color w:val="111111"/>
          <w:sz w:val="28"/>
          <w:szCs w:val="28"/>
          <w:rtl w:val="true"/>
          <w:lang w:bidi="ar-SA"/>
        </w:rPr>
        <w:t>.</w:t>
      </w:r>
      <w:r>
        <w:rPr>
          <w:rStyle w:val="FootnoteAnchor"/>
          <w:rtl w:val="true"/>
        </w:rPr>
        <w:footnoteReference w:id="49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47" w:name="pg11797_256556"/>
    </w:p>
    <w:p>
      <w:pPr>
        <w:pStyle w:val="Heading6"/>
        <w:numPr>
          <w:ilvl w:val="5"/>
          <w:numId w:val="1"/>
        </w:numPr>
        <w:rPr/>
      </w:pPr>
      <w:bookmarkStart w:id="148" w:name="__RefHeading___Toc10391006_73709187"/>
      <w:bookmarkStart w:id="149" w:name="_Toc54"/>
      <w:bookmarkEnd w:id="147"/>
      <w:bookmarkEnd w:id="148"/>
      <w:r>
        <w:rPr>
          <w:rtl w:val="true"/>
        </w:rPr>
        <w:t>حكم الشكّ في المسّ الموجب للغُسل</w:t>
      </w:r>
      <w:bookmarkEnd w:id="149"/>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بعض الشكوك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تحقّق المسّ وعدمه، بنى على العدم للاستصحاب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إذا شكّ في أنّ الممسوس إنسانٌ أو حيوان، فإنّه يجري استصحاب عدم تحقّق المسّ الموجب للغُسل، وهو مسّ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شكّ في أنّه مسّه قبل برده أو بعده‌؟</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أحرز برودته، وشكّ في تقدّم المسّ عليها وتأخّره عنها، فقد يقال إنّه يجري الاستصحاب في كلّ من الحادثين، فيتعارضان ويتساقطان، من غير فرقٍ بين ما إذا عَلم تاريخ أحدهما وجَهل تاريخ الآخر، أو جَهل التاريخ في الطرفين، بناءً على ما حقّقناه في محلّه</w:t>
      </w:r>
      <w:r>
        <w:rPr>
          <w:rStyle w:val="FootnoteAnchor"/>
          <w:rtl w:val="true"/>
        </w:rPr>
        <w:footnoteReference w:id="492"/>
      </w:r>
      <w:r>
        <w:rPr>
          <w:rFonts w:ascii="Amiri" w:hAnsi="Amiri" w:eastAsia="Amiri" w:cs="Amiri"/>
          <w:color w:val="111111"/>
          <w:sz w:val="28"/>
          <w:sz w:val="28"/>
          <w:szCs w:val="28"/>
          <w:rtl w:val="true"/>
          <w:lang w:bidi="ar-SA"/>
        </w:rPr>
        <w:t>من جريان الأصل في الجميع، فيرجع إلى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عدم جريان استصحاب عدم المسّ إلى حين برودته، لعدم كون ذلك موضوع الأثر، فإنّ ما يترتّب عليه الأثر هو المسّ بعد البرودة، وهو لا يثبُت بهذا الأصل كما لا يخفى، فإذاً يجري استصحاب عدم البرودة إلى حين المسّ‌، ويترتّب عليه عدم وجوب الغُسل بمسّه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يحرز برودته حين الشكّ‌، يستصحب عدم برودته، ويترتّب عليه عدم وجوب الغُسل على من مسّه، بناءً على ما هو الصحيح من جريان الأصل في جزء الموضوع، وأنّه بضمّ الوجدان إلى الأصل يُحرز الموضوع، ويترتّب عليه الحكم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شكّ في أنّ الممسوس كان شهيداً أم لا؟</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المختار من وجوب الغُسل بمسّ الشهيد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المشهور من عدم الوجوب بمسّه، فلا يجبُ الغُسل في المقام، لاستصحاب عدم شهادة الممسوس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 استصحاب عدم الموت حَتف أنفه، لعدم كونه موضوعاً لوجوب الغُسل، فإنّ الدليل إنّما دلَّ على وجوب الغُسل بمسّ الميّت مطلقاً، خرج عنه ما إذا كان شهيداً وبقي الباقي، وحيثُ أنّ الشهادة صفة وجوديّة مسبوقة بالعدم، فيجري استصحاب عدمها، ويثبتُ به كون الميّت نجساً ومُحْدِثاً، فيجب تغسيله، والغُسل بمسّه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شكّ في أنّه كان قبل الغُسل أو بعده‌؟ وجب عليه الغُسل، لاستصحاب عدم الغُسل إلى حين المسّ‌، ويترتّب عليه وجوب الغسل به، هذا فيما لم يَحرز الغُسل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فيما علم الغسل أيضاً وشكّ في المتقدّم منهما والمتأخّر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استصحاب عدم المسّ إلى حين الغُسل، ويترتّب عليه عدم وجوب الغُسل، فيتعارضان ويتساقطان، فيرجع إلى استصحاب الطهارة</w:t>
      </w:r>
      <w:r>
        <w:rPr>
          <w:rFonts w:eastAsia="Amiri" w:cs="Amiri" w:ascii="Amiri" w:hAnsi="Amiri"/>
          <w:color w:val="111111"/>
          <w:sz w:val="28"/>
          <w:szCs w:val="28"/>
          <w:rtl w:val="true"/>
          <w:lang w:bidi="ar-SA"/>
        </w:rPr>
        <w:t>.</w:t>
      </w:r>
      <w:bookmarkStart w:id="150" w:name="pg11797_256560"/>
    </w:p>
    <w:p>
      <w:pPr>
        <w:pStyle w:val="Heading6"/>
        <w:numPr>
          <w:ilvl w:val="5"/>
          <w:numId w:val="1"/>
        </w:numPr>
        <w:rPr/>
      </w:pPr>
      <w:bookmarkStart w:id="151" w:name="__RefHeading___Toc10391008_73709187"/>
      <w:bookmarkStart w:id="152" w:name="_Toc55"/>
      <w:bookmarkEnd w:id="150"/>
      <w:bookmarkEnd w:id="151"/>
      <w:r>
        <w:rPr>
          <w:rtl w:val="true"/>
        </w:rPr>
        <w:t>حكم مَسّ القطعة المشكوكة</w:t>
      </w:r>
      <w:bookmarkEnd w:id="152"/>
    </w:p>
    <w:p>
      <w:pPr>
        <w:pStyle w:val="BookText"/>
        <w:rPr/>
      </w:pPr>
      <w:r>
        <w:rPr>
          <w:rFonts w:ascii="Amiri" w:hAnsi="Amiri" w:eastAsia="Amiri" w:cs="Amiri"/>
          <w:color w:val="111111"/>
          <w:sz w:val="28"/>
          <w:sz w:val="28"/>
          <w:szCs w:val="28"/>
          <w:rtl w:val="true"/>
          <w:lang w:bidi="ar-SA"/>
        </w:rPr>
        <w:t>الفرع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قطعتان، يعلم إجمالاً أنّ إحداهما من ميّت الإنسان، فإنْ مسّهما وجَبَ عليه الغُسل، وإنْ مسّ إحداهما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يجبُ عليه الغُسل بمسّها أم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يفصّل بين الموارد؟</w:t>
      </w:r>
    </w:p>
    <w:p>
      <w:pPr>
        <w:pStyle w:val="BookText"/>
        <w:rPr/>
      </w:pPr>
      <w:r>
        <w:rPr>
          <w:rFonts w:ascii="Amiri" w:hAnsi="Amiri" w:eastAsia="Amiri" w:cs="Amiri"/>
          <w:color w:val="111111"/>
          <w:sz w:val="28"/>
          <w:sz w:val="28"/>
          <w:szCs w:val="28"/>
          <w:rtl w:val="true"/>
          <w:lang w:bidi="ar-SA"/>
        </w:rPr>
        <w:t>وجوه، أقواها الأخير، فإنّ العلم الإجمالي بكون إحداهما من الإنسان، لا يمنع من جريان استصحاب عدم تحقّق مسّ الإنسان، الموجب لعدم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الإجمالي بوجوب الغُسل بمسّ هذه، أو وجوب دفن القطعة الاُخرى‌، لا يوجب عدم جريان الأصل فيه، إذ بعد فرض عدم جريان الأصل في الطرف الآخر بمنجّزٍ آخر موجودٍ قبله، يجري الأصل فيه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الغُسل بمسّها فيما إذا حَدَث العلم الإجمالي بعد المسّ‌، وكان الطرف الآخر مورداً لحكمٍ إلزامي من وجوب دفن ونحوه، فإنّه حينئذٍ يحصل العلمان في زمانٍ واحد،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بوجوب دفن الممسوسة مثلاً أو الطرف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والعلم بوجوب الغسل بمسّها، أو وجوب دفن الطرف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ينحلّ أحدهما بالآخر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وجوب الغُسل بالمسّ متأخّرٌ رتبةً عن الأصل الجاري في وجوب دفن الممسوسة، ففي المرتبة السابقة يتعارض ذلك الأصل مع الأصل </w:t>
      </w:r>
    </w:p>
    <w:p>
      <w:pPr>
        <w:pStyle w:val="BookText"/>
        <w:rPr/>
      </w:pPr>
      <w:r>
        <w:rPr>
          <w:rFonts w:ascii="Amiri" w:hAnsi="Amiri" w:eastAsia="Amiri" w:cs="Amiri"/>
          <w:color w:val="111111"/>
          <w:sz w:val="28"/>
          <w:sz w:val="28"/>
          <w:szCs w:val="28"/>
          <w:rtl w:val="true"/>
          <w:lang w:bidi="ar-SA"/>
        </w:rPr>
        <w:t>الجاري في الطرف الآخر فيتساقطان، ففي المرتبة المتأخّرة يجري الأصل في وجوب الغُسل بمسّها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الأحكام ليست أحكاماً للرتبة، وإنّما هي أحكامٌ للزمان، وحيث أنّ الأصل في وجوب غُسل المسّ‌، والدفن في الممسوسة، متّحدان زماناً فكلاهما طرف للمعارضة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تأخّر الأوّل، لكن لا يكون متأخّراً عن الأصل الجاري في القطعة الاُخرى غير الممسوسة، بل هما في رتبة واحدة، ولا وجه لتوهّم التأخّر، إلّا أنّ ما هو متأخّر عن شيءٍ رتبةً‌، متأخّرٌ عمّا يكون في رتبته أيضاً، وإنْ لم يكن بينهما ملاك التأخّر الرتبي، وهو فاسدٌ كما 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الميّت من غير النّاس، غَسل يده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الميّت من غير النّاس، غَسَل يده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نفسٌ سائلة، وكان المسّ برطوبةٍ مُسرية، كما ستعرف تفصيله لاحقاً في مبحث النجاسات</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هذا في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عدم وجوبه، وتشهد له جملةٌ من النصوص المتقدّمة المصرّحة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مباحث أحكام الأموات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53" w:name="pg11797_256566"/>
    </w:p>
    <w:p>
      <w:pPr>
        <w:pStyle w:val="Heading4"/>
        <w:numPr>
          <w:ilvl w:val="3"/>
          <w:numId w:val="1"/>
        </w:numPr>
        <w:rPr/>
      </w:pPr>
      <w:bookmarkStart w:id="154" w:name="__RefHeading___Toc10391010_73709187"/>
      <w:bookmarkStart w:id="155" w:name="_Toc56"/>
      <w:bookmarkEnd w:id="153"/>
      <w:bookmarkEnd w:id="154"/>
      <w:r>
        <w:rPr>
          <w:rtl w:val="true"/>
        </w:rPr>
        <w:t>الفصل السادس في الأغسال المَسنُونة</w:t>
      </w:r>
      <w:bookmarkEnd w:id="155"/>
    </w:p>
    <w:p>
      <w:pPr>
        <w:pStyle w:val="BookText"/>
        <w:rPr/>
      </w:pPr>
      <w:r>
        <w:rPr>
          <w:rFonts w:ascii="Amiri" w:hAnsi="Amiri" w:eastAsia="Amiri" w:cs="Amiri"/>
          <w:color w:val="111111"/>
          <w:sz w:val="28"/>
          <w:sz w:val="28"/>
          <w:szCs w:val="28"/>
          <w:rtl w:val="true"/>
          <w:lang w:bidi="ar-SA"/>
        </w:rPr>
        <w:t>وهي كثيرة، وعدَّ بعضهم سبعاً وأربعين، وبعضهم أنهاها إلى خمسين، وبعضهم إلى أزيد من ستّين، وبعضهم إلى سبع وثمانين، وبعضهم إلى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ومكانيّة، وفعليّة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للفعل الذي يريد أن يفعله، أو للفعل الذي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فعليّة، لأنّها إمّا للدخول في مكانٍ أو للكون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أنّه ليس من دأبنا التعرّض للمستحبّات، سيّما مثل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بنائنا على التسامح في أدلّة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يتفرّع عليه، بنينا على أنّ كلّ غُسل أُمر به يُغني عن الوضوء، فنشير إلى تلكم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 ووقته من طلوع الفجر إلى الزوال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وغُسل أوّل ليلةٍ من رمضان، وغُسل ليلة النصف منه، وليلة السابع عشر، وليلة التاسع عشر، وليلة إحدى وعشرين، وليلة ثلاث وعشرين، وغُسل ليلة الفطر، وغُسل يومي العيدين الفطر والأضحى‌، وغُسل ليلة النصف من رجب، وليلة النصف من شعبان، وغُسل يوم المبعث، ويوم الغدير، ويوم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الإحرام، وغُسل زيارة قبر النبيّ صلى الله عليه و آله والأئمّة الطاهرين عليهم السلام، وغُسل قضاء صلاة الكسوف مع الترك عمداً واحتراق القرص كلّه، وغُسل التوبة، وصلاة الحاجة، والاستخارة، وغُسل دخول الحرم، ودخول المسجد الحرام، ودخول الكعبة، ودخول المدينة المنوّرة، ودخول مسجد النبيّ صلى الله عليه و آله، وغُسل المولود</w:t>
      </w:r>
      <w:r>
        <w:rPr>
          <w:rFonts w:eastAsia="Amiri" w:cs="Amiri" w:ascii="Amiri" w:hAnsi="Amiri"/>
          <w:color w:val="111111"/>
          <w:sz w:val="28"/>
          <w:szCs w:val="28"/>
          <w:rtl w:val="true"/>
          <w:lang w:bidi="ar-SA"/>
        </w:rPr>
        <w:t>.</w:t>
      </w:r>
      <w:bookmarkStart w:id="156" w:name="pg11797_256569"/>
    </w:p>
    <w:p>
      <w:pPr>
        <w:pStyle w:val="Heading3"/>
        <w:numPr>
          <w:ilvl w:val="2"/>
          <w:numId w:val="1"/>
        </w:numPr>
        <w:rPr/>
      </w:pPr>
      <w:bookmarkStart w:id="157" w:name="__RefHeading___Toc10391012_73709187"/>
      <w:bookmarkStart w:id="158" w:name="_Toc57"/>
      <w:bookmarkEnd w:id="156"/>
      <w:bookmarkEnd w:id="157"/>
      <w:r>
        <w:rPr>
          <w:rtl w:val="true"/>
        </w:rPr>
        <w:t>الباب الرابع</w:t>
      </w:r>
      <w:r>
        <w:rPr>
          <w:rtl w:val="true"/>
        </w:rPr>
        <w:t xml:space="preserve">: </w:t>
      </w:r>
      <w:r>
        <w:rPr>
          <w:rtl w:val="true"/>
        </w:rPr>
        <w:t>في التيمّم</w:t>
      </w:r>
      <w:bookmarkEnd w:id="158"/>
    </w:p>
    <w:p>
      <w:pPr>
        <w:pStyle w:val="Heading4"/>
        <w:numPr>
          <w:ilvl w:val="3"/>
          <w:numId w:val="1"/>
        </w:numPr>
        <w:rPr/>
      </w:pPr>
      <w:bookmarkStart w:id="159" w:name="__RefHeading___Toc10391014_73709187"/>
      <w:bookmarkStart w:id="160" w:name="_Toc58"/>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Style w:val="FootnoteAnchor"/>
          <w:rtl w:val="true"/>
        </w:rPr>
        <w:footnoteReference w:id="494"/>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تَيَمَّمُوا اَلْخَبِيثَ مِنْهُ تُنْفِقُونَ </w:t>
      </w:r>
      <w:r>
        <w:rPr>
          <w:rStyle w:val="FootnoteAnchor"/>
          <w:rtl w:val="true"/>
        </w:rPr>
        <w:footnoteReference w:id="495"/>
      </w:r>
      <w:r>
        <w:rPr>
          <w:rFonts w:ascii="Amiri" w:hAnsi="Amiri" w:eastAsia="Amiri" w:cs="Amiri"/>
          <w:color w:val="111111"/>
          <w:sz w:val="28"/>
          <w:sz w:val="28"/>
          <w:szCs w:val="28"/>
          <w:rtl w:val="true"/>
          <w:lang w:bidi="ar-SA"/>
        </w:rPr>
        <w:t xml:space="preserve">أي ولا تقصدوا الرَّدي من المال تُنفقون منه، والظاهر أنّه في الشّرع لم ينقل عن معناه اللّغوي إلى معنى آخر، بل استُعمل في معناه، إذ معناه الذي ينتقل إليه الذّهن عند الإطلاق لدى المتشرِّعة، من مصاديق ذلك المعنى العام، وهو قصد الصَّعيد بمباشرته على وجهٍ خاص، فهو مستعملٌ في معناه اللّغوي في الآية الشّريفة فَتَيَمَّمُوا صَعِيداً طَيِّباً </w:t>
      </w:r>
      <w:r>
        <w:rPr>
          <w:rStyle w:val="FootnoteAnchor"/>
          <w:rtl w:val="true"/>
        </w:rPr>
        <w:footnoteReference w:id="496"/>
      </w:r>
      <w:r>
        <w:rPr>
          <w:rFonts w:ascii="Amiri" w:hAnsi="Amiri" w:eastAsia="Amiri" w:cs="Amiri"/>
          <w:color w:val="111111"/>
          <w:sz w:val="28"/>
          <w:sz w:val="28"/>
          <w:szCs w:val="28"/>
          <w:rtl w:val="true"/>
          <w:lang w:bidi="ar-SA"/>
        </w:rPr>
        <w:t>أي اقصدوا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4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وغيرها، من أنّه نُقل في الشّرع إلى الضّرب على الأرض، والمسح بالوجه واليدين، غير تامّ‌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عند نقل معناه اللّغوي،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صَعِيداً طَيِّباً </w:t>
      </w:r>
      <w:r>
        <w:rPr>
          <w:rStyle w:val="FootnoteAnchor"/>
          <w:rtl w:val="true"/>
        </w:rPr>
        <w:footnoteReference w:id="500"/>
      </w:r>
      <w:r>
        <w:rPr>
          <w:rFonts w:ascii="Amiri" w:hAnsi="Amiri" w:eastAsia="Amiri" w:cs="Amiri"/>
          <w:color w:val="111111"/>
          <w:sz w:val="28"/>
          <w:sz w:val="28"/>
          <w:szCs w:val="28"/>
          <w:rtl w:val="true"/>
          <w:lang w:bidi="ar-SA"/>
        </w:rPr>
        <w:t>ثمّ بعد التزامه بالنقل في الشّرع إلى المعنى المذكور، ذكر هذه الآية بعينها مستشهداً بها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التيمّم ممّا قضت ضرورة الدِّين بطهوريّته لدى الضرورة في الجملة، وهو الذي يُعبَّر عنه بالطهارة الترابيّة تارةً‌، والإضطراريّة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شرعيّته الكتاب المجيد، قال اللّه تعالى في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ما ورد في صدر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تَقْرَبُوا اَلصَّلاةَ وَ أَنْتُمْ سُكارى حَتّى تَعْلَمُوا ما تَقُولُونَ وَ لا جُنُباً إِلاّ عابِرِي سَبِيلٍ حَتَّى تَغْتَسِلُوا وَ إِنْ كُنْتُمْ مَرْضى‌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أوردوا على نظمها بحسب فهمنا من الإشكال وجوهاً، أغلبها موهونة، والعمدة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اللّه تعالى جَمَع بين اُمور أربعة، عطف بعضها على بعض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المقتضية لاستقلال كلٍّ منها في ترتّب الجزاء، وهو الأمر بالتيمّم عليه، مع أنّ المجيء من الغائط، وما عُطف عليه يعدّ من أسباب وجوب الطهارة، أمّا المرض والسّفر فسببان لإباحة التيمّم، ولو لم يجتمع أحدُ الأوّلين مع أحد الأخيرين لم يترتّب الجزاء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 عنه القاضي البيضاوي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وجه هذا التقسيم، أنّ المترخّص بالتيمّم إمّا مُحْدِثٌ أو جُنُب، والحال المقتضية له في غالب الأمر مرضٌ أو سفر، والجُنُب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على بيان حاله، والمُحْدِث لما لم يجر له ذكرٌ،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أسبابه، وما يحدث بالذّات، وما يحدث بالعَرَض، واستغنى عن تفصيل احواله بتفصيل حال الجُنُب، وبيان العدد مجملاً،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جُنُباً مرضى أو على سفرٍ، أو مُحْدِثين جئتُم من الغائط، أو لامستم النساء، فلم تجدوا ماءً فتيمّموا</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ستعرف من ذكر المُحْدِث كالجُنُب في صدرالآية أيضاً، أنّه قد ثبت عندنا من الأخبار الواردة في تفسير الآية الشريفة أنّ الملامسة كنايةٌ عن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504"/>
      </w:r>
      <w:r>
        <w:rPr>
          <w:rFonts w:ascii="Amiri" w:hAnsi="Amiri" w:eastAsia="Amiri" w:cs="Amiri"/>
          <w:color w:val="111111"/>
          <w:sz w:val="28"/>
          <w:sz w:val="28"/>
          <w:szCs w:val="28"/>
          <w:rtl w:val="true"/>
          <w:lang w:bidi="ar-SA"/>
        </w:rPr>
        <w:t>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أَحَدٌ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الواو،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إِلى مِائَةِ أَلْفٍ أَوْ يَزِيدُونَ‌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أكثر النّحاة من إنكارهم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 في صدر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w:t>
      </w:r>
      <w:r>
        <w:rPr>
          <w:rStyle w:val="FootnoteAnchor"/>
          <w:rtl w:val="true"/>
        </w:rPr>
        <w:footnoteReference w:id="506"/>
      </w:r>
      <w:r>
        <w:rPr>
          <w:rFonts w:ascii="Amiri" w:hAnsi="Amiri" w:eastAsia="Amiri" w:cs="Amiri"/>
          <w:color w:val="111111"/>
          <w:sz w:val="28"/>
          <w:sz w:val="28"/>
          <w:szCs w:val="28"/>
          <w:rtl w:val="true"/>
          <w:lang w:bidi="ar-SA"/>
        </w:rPr>
        <w:t>اُريد به القيام من النوم، كما يشهد له موثّق ابن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ما يعني بذلك‌؟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قمتم من النوم</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الالتزام بأنّ المراد به وجوب الوضوء لكلّ صلاة، والالتزام بنسخ هذا الحكم كما عن جماعةٍ‌، ويكون المراد من الجنابة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كُنْتُمْ جُنُباً الجنابة الحاصلة بالاحتلام، فيستفاد منه ناقضيّة النوم، وإغناء غُسل الجنابة عن الوضوء، ويكون المرض والسّفر متعلّقين بهما، وإطلاق المرض من جهة غَلَبة الضَّرر باستعماله الماء، وإطلاق السّفر من جهة غَلَبة فَقْد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أَحَدٌ مِنْكُمْ مِنَ اَلْغائِطِ فإنّ المراد منه المكان المنخفض الذي هو كناية عن التخلّي، والمراد بالملامسة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لامَسْتُمُ اَلنِّساءَ‌ هو الجماع، فهو يكون عطفاً على المقدّر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مَرْضى‌ على معنى كنتم المُحْدِثين بالحَدَثين السابقين؛ أي النوم والاحتلام، ويكون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فَتَيَمَّمُوا </w:t>
      </w:r>
      <w:r>
        <w:rPr>
          <w:rStyle w:val="FootnoteAnchor"/>
          <w:rtl w:val="true"/>
        </w:rPr>
        <w:footnoteReference w:id="509"/>
      </w:r>
      <w:r>
        <w:rPr>
          <w:rFonts w:ascii="Amiri" w:hAnsi="Amiri" w:eastAsia="Amiri" w:cs="Amiri"/>
          <w:color w:val="111111"/>
          <w:sz w:val="28"/>
          <w:sz w:val="28"/>
          <w:szCs w:val="28"/>
          <w:rtl w:val="true"/>
          <w:lang w:bidi="ar-SA"/>
        </w:rPr>
        <w:t>جواباً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يستفاد من منطوق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وجوب التيمّم من حَدَث البول والغائط والجماع، ووجوب الوضوء والغُسل من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في تفسير الآية الشريفة، ظهر الجواب عن جملةٍ من الإشكالات، فضلاً عن الإشكال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بدلالة المضمر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لامَسْتُمُ اَلنِّساءَ‌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جُنُباً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مَرْضى‌</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61" w:name="pg11797_256577"/>
    </w:p>
    <w:p>
      <w:pPr>
        <w:pStyle w:val="BookText"/>
        <w:rPr/>
      </w:pPr>
      <w:bookmarkEnd w:id="161"/>
      <w:r>
        <w:rPr>
          <w:rFonts w:ascii="Amiri" w:hAnsi="Amiri" w:eastAsia="Amiri" w:cs="Amiri"/>
          <w:color w:val="111111"/>
          <w:sz w:val="28"/>
          <w:sz w:val="28"/>
          <w:szCs w:val="28"/>
          <w:rtl w:val="true"/>
          <w:lang w:bidi="ar-SA"/>
        </w:rPr>
        <w:t>مسوّغات التيمّم</w:t>
      </w:r>
    </w:p>
    <w:p>
      <w:pPr>
        <w:pStyle w:val="BookText"/>
        <w:rPr/>
      </w:pPr>
      <w:r>
        <w:rPr>
          <w:rFonts w:ascii="Amiri" w:hAnsi="Amiri" w:eastAsia="Amiri" w:cs="Amiri"/>
          <w:color w:val="111111"/>
          <w:sz w:val="28"/>
          <w:sz w:val="28"/>
          <w:szCs w:val="28"/>
          <w:rtl w:val="true"/>
          <w:lang w:bidi="ar-SA"/>
        </w:rPr>
        <w:t>وفي هذا الباب فصول</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0391016_73709187"/>
      <w:bookmarkStart w:id="163" w:name="_Toc59"/>
      <w:bookmarkEnd w:id="162"/>
      <w:r>
        <w:rPr>
          <w:rtl w:val="true"/>
        </w:rPr>
        <w:t>الفصل الأوّل</w:t>
      </w:r>
      <w:r>
        <w:rPr>
          <w:rtl w:val="true"/>
        </w:rPr>
        <w:t xml:space="preserve">: </w:t>
      </w:r>
      <w:r>
        <w:rPr>
          <w:rtl w:val="true"/>
        </w:rPr>
        <w:t>في مسوّغات التيمّم</w:t>
      </w:r>
      <w:r>
        <w:rPr>
          <w:rtl w:val="true"/>
        </w:rPr>
        <w:t>.</w:t>
      </w:r>
      <w:bookmarkEnd w:id="163"/>
    </w:p>
    <w:p>
      <w:pPr>
        <w:pStyle w:val="Heading5"/>
        <w:numPr>
          <w:ilvl w:val="4"/>
          <w:numId w:val="1"/>
        </w:numPr>
        <w:rPr/>
      </w:pPr>
      <w:bookmarkStart w:id="164" w:name="__RefHeading___Toc10391018_73709187"/>
      <w:bookmarkStart w:id="165" w:name="_Toc60"/>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اختلفت كلمات الأصحاب في بيان ما يسوّغ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جملةٍ من الكتب ذُكر جملةٍ من المسوّغات التي سيأتي التعرّض لها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جملةٍ اُخرى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المصنّف رحمه الله وتذكرته</w:t>
      </w:r>
      <w:r>
        <w:rPr>
          <w:rStyle w:val="FootnoteAnchor"/>
          <w:rtl w:val="true"/>
        </w:rPr>
        <w:footnoteReference w:id="51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وغيرها</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يجمعها شيءٌ واحدٌ، وهو العجر عن استعمال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والمقتضي للإذن عجزٌ مانعٌ عن الطّهور وهو حدٌّ جامع</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ستعرف أنّ من مسوّغات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والضَّرر المالي، والضَّرر البدني غير الممنوع ارتكابه، مع أنّها لا تدخل تحت ذلك الجامع</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سقوط وجوب استعمال الماء</w:t>
      </w:r>
      <w:r>
        <w:rPr>
          <w:rFonts w:eastAsia="Amiri" w:cs="Amiri" w:ascii="Amiri" w:hAnsi="Amiri"/>
          <w:color w:val="111111"/>
          <w:sz w:val="28"/>
          <w:szCs w:val="28"/>
          <w:rtl w:val="true"/>
          <w:lang w:bidi="ar-SA"/>
        </w:rPr>
        <w:t xml:space="preserve">. </w:t>
      </w:r>
      <w:bookmarkStart w:id="166" w:name="pg11797_256580"/>
    </w:p>
    <w:p>
      <w:pPr>
        <w:pStyle w:val="BookText"/>
        <w:rPr/>
      </w:pPr>
      <w:bookmarkEnd w:id="166"/>
      <w:r>
        <w:rPr>
          <w:rFonts w:ascii="Amiri" w:hAnsi="Amiri" w:eastAsia="Amiri" w:cs="Amiri"/>
          <w:color w:val="111111"/>
          <w:sz w:val="28"/>
          <w:sz w:val="28"/>
          <w:szCs w:val="28"/>
          <w:rtl w:val="true"/>
          <w:lang w:bidi="ar-SA"/>
        </w:rPr>
        <w:t>ويجبُ عند فَقْد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فيما لو تحقّق اُمور</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0391020_73709187"/>
      <w:bookmarkStart w:id="168" w:name="_Toc61"/>
      <w:bookmarkEnd w:id="167"/>
      <w:r>
        <w:rPr>
          <w:rtl w:val="true"/>
        </w:rPr>
        <w:t>فَقْد الماء</w:t>
      </w:r>
      <w:bookmarkEnd w:id="168"/>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وجدانه إجماعاً، حكاه جماعة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إجماع العلماء</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الشريفة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الرّجل طهوراً، وكان جُنُباً، فليمسح من الأرض وليصلِّ‌، فإذا وَجَد الماء فليغتَسل، وقد أجزأته صلاته الّتي صلّى</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وهو عامٌ لكلّ 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الحاضر والمسافر، كما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غير واحدٍ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كذلك إذ لم يُنقل الخلاف عن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علماؤنا كافّة إلّامَن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وجود المخالف منّا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غلطٌ، والصحيح ما في أكثر النسخ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 العلماء كافّة إلّامن </w:t>
      </w:r>
    </w:p>
    <w:p>
      <w:pPr>
        <w:pStyle w:val="BookText"/>
        <w:rPr/>
      </w:pPr>
      <w:r>
        <w:rPr>
          <w:rFonts w:ascii="Amiri" w:hAnsi="Amiri" w:eastAsia="Amiri" w:cs="Amiri"/>
          <w:color w:val="111111"/>
          <w:sz w:val="28"/>
          <w:sz w:val="28"/>
          <w:szCs w:val="28"/>
          <w:rtl w:val="true"/>
          <w:lang w:bidi="ar-SA"/>
        </w:rPr>
        <w:t>شَذّ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بقرينة قوله في ذيل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الحاضر إذا عَدم الماء يترك التيمّم والصّلاة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السيّد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الحاضر يعيد إذا وجد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فرض صحّة هذا النقل، لا يكون خلافاً في المقام، لأنّه لا ينكر وجوب التيمّم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له إطلاق الآية الشريفة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لعدم أمر الحاضر الصحيح الفاقد بالتيمّم؛ باختصاص الآية الشريفة بالمسافر والمريض، وأنّها لا تشمل الحاضر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أنّ ذكر السّفر في الآية، إنّما خرج مخرج الغالب، لكون عدم الماء في الحضر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ما ذكرناه في معنى الآية الشريفة، على ما يستفاد من ظاهرها، بضميمة ما ورد في تفسير بعض فقراتها، هي أيضاً تدلّ على المختار،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عدم وجدان الماء، وبين وجدانه بمقدارٍ لا يكفي للغُسل أو الوضوء، كما هو المشهور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في بعض أقواله القول بالتبعيض</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احتماله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شيخنا البهائي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للبحث فيه مجالاً</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مقتضى القاعدة الأوّليّة سقوط الأمر بالطهارة المائيّة، إذ كلّ مركّبٍ لم يَقدر المكلّف على إتيانه، يسقط الأمر به، لعدم إمكان سقوط الأمر بالجزء، من غير أن يسقط الأمر بالكلّ‌، فالأمر بسائر الأجزاء يحتاج إلى دليلٍ‌، ومع عدمه فالأصل يقتضي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النصوص، وهي النصوص الدالّة على وجوب التيمّم للجُنُب إذا كان عنده ما يكفيه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ومعه قدرُ ما يكفيه من الماء للوضوء للصّلاة، أيتوضّأ بالماء أو يتيمّم‌؟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يتيمّم</w:t>
      </w:r>
      <w:r>
        <w:rPr>
          <w:rFonts w:eastAsia="Amiri" w:cs="Amiri" w:ascii="Amiri" w:hAnsi="Amiri"/>
          <w:color w:val="111111"/>
          <w:sz w:val="28"/>
          <w:szCs w:val="28"/>
          <w:rtl w:val="true"/>
          <w:lang w:bidi="ar-SA"/>
        </w:rPr>
        <w:t>»</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52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دعوى ورودها في مقام بيان عدم وجوب الوضوء، ووجوب التيمّم، لا في مقام بيان عدم وجوب التبعيض في الغسل، 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الميسور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حقّقناه في محلّه، وأشرنا إليه في هذا الشرح غير مرّة، من أنّها لم تثبت بنحوٍ تدلّ على عدم سقوط الميسور من الأجزاء بالمعسور منها، وغاية ما يستفاد من الأدلّة عدم سقوط الميسور من الأفراد بمعسورها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ثبتت ففي ثبوتها بنحوٍ تشمل الميسور من المحصّلات، كما في المقام على مسلك القوم من كون الطهارة مسبّبةً عن الغُسل والوضوء لا منطبقة عليهما كما هو المختار، نظرٌ بل 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الفحص عن الماء بلا خلاف،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Style w:val="FootnoteAnchor"/>
          <w:rtl w:val="true"/>
        </w:rPr>
        <w:footnoteReference w:id="5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رحمه الله</w:t>
      </w:r>
      <w:r>
        <w:rPr>
          <w:rStyle w:val="FootnoteAnchor"/>
          <w:rtl w:val="true"/>
        </w:rPr>
        <w:footnoteReference w:id="52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سيأتي في أواخر مباحث المسوّغات عند تعرّض المصنّف 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69" w:name="pg11797_256588"/>
    </w:p>
    <w:p>
      <w:pPr>
        <w:pStyle w:val="BookText"/>
        <w:rPr/>
      </w:pPr>
      <w:bookmarkEnd w:id="169"/>
      <w:r>
        <w:rPr>
          <w:rFonts w:ascii="Amiri" w:hAnsi="Amiri" w:eastAsia="Amiri" w:cs="Amiri"/>
          <w:color w:val="111111"/>
          <w:sz w:val="28"/>
          <w:sz w:val="28"/>
          <w:szCs w:val="28"/>
          <w:rtl w:val="true"/>
          <w:lang w:bidi="ar-SA"/>
        </w:rPr>
        <w:t>أو تعذّر استعماله، لمرضٍ أو بردٍ أو خوف عطشٍ‌</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0391022_73709187"/>
      <w:bookmarkStart w:id="171" w:name="_Toc62"/>
      <w:bookmarkEnd w:id="170"/>
      <w:r>
        <w:rPr>
          <w:rtl w:val="true"/>
        </w:rPr>
        <w:t>تعذّر استعمال الماء</w:t>
      </w:r>
      <w:bookmarkEnd w:id="171"/>
    </w:p>
    <w:p>
      <w:pPr>
        <w:pStyle w:val="Heading6"/>
        <w:numPr>
          <w:ilvl w:val="5"/>
          <w:numId w:val="1"/>
        </w:numPr>
        <w:rPr/>
      </w:pPr>
      <w:bookmarkStart w:id="172" w:name="__RefHeading___Toc10391024_73709187"/>
      <w:bookmarkStart w:id="173" w:name="_Toc63"/>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الأمر الثاني من مسوّغات التيمّم، ما ذكره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تعذّر استعماله لمرضٍ أو بردٍ أو خوف 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المسوّغات، تعذّر استعمال الماء، لاستلزامه حدوث مرضٍ‌، أو شدّته، أو طول مدّته، أو بطؤ بُرئه، أو صعوبة علاجه، أو بردٍ، أو خوف عطشٍ أو نحو ذلك ممّا يعسر تحمّله، 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مَرْضى‌ </w:t>
      </w:r>
      <w:r>
        <w:rPr>
          <w:rStyle w:val="FootnoteAnchor"/>
          <w:rtl w:val="true"/>
        </w:rPr>
        <w:footnoteReference w:id="529"/>
      </w:r>
      <w:r>
        <w:rPr>
          <w:rFonts w:ascii="Amiri" w:hAnsi="Amiri" w:eastAsia="Amiri" w:cs="Amiri"/>
          <w:color w:val="111111"/>
          <w:sz w:val="28"/>
          <w:sz w:val="28"/>
          <w:szCs w:val="28"/>
          <w:rtl w:val="true"/>
          <w:lang w:bidi="ar-SA"/>
        </w:rPr>
        <w:t xml:space="preserve">بناءً على ما تقدّم من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تعذّر استعمال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وعموم</w:t>
      </w:r>
      <w:r>
        <w:rPr>
          <w:rStyle w:val="FootnoteAnchor"/>
          <w:rtl w:val="true"/>
        </w:rPr>
        <w:footnoteReference w:id="530"/>
      </w:r>
      <w:r>
        <w:rPr>
          <w:rFonts w:ascii="Amiri" w:hAnsi="Amiri" w:eastAsia="Amiri" w:cs="Amiri"/>
          <w:color w:val="111111"/>
          <w:sz w:val="28"/>
          <w:sz w:val="28"/>
          <w:szCs w:val="28"/>
          <w:rtl w:val="true"/>
          <w:lang w:bidi="ar-SA"/>
        </w:rPr>
        <w:t>ما دلَّ على نفي الضَّرر والحَرَج</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وصحيحة داود الرِّقي</w:t>
      </w:r>
      <w:r>
        <w:rPr>
          <w:rStyle w:val="FootnoteAnchor"/>
          <w:rtl w:val="true"/>
        </w:rPr>
        <w:footnoteReference w:id="531"/>
      </w:r>
      <w:r>
        <w:rPr>
          <w:rFonts w:ascii="Amiri" w:hAnsi="Amiri" w:eastAsia="Amiri" w:cs="Amiri"/>
          <w:color w:val="111111"/>
          <w:sz w:val="28"/>
          <w:sz w:val="28"/>
          <w:szCs w:val="28"/>
          <w:rtl w:val="true"/>
          <w:lang w:bidi="ar-SA"/>
        </w:rPr>
        <w:t>، وخبر يعقوب بن سالم المتقدّمان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النصوص الخاصّة الواردة في موارد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المجروح والمقروح، ومَنْ يخاف على نفسه البرد، كصحيح البزنطي،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تصيبه الجنابة، وبه قروحٌ أو جروح، أو يكون يخاف على نفسه البرد؟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يغتسل ويتيمّم</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مَن يَخاف العَطَش، كصحيح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يكون معه الماء القليل، فإنْ هو اغتسل به خافَ العَطَش، أيغتسل به أو يتيمّم‌؟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يتيمّم، وكذلك إذا أراد الوضوء</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يكون معه الماء في السّفر فيخاف قلّته‌؟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بالصعيد، ويستبقي الماء، فإنّ اللّه عزّ وجلّ جعلهما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والصَّعيد</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صحيح ابن سنان</w:t>
      </w:r>
      <w:r>
        <w:rPr>
          <w:rStyle w:val="FootnoteAnchor"/>
          <w:rtl w:val="true"/>
        </w:rPr>
        <w:footnoteReference w:id="536"/>
      </w:r>
      <w:r>
        <w:rPr>
          <w:rFonts w:ascii="Amiri" w:hAnsi="Amiri" w:eastAsia="Amiri" w:cs="Amiri"/>
          <w:color w:val="111111"/>
          <w:sz w:val="28"/>
          <w:sz w:val="28"/>
          <w:szCs w:val="28"/>
          <w:rtl w:val="true"/>
          <w:lang w:bidi="ar-SA"/>
        </w:rPr>
        <w:t>، وخبر ابن أبي يعفور</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طائفتين من النصوص تدلّان على عدم انتقال الفرض إلى التيمّم في جميع الفروض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مَنْ على بعض مواضع وضوئه جُرْحٌ أو قُرح، يتعذّر عليه استعمال الماء بغسله، وجب عليه وضوء الجبيرة، كصحيح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تكون به القرحة في ذراعه أو نحو ذلك من مواضع الوضوء فيه، فيعصّبها بالخرقة ويتوضّأ، ويمسح عليها إذا توضّأ؟</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يؤذيه الماء، فليمسح على الخرقة، وإنْ كان لا يؤذيه الماء، فلينزع الخرقة ثمّ ليغسلها</w:t>
      </w:r>
      <w:r>
        <w:rPr>
          <w:rFonts w:eastAsia="Amiri" w:cs="Amiri" w:ascii="Amiri" w:hAnsi="Amiri"/>
          <w:color w:val="111111"/>
          <w:sz w:val="28"/>
          <w:szCs w:val="28"/>
          <w:rtl w:val="true"/>
          <w:lang w:bidi="ar-SA"/>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لزوم الغُسل على مَن أصابته جنابة، وإنْ أصابه ما أصابه، كصحيح عبد اللّه بن سليمان،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في أرضٍ باردة، فتخوّف إنْ هو اغتسل أنْ يُصيبه عَنَتٌ من الغُسل،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وإنْ أصابه ما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كان وَجِعاً شديدُ الوَجَع فأصابته جنابة وهو في مكانٍ بارد، وكانت ليلة شديدة الرِّيح باردة، فدعوتُ الغلمة،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فاغسلوني،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بَدٌّ، فحملوني ووضعوني على خَشَباتٍ‌، ثمّ صبّوا عَليَّ الماء فَغسّلوني</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تُصيبه الجنابة في أرضٍ باردة، ولا يجدُ الماء، وعسى أن يكون الماء جامداً؟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حَدّثه رجلٌ أنّه فعل ذلك فمرض شهراً من البرد؟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على ما كان، فإنّه لابدَّ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اضطرّ إليه وهو مريض فأتوه به مسخّناً فاغتسل،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الغُسل</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الطائفة تعارض ما تقدّم، بناءً على ما هو الحقّ‌، من عدم الفرق في جواز التيمّم بين كونه مُحْدِثاً بالحَدَث الأصغر أو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تدلّ على انتقال الفرض من الوضوء التامّ إلى وضوء الجبيرة، وهي إنّما تختصُّ بما إذا لم يتضرّر من غَسل الموضع الصحيح، لعموم حديث لا ضرر، وتدلّ على أنّه في ذلك المورد وضوءه الواجب هو وضوء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الأدلّة، لا تدلّ على انتقال الفرض في ذلك المورد إلى التيمّم، فإنّها إنّما تدلّ على الانتقال إليه عند التضرّر من الوضوء الواجب، فتلك النصوص تكون لها نحو حكومةٍ على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الانتقال إلى التيمّم، إنّما يكون فيما إذا كان وضوء الجبيرة أيضاً مضرّاً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 والمفيد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544"/>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545"/>
      </w:r>
      <w:r>
        <w:rPr>
          <w:rFonts w:ascii="Amiri" w:hAnsi="Amiri" w:eastAsia="Amiri" w:cs="Amiri"/>
          <w:color w:val="111111"/>
          <w:sz w:val="28"/>
          <w:sz w:val="28"/>
          <w:szCs w:val="28"/>
          <w:rtl w:val="true"/>
          <w:lang w:bidi="ar-SA"/>
        </w:rPr>
        <w:t>، والنراقي</w:t>
      </w:r>
      <w:r>
        <w:rPr>
          <w:rStyle w:val="FootnoteAnchor"/>
          <w:rtl w:val="true"/>
        </w:rPr>
        <w:footnoteReference w:id="546"/>
      </w:r>
      <w:r>
        <w:rPr>
          <w:rFonts w:ascii="Amiri" w:hAnsi="Amiri" w:eastAsia="Amiri" w:cs="Amiri"/>
          <w:color w:val="111111"/>
          <w:sz w:val="28"/>
          <w:sz w:val="28"/>
          <w:szCs w:val="28"/>
          <w:rtl w:val="true"/>
          <w:lang w:bidi="ar-SA"/>
        </w:rPr>
        <w:t>في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الغُسل على من أجنب متعمّداً دون غيره، جمعاً بين النصوص، بقرينة مرفوع عليّ بن أحمد،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مجدورٍ أصابته جنابة‌؟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أجنب هو، فليغتسل، وإنْ كان احتلم فليتيمّم</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مرفوع إبراهيم بن هاشم</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المرفوعين ضعيفان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للإرسال، وإعراض المشهور عنهما، مضافاً إلى أنّ الثاني مقطوعٌ‌، والأوّل مخالفٌ لظاهر الكتاب والسُنّة، المعتضد بالقواعد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أنّ الصحيحين معارضان للنصوص المتقدّم بعضها، الدالّة على أنّ من أصابته جنابة، وكان به قروحٌ أو جروح، أو يكون بحيث يخاف على نفسه البرد، يتيمّم ولا يغتسل، وهي أشهر، فتُقدَّم وتُطرح هذه النصوص، أو تُحمل على الاستحباب، بناءً على مشروعيّة الوضوء في موارد لزوم الحَرَج أو الضَّرر كما سيأتي، فانتظر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74" w:name="pg11797_256599"/>
    </w:p>
    <w:p>
      <w:pPr>
        <w:pStyle w:val="Heading6"/>
        <w:numPr>
          <w:ilvl w:val="5"/>
          <w:numId w:val="1"/>
        </w:numPr>
        <w:rPr/>
      </w:pPr>
      <w:bookmarkStart w:id="175" w:name="__RefHeading___Toc10391026_73709187"/>
      <w:bookmarkStart w:id="176" w:name="_Toc64"/>
      <w:bookmarkEnd w:id="174"/>
      <w:bookmarkEnd w:id="175"/>
      <w:r>
        <w:rPr>
          <w:rtl w:val="true"/>
        </w:rPr>
        <w:t>تنبيهات باب التيمّم</w:t>
      </w:r>
      <w:bookmarkEnd w:id="176"/>
    </w:p>
    <w:p>
      <w:pPr>
        <w:pStyle w:val="Heading6"/>
        <w:numPr>
          <w:ilvl w:val="5"/>
          <w:numId w:val="1"/>
        </w:numPr>
        <w:rPr/>
      </w:pPr>
      <w:bookmarkStart w:id="177" w:name="__RefHeading___Toc10391028_73709187"/>
      <w:bookmarkStart w:id="178" w:name="_Toc65"/>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بالبحث في موارد</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10391030_73709187"/>
      <w:bookmarkStart w:id="180" w:name="_Toc66"/>
      <w:bookmarkEnd w:id="179"/>
      <w:r>
        <w:rPr>
          <w:rtl w:val="true"/>
        </w:rPr>
        <w:t>لا يعتبر العلم بالمذكورات، بل يكفي الظنّ‌</w:t>
      </w:r>
      <w:bookmarkEnd w:id="180"/>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العلم بالمذكورات، بل يكفي الظنّ‌، بل الاحتمال الموجب للخوف بلا خلافٍ‌، إذ المأخوذ في معاقد الإجماعات هو الخوف، وكذلك في جملةٍ من نصوص الباب كصحاح البزنطي، وداود بن سرحان، والرِّقي، وخبر يعقوب المتقدّمة، من غير فرقٍ بين حصوله من نفسه أو قول غيره، وإنْ كان كافراً،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المصنّف رحمه الله من عدم قبول قول الذمّي، محمولٌ على صورة التهمة المانعة عن تحقّق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احتمالاً غير موجبٍ للخوف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السيّد في عروته، عدم انتقال الفرض إلى التيمّم، والإكتفاء بالوضوء، وتبعه جمعٌ من المتأخّرين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بعض الأعاظم</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للمشروعيّة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هو الخوف صَحّ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الضَّرر الواقعي، كما يشهد به حديث لا ضرر، فمع احتماله ولو ضعيفاً، لا يمكن الرجوع إلى إطلاق دليل الطهارة المائيّة، لكونه تمسّكاً بالعام في الشبهة المصداقيّة، إلّاأن تجري أصالة عدم الضَّرر إلى ما بعد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تماميّة ما ذكره السيّد قدس سره، حتّى بناءً على كون الموضوع هو الضَّرر الواقعي، وعدم جواز التمسّك بالعام في الشبهة المصداقيّة،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ماسيأتي من صحّة الوضوء، حتّى مع العلم بالضرر، فضلاً عن احتماله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عدم صحّته في تلك الصورة في المقام، لا مجال </w:t>
      </w:r>
    </w:p>
    <w:p>
      <w:pPr>
        <w:pStyle w:val="BookText"/>
        <w:rPr/>
      </w:pPr>
      <w:r>
        <w:rPr>
          <w:rFonts w:ascii="Amiri" w:hAnsi="Amiri" w:eastAsia="Amiri" w:cs="Amiri"/>
          <w:color w:val="111111"/>
          <w:sz w:val="28"/>
          <w:sz w:val="28"/>
          <w:szCs w:val="28"/>
          <w:rtl w:val="true"/>
          <w:lang w:bidi="ar-SA"/>
        </w:rPr>
        <w:t>للرجوع إلى عموم حديث لا ضرر، لعدم شموله له واقعاً، وذلك لأنّ دليل نفي الضَّرر واردٌ في مقام الامتنان، ونفيُ الحكم عن الطهارة المائيّة الضَّرريّة في المقام، لو كانت في الواقع كذلك خلاف الامتنان، فإنّه لا يترتّب عليه سوى الكُلفة الزائدة، وهي ضَمّ التيمّم إلى الوضوء قضاءً للعلم الإجمالي بوجوب أحدهما، فالحديث غيرُ شاملٍ للمقام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فالمرجع هو عموم دليل الطهارة المائيّة، ممّا يقتضي صحّة وضوءه في الفرض</w:t>
      </w:r>
      <w:r>
        <w:rPr>
          <w:rFonts w:eastAsia="Amiri" w:cs="Amiri" w:ascii="Amiri" w:hAnsi="Amiri"/>
          <w:color w:val="111111"/>
          <w:sz w:val="28"/>
          <w:szCs w:val="28"/>
          <w:rtl w:val="true"/>
          <w:lang w:bidi="ar-SA"/>
        </w:rPr>
        <w:t>.</w:t>
      </w:r>
      <w:bookmarkStart w:id="181" w:name="pg11797_256603"/>
    </w:p>
    <w:p>
      <w:pPr>
        <w:pStyle w:val="Heading6"/>
        <w:numPr>
          <w:ilvl w:val="5"/>
          <w:numId w:val="1"/>
        </w:numPr>
        <w:rPr/>
      </w:pPr>
      <w:bookmarkStart w:id="182" w:name="__RefHeading___Toc10391032_73709187"/>
      <w:bookmarkStart w:id="183" w:name="_Toc67"/>
      <w:bookmarkEnd w:id="181"/>
      <w:bookmarkEnd w:id="182"/>
      <w:r>
        <w:rPr>
          <w:rtl w:val="true"/>
        </w:rPr>
        <w:t>لو خاف من الشين</w:t>
      </w:r>
      <w:bookmarkEnd w:id="183"/>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خاف من الشين</w:t>
      </w:r>
      <w:r>
        <w:rPr>
          <w:rStyle w:val="FootnoteAnchor"/>
          <w:rtl w:val="true"/>
        </w:rPr>
        <w:footnoteReference w:id="551"/>
      </w:r>
      <w:r>
        <w:rPr>
          <w:rFonts w:ascii="Amiri" w:hAnsi="Amiri" w:eastAsia="Amiri" w:cs="Amiri"/>
          <w:color w:val="111111"/>
          <w:sz w:val="28"/>
          <w:sz w:val="28"/>
          <w:szCs w:val="28"/>
          <w:rtl w:val="true"/>
          <w:lang w:bidi="ar-SA"/>
        </w:rPr>
        <w:t>، وهو ما يعلو البشرة من الخشونة المشوّهة للخِلقة، أو الموجبة لتشقّق الجلد، وخروج الدّم باستعمال الماء، جاز له التيمّم، بلا خلاف فيه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إطباقهم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قطع الأصحاب</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نفي العُسر والحَرَج والضَّرر</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كلام بعضهم، وصريح نهاية المصنّف رحمه الله</w:t>
      </w:r>
      <w:r>
        <w:rPr>
          <w:rStyle w:val="FootnoteAnchor"/>
          <w:rtl w:val="true"/>
        </w:rPr>
        <w:footnoteReference w:id="5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الفرق بين الشديد والضعيف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وأوردعليه</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لانصّ‌على الشين بخصوصه في الأخبار، كي يُتمسّك بإطلاقه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شديده فضلاً عن ضعيفه مشكوك فيه، فلا مورد للتمسّك بإطلاق الآية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مراده التمسّك بإطلاق معاقد الإجماعات، بناءً على كون الإجماع في المقام، من قبيل الإجماع على القاعدة الّذي يعامل مع معقده معاملة متون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كون الإجماع في المقام من قبيل الإجماع على القاعدة، لتقييده في جملةٍ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بالفاحش، وفي اُخرى بما لا يتحمّل عادةً‌،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على عدم مشروعيّته فيما لا يغيّر الخلقة ويشوّهها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الإقتصار على المتيقّن الذي هو مورد أدلّة نفي العُسر والحَرَج والضَّرر، وفي غيره يرجع إلى دليل الطهارة المائيّة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تقييد الشين المسوّغ للتيمّم، بما يكون تحمّله شاقّاً، وموجباً للحَرَج أو الضَّرر</w:t>
      </w:r>
      <w:r>
        <w:rPr>
          <w:rFonts w:eastAsia="Amiri" w:cs="Amiri" w:ascii="Amiri" w:hAnsi="Amiri"/>
          <w:color w:val="111111"/>
          <w:sz w:val="28"/>
          <w:szCs w:val="28"/>
          <w:rtl w:val="true"/>
          <w:lang w:bidi="ar-SA"/>
        </w:rPr>
        <w:t>.</w:t>
      </w:r>
      <w:bookmarkStart w:id="184" w:name="pg11797_256607"/>
    </w:p>
    <w:p>
      <w:pPr>
        <w:pStyle w:val="Heading6"/>
        <w:numPr>
          <w:ilvl w:val="5"/>
          <w:numId w:val="1"/>
        </w:numPr>
        <w:rPr/>
      </w:pPr>
      <w:bookmarkStart w:id="185" w:name="__RefHeading___Toc10391034_73709187"/>
      <w:bookmarkStart w:id="186" w:name="_Toc68"/>
      <w:bookmarkEnd w:id="184"/>
      <w:bookmarkEnd w:id="185"/>
      <w:r>
        <w:rPr>
          <w:rtl w:val="true"/>
        </w:rPr>
        <w:t>لا يكفي المرض اليسير في انتقال الفرض إلى التيمّم</w:t>
      </w:r>
      <w:bookmarkEnd w:id="186"/>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 xml:space="preserve">المصنّف،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w:t>
      </w:r>
      <w:r>
        <w:rPr>
          <w:rStyle w:val="FootnoteAnchor"/>
          <w:rtl w:val="true"/>
        </w:rPr>
        <w:footnoteReference w:id="561"/>
      </w:r>
      <w:r>
        <w:rPr>
          <w:rFonts w:ascii="Amiri" w:hAnsi="Amiri" w:eastAsia="Amiri" w:cs="Amiri"/>
          <w:color w:val="111111"/>
          <w:sz w:val="28"/>
          <w:sz w:val="28"/>
          <w:szCs w:val="28"/>
          <w:rtl w:val="true"/>
          <w:lang w:bidi="ar-SA"/>
        </w:rPr>
        <w:t xml:space="preserve">الشيخ،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المرض اليسير لا يكفي في انتقال الفرض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الثاني</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Style w:val="FootnoteAnchor"/>
          <w:rtl w:val="true"/>
        </w:rPr>
        <w:footnoteReference w:id="564"/>
      </w:r>
      <w:r>
        <w:rPr>
          <w:rFonts w:ascii="IRNazanin" w:hAnsi="IRNazanin" w:eastAsia="IRNazanin"/>
          <w:color w:val="111111"/>
          <w:sz w:val="28"/>
          <w:sz w:val="28"/>
          <w:szCs w:val="28"/>
          <w:rtl w:val="true"/>
          <w:lang w:bidi="fa-IR"/>
        </w:rPr>
        <w:t>، وقواعده</w:t>
      </w:r>
      <w:r>
        <w:rPr>
          <w:rStyle w:val="FootnoteAnchor"/>
          <w:rtl w:val="true"/>
        </w:rPr>
        <w:footnoteReference w:id="56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الجواز على مطلق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النزاع لفظيّاً، كما يظهر من ملاحظة أدلّة الطرفين، فإنّه 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صدق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وانصراف الضَّرر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وإطلاق الآية الشريفة، بقرينة مناسبة الحكم والموضوع المغروسة في الأذهان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والإجماع منزّل على غير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بالحَرَج</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أشدُّ ضرراً من الشين الذي سوّغوا التيمّم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وبعدم الوثوق بيسير المرض، عن أن يصير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أدلّة الطرفين ظاهرة في اتّفاق الجميع على جواز التيمّم، في المرض الذي يجري فيه هذه الوجوه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نزاع ولا كلام، في أنّ المرض اليسير الذي لا حَرَج فيه ولا ضَرَر، ويطمئن بعدم صيرورته شديداً، لا يكون من مسوّغات التيمّم كما عرفت، كما أنّه لا يسقط به التكليف بالصّوم والصّلاة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الذي لا يعتدّ به في العادة، لا يكون موجباً لانتقال الفرض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ذكرنا حكم زيادة المرض، فإنّه إذا كانت الزيادة يسيرة،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الانضمام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مشقّة لا يجوز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الألم الخالي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يُشرع معه التيمّم إذا كان بحيثُ لا يتحمّل عادةً كما عن الأكثر،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الإجماع عليه، أم لا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 لعموم دليل نفي الحَرَج، ولعلّ مراد الشهيد الألم الذى لا حرج في تحمّله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87" w:name="pg11797_256611"/>
    </w:p>
    <w:p>
      <w:pPr>
        <w:pStyle w:val="Heading6"/>
        <w:numPr>
          <w:ilvl w:val="5"/>
          <w:numId w:val="1"/>
        </w:numPr>
        <w:rPr/>
      </w:pPr>
      <w:bookmarkStart w:id="188" w:name="__RefHeading___Toc10391036_73709187"/>
      <w:bookmarkStart w:id="189" w:name="_Toc69"/>
      <w:bookmarkEnd w:id="187"/>
      <w:bookmarkEnd w:id="188"/>
      <w:r>
        <w:rPr>
          <w:rtl w:val="true"/>
        </w:rPr>
        <w:t>في حكم من تحمّل الضَّرر وتوضّأ</w:t>
      </w:r>
      <w:bookmarkEnd w:id="189"/>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تحمّل المصلّي الضَّرر وتوضّأ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الضَّرر في تحصيل الماء ونحوه من المقدّمات، فلا إشكال ولا كلام في صحّة الوضوء، بل وجوبه بعد تحمّل الضَّرر، وحصول المقدّمة، لصدق الوجدان، وعدم المانع عن وجوب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في استعمال الماء،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وعن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استعمال الماء حينئذٍ حرامٌ‌، لكونه إضراراً بالنفس، فلا يكون مأموراً به، بل منهيّاً عنه، فيفسد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استعمال الماء إنّما يكون محرّماً غيريّاً لا نفسيّاً، لكون الحرام النفسي هو الضَّرر المترتّب عليه، والحرمة الغيريّة لا تصلح للمبعّديّة، فلا مانع من 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المترتّب لا يكون حراماً، إذ متعلّق التكليف لابدَّ وأن يكون فعل المكلّف، وهو في المقام الإضرار، فهو حرامٌ نفسي، وهو وإنْ كان عنواناً توليديّاً من استعمال الماء، إلّاأنّه ليس له وجودٌ آخر غير وجود ما تولّد منه، كالإحراق المتولّد من النار، بل هو يكون منطبقاً على ما تولّد منه، فحرمته عبارةٌ اُخرى عن حرمة استعمال الماء بالوضوء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دليل على حرمة الإضرار بالنفس، لأنّ شيئاً </w:t>
      </w:r>
    </w:p>
    <w:p>
      <w:pPr>
        <w:pStyle w:val="BookText"/>
        <w:rPr/>
      </w:pPr>
      <w:r>
        <w:rPr>
          <w:rFonts w:ascii="Amiri" w:hAnsi="Amiri" w:eastAsia="Amiri" w:cs="Amiri"/>
          <w:color w:val="111111"/>
          <w:sz w:val="28"/>
          <w:sz w:val="28"/>
          <w:szCs w:val="28"/>
          <w:rtl w:val="true"/>
          <w:lang w:bidi="ar-SA"/>
        </w:rPr>
        <w:t>من النصوص التي استدلّ بها لها لا يدلّ عليها، كما حقّقناه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لا ضرر إنّما يوجب تقييد متعلّقات الأحكام، ويدلّ على أنّ كلّ تشريعٍ ضرري منفيٌّ في الإسلام، وعليه فالوضوء المزبور لم يشرع في الشريعة،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دلَّ على وجوب الوضوء عند وجدان الماء، إنّما يدلّ على أنّ الوضوء ولو كان ضرريّاً، واجبٌ وواجد للملاك، وحديث لا ضرر إنّما يوجب تقييد ذلك الدليل من جهة دلالته على وجوب الوضوء، وأمّا دلالته على واجديّة كلّ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ضرريّاً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للملاك، فهي باقية بحالها، ولا دليل على تقييد إطلاقه من هذه الجهة، فإنّه إذا كانت للكلام دلالات وظهورات متعدّدة، وسقط بعضها عن الحجّية، فلا موجب لسقوط الآخر، وعليه فيصحّ الإتيان به بداعي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بالإطلاق فرع كون الكلام مسوقاً للبيان، وكونه مسوقاً لبيان حكم لا يكفي في التمسّك بالإطلاق في حكمٍ آخر، ودليل وجوب الوضوء إنّما يكون في مقام بيان وجوب كلّ وضوءٍ‌، لا كون كلّ فردٍ واجداً للملاك، وإنّما يستكشف ذلك من الحكم، فإذا فرضنا تقييد الحكم، وعدم ثبوته للوضوء الضَّرري، فلا كاشف عن وجود الملاك، ولا إطلاق حتّى يتمسّك به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ودعوى بعض الأعاظم</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بناءً على أنّ الاختلاف بين الوجوب والاستحباب، إنّما يكون بالاختلاف في الترخيص في تركه وعدمه، وأنّ أدلّة نفي الضَّرر والحَرَج لا ترفع الطلب، وإنّما تقتضي الترخيص، فيرتفع الوجوب، فالطلب يكون بحاله باقياً بلا نقص فيه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تلك الأدلّة نافية للتكليف لا مثبتة، فلا يثبت بها الترخيص، وهي إنّما ترفع الأحكام الشرعيّة دون العقليّة، فلا تصلح أن تكون رافعة لحكم العقل بوجوب إتيان ما أمر به المولى، فلا محالة تكون رافعة للطلب المتعلّق بالفعل، الذي هو المُنشأ لحكم العقل بلزوم الإتيان بما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يرد على أصل الاستدلال بأنّ حديث لا ضرر بما أنّه واردٌ في مقام الامتنان، فإنّه لا يصلح أن يكون رافعاً للاستحباب، إذ لا كُلفة في وضعه كي يرفعه، وإنّما يرفع التكاليف اللّزوميّة، وحيثُ أنّ الوضوء مستحبٌّ نفسي على الأظهر، ومستحبٌّ غيري على مسلك المشهور، لبنائهم على كون المستحبّ النفسي هو الكون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تنقيح القول في ذلك في الجزء الأوّل من هذاالشرح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فلزومه وإنْ كان مرتفعاً، إلّاأنّ استحبابه باقٍ‌، فيصحّ الإتيان به لاستحبابه النفسي، أو لغايةٍ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النائيني رحمه الله</w:t>
      </w:r>
      <w:r>
        <w:rPr>
          <w:rStyle w:val="FootnoteAnchor"/>
          <w:rtl w:val="true"/>
        </w:rPr>
        <w:footnoteReference w:id="573"/>
      </w:r>
      <w:r>
        <w:rPr>
          <w:rFonts w:ascii="Amiri" w:hAnsi="Amiri" w:eastAsia="Amiri" w:cs="Amiri"/>
          <w:color w:val="111111"/>
          <w:sz w:val="28"/>
          <w:sz w:val="28"/>
          <w:szCs w:val="28"/>
          <w:rtl w:val="true"/>
          <w:lang w:bidi="ar-SA"/>
        </w:rPr>
        <w:t>، وهو أنّه لا ريب في صحّة التيمّم في الفرض، فلو كان الوضوء أيضاً صحيحاً، لزم التخيير بينهما، وهو يشبه الجمع بين النقيضين، إذ موضوع مشروعيّة الوضوء هو الوجدان، وموضوع مشروعيّة التيمّم هو عدم الوجدان، فالحكم بمشروعيّة كليهما معاً، يستلزم كون المكلّف واجداً للماء، وغيرُ واجدٍ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مشروعيّة التيمّم لا ينحصر في عدم الوجدان، بل قد يَشرعُ التيمّم حتّى في فرض الوجدان، وهو فيما إذا كان استعمال الماء ضرريّاً، فإنّه مع صدق الوجدان لا يجب الوضوء، لعموم حديث لا ضرر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يلزم من مشروعيّتهما معاً، صدق الوجدان وعدم الوجدان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النصوص الخاصّة، الناهية عن الغُسل والوضوء، والآمرة بالتيمّم في المقام، هو عدم مشروعيّة الوضوء، ولزوم الإتيان بالتيمّم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عنهما لوروده مورد توهّم الوجوب، لا يكون ظاهراً في عدم المشروعيّة، بل لا يستفاد منه أزيد من عدم الوجوب، كما أنّ الأمر بالتيمّم أيضاً لا يدلّ على الوجوب لوروده مورد توهّم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يظهر أنّ الأقوى هو صحّة الوضوء، إذا تحمّل الحَرَج والمشقّة فتوضّأ، بل الحكم بالصحّة في هذه المسألة أولى من الحكم بها في المسألة السابقة، لعدم جريان الوجه الأوّل المذكور للبطلان في تلك المسألة في المقام، ولذلك فصّل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بين الحَرَج والضَّرر، فحَكَم بفساد الوضوء في الثاني دون الأوّل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90" w:name="pg11797_256620"/>
    </w:p>
    <w:p>
      <w:pPr>
        <w:pStyle w:val="Heading6"/>
        <w:numPr>
          <w:ilvl w:val="5"/>
          <w:numId w:val="1"/>
        </w:numPr>
        <w:rPr/>
      </w:pPr>
      <w:bookmarkStart w:id="191" w:name="__RefHeading___Toc10391038_73709187"/>
      <w:bookmarkStart w:id="192" w:name="_Toc70"/>
      <w:bookmarkEnd w:id="190"/>
      <w:bookmarkEnd w:id="191"/>
      <w:r>
        <w:rPr>
          <w:rtl w:val="true"/>
        </w:rPr>
        <w:t>إذا تيمّم باعتقاد الضَّرر</w:t>
      </w:r>
      <w:bookmarkEnd w:id="192"/>
    </w:p>
    <w:p>
      <w:pPr>
        <w:pStyle w:val="Heading6"/>
        <w:numPr>
          <w:ilvl w:val="5"/>
          <w:numId w:val="1"/>
        </w:numPr>
        <w:rPr/>
      </w:pPr>
      <w:bookmarkStart w:id="193" w:name="__RefHeading___Toc10391040_73709187"/>
      <w:bookmarkStart w:id="194" w:name="_Toc71"/>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تيمّم باعتقاد الضَّرر أو خوفه وصلّى، فتبيّن عدمه، فهل يصحّ تيمّمه وصلاته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أقواهما الأوّل، إذ مشروعيّة التيمّم عُلّقت في جملةٍ من نصوص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بعضها كصحيحي البزنطي وداود</w:t>
      </w:r>
      <w:r>
        <w:rPr>
          <w:rStyle w:val="FootnoteAnchor"/>
          <w:rtl w:val="true"/>
        </w:rPr>
        <w:footnoteReference w:id="575"/>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الخوف من البرد والعَطَش، وإذا ثبتت مشروعيّته، كان مُجزياً بلا كلام، كما سيأتي التعرّض لهذه الكليّة، ومورد هذه النصوص إنّما هو الخوف، لكن يثبت في صورة الاعتقاد للأولويّة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المتعيّن حمل هذه النصوص على إرادة جعل حكمٍ ظاهري في ظرف احتمال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لأنّ ذلك ممّا يقتضيه الجمع العرفي بينها وبين ما يدلّ على تعليق الحكم على الضَّرر الواقعي، كحديث لا ضرر، والآية الشريفة،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لامتناع كون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الضَّرر الواقعي، وخوفه أو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مستقلّاً للحكم، لإستلزامه اجتماع المثلين فيما لو خاف الضَّرر،</w:t>
      </w:r>
    </w:p>
    <w:p>
      <w:pPr>
        <w:pStyle w:val="BookText"/>
        <w:rPr/>
      </w:pPr>
      <w:r>
        <w:rPr>
          <w:rFonts w:ascii="Amiri" w:hAnsi="Amiri" w:eastAsia="Amiri" w:cs="Amiri"/>
          <w:color w:val="111111"/>
          <w:sz w:val="28"/>
          <w:sz w:val="28"/>
          <w:szCs w:val="28"/>
          <w:rtl w:val="true"/>
          <w:lang w:bidi="ar-SA"/>
        </w:rPr>
        <w:t>وكان في الواقع كذلك، فلا بدَّ من التصرّف في إحدى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بحمل تلك الأدلّة على إرادة كون الموضوع هو الخوف أو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حمل نصوص الباب على إرادة جعل حكمٍ ضرري، ولا ريب في أنّ الثاني أولى‌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فكونه مُجزياً في صورة انكشاف الخلاف، يبتني على القول بإجزاء المأمور به الظاهري عن الأمر الواقعي، وهو خلاف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العرفي في غير المقام، وإنْ كان يقتضي ذلك، إلّاأنّ ما دلَّ على مشروعيّة التيمّم عند الخوف في المقام يأبى عنه، فإنّ الأمر بالتيمّم عند الخوف في الصحيحين إنّما وقع في سياق الأمر به لدى القروح والجروح، وحيثُ أنّه لا ريب في كون الثاني حكماً واقعيّاً فكذلك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اجتماع المثلين، فيما إذا خاف الضَّرر أو اعتقده، وكان في الواقع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اللّازم فيه حينئذٍ هو اجتماع جهتين لمشروعيّة التيمّم، ولا محذور في ذلك، كما لو فقد الماء وكان استعمال الماء مضرّاً بحاله، فإنّه لا يلزم من ذلك اجتماع المثلين، بل لازمه مشروعيّة التيمّم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مستند القول الثاني، والجواب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ابن سنان، حيث سأل أبا عبد اللّه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تصيبه الجنابة في اللّيلة الباردة، ويخاف على نفسه التلف إنْ اغتسل‌؟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ويُصلّي، فإذا أمِن البرد اغتسل وأعاد الصّلاة</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علاقة له بما نحن فيه، وإنّما يدلّ على لزوم الإعادة بعد ارتفاع العُذر، وسيجيء نتقيح القول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مع اعتقاد الضَّرر أو خوفه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فبناءً على المختار من صحّة الوضوء مع تحمّل الضَّرر، كما عرفت، صحَّ وضوؤه في صورة تبيّن عدم الضرر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بناءً على عدم الصحّة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المستند هي النصوص الخاصّة الآمرة بالتيمّم مع الخوف، لم يصحّ في المقام، لما عرفت من أنّ الظاهر من تلك النصوص كون الخوف موضوعاً لمشروعيّة التيمّم، وانتقال الفرض إليه وإنْ لم يكن في الواقع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المستند هو حديث لا ضرر، فيصحّ في المقام، لعدم كون الوضوء ضرريّاً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المستند هو أنّ استعمال الماء بما أنّه إضرارٌ بالنفس، فهو حرام، فلا يجوز 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فالبطلان في المقام يدور مدار أنّ الفعل المتجرّى به حرامٌ أم لا؟</w:t>
      </w:r>
    </w:p>
    <w:p>
      <w:pPr>
        <w:pStyle w:val="BookText"/>
        <w:rPr/>
      </w:pPr>
      <w:r>
        <w:rPr>
          <w:rFonts w:ascii="Amiri" w:hAnsi="Amiri" w:eastAsia="Amiri" w:cs="Amiri"/>
          <w:color w:val="111111"/>
          <w:sz w:val="28"/>
          <w:sz w:val="28"/>
          <w:szCs w:val="28"/>
          <w:rtl w:val="true"/>
          <w:lang w:bidi="ar-SA"/>
        </w:rPr>
        <w:t>إذ على الأوّل يصبح الوضوء محرّماً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لا مانع من كون الوضوء مأموراً به، فيصحّ لو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الوقوع بعنوان التجرّي، لا يصلح أن يكون مانعاً عن الأمر به، وكونه مقرّباً في صورة الإتيان به مع تحقّق قصد القربة كما هو المفروض</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المختار هو الثاني كما حقّقناه في محلّه، فالأظهر هي الصحّة، كما أنّها الأظهر بناءً على كون المستند في تلك المسألة هو ما ذكره المحقّق النائيني رحمه الله كما لا يخفى‌</w:t>
      </w:r>
      <w:r>
        <w:rPr>
          <w:rFonts w:eastAsia="Amiri" w:cs="Amiri" w:ascii="Amiri" w:hAnsi="Amiri"/>
          <w:color w:val="111111"/>
          <w:sz w:val="28"/>
          <w:szCs w:val="28"/>
          <w:rtl w:val="true"/>
          <w:lang w:bidi="ar-SA"/>
        </w:rPr>
        <w:t>.</w:t>
      </w:r>
      <w:bookmarkStart w:id="195" w:name="pg11797_256626"/>
    </w:p>
    <w:p>
      <w:pPr>
        <w:pStyle w:val="Heading6"/>
        <w:numPr>
          <w:ilvl w:val="5"/>
          <w:numId w:val="1"/>
        </w:numPr>
        <w:rPr/>
      </w:pPr>
      <w:bookmarkStart w:id="196" w:name="__RefHeading___Toc10391042_73709187"/>
      <w:bookmarkStart w:id="197" w:name="_Toc72"/>
      <w:bookmarkEnd w:id="195"/>
      <w:bookmarkEnd w:id="196"/>
      <w:r>
        <w:rPr>
          <w:rtl w:val="true"/>
        </w:rPr>
        <w:t>لو توضّأ باعتقاد عدم الضَّرر</w:t>
      </w:r>
      <w:bookmarkEnd w:id="197"/>
    </w:p>
    <w:p>
      <w:pPr>
        <w:pStyle w:val="BookText"/>
        <w:rPr/>
      </w:pPr>
      <w:r>
        <w:rPr>
          <w:rFonts w:ascii="Amiri" w:hAnsi="Amiri" w:eastAsia="Amiri" w:cs="Amiri"/>
          <w:color w:val="111111"/>
          <w:sz w:val="28"/>
          <w:sz w:val="28"/>
          <w:szCs w:val="28"/>
          <w:rtl w:val="true"/>
          <w:lang w:bidi="ar-SA"/>
        </w:rPr>
        <w:t>ولو توضّأ باعتقاد عدم الضَّرر، ثمّ تبيّن وجوده‌؟</w:t>
      </w:r>
    </w:p>
    <w:p>
      <w:pPr>
        <w:pStyle w:val="BookText"/>
        <w:rPr/>
      </w:pPr>
      <w:r>
        <w:rPr>
          <w:rFonts w:ascii="Amiri" w:hAnsi="Amiri" w:eastAsia="Amiri" w:cs="Amiri"/>
          <w:color w:val="111111"/>
          <w:sz w:val="28"/>
          <w:sz w:val="28"/>
          <w:szCs w:val="28"/>
          <w:rtl w:val="true"/>
          <w:lang w:bidi="ar-SA"/>
        </w:rPr>
        <w:t>فالمشهور بين الأصحاب على ما نَسبِ إليهم المحقّق النائيني رحمه الله</w:t>
      </w:r>
      <w:r>
        <w:rPr>
          <w:rStyle w:val="FootnoteAnchor"/>
          <w:rtl w:val="true"/>
        </w:rPr>
        <w:footnoteReference w:id="577"/>
      </w:r>
      <w:r>
        <w:rPr>
          <w:rFonts w:ascii="Amiri" w:hAnsi="Amiri" w:eastAsia="Amiri" w:cs="Amiri"/>
          <w:color w:val="111111"/>
          <w:sz w:val="28"/>
          <w:sz w:val="28"/>
          <w:szCs w:val="28"/>
          <w:rtl w:val="true"/>
          <w:lang w:bidi="ar-SA"/>
        </w:rPr>
        <w:t>هي الصحّة، وعدم لزوم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اعتقد فقدان الماء، يصدق عليه أنّه غير واجدٍ للماء، وإنْ كان الماء موجوداً عنده، فيكون ملزماً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اعتقد كون الوضوء مضرّاً بحاله، فإنّه يعتقد باعتقاده ذلك عدم القدرة على الامتثال، وكذلك العكس، فمن اعتقد عدم الضَّرر يكون واجداً للماء فيصحّ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بوجوده الواقعي رافعٌ للحكم، فهو غير واجدٍ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الاستدلال لها بأنّ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 مورد الامتنان، لا يشمل الحكم الذي لا امتنان في رفعه، بل يلزم منه تكليفٌ زائد، والمقام من هذا القبيل، فإنّ الحكم بارتفاع وجوب الوضوء في الفرض، يلزم منه الإتيان بالتيمّم وإعادة الصّلاة، فلا يشمله الحديث، فالأقوى هي الصحّة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عدم الضَّرر فتيمّم، ثمّ تبيّن وجوده، فهل يصحّ تيمّمه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مَرْضى‌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ونصوص المجدور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دليل نفي الضَّرر لموارد الجهل به، إذ الوقوع في الضَّرر فيها ليس مستنداً إلى الحكم الشرعي ليرفع به، بل منشأه جهل المكلّف بالضّرر، واعتقاده عدم الضَّرر، ولذا لو لم يحكم الشارع به لأتى به المكلّف لاعتقاد عدم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الحديث رفع كلّ حكم كان ضرريّاً بنفسه أو بامتثاله، ولا يكون ناظراً إلى الضَّرر الشخصي الخارجي، وأنّه من أيّ شيءٍ نشأ، ومعلومٌ أنّ الأحكام الشرعيّة في موارد الجهل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ثبتت، لصدق عليها أنّها أحكام ضرريّة مجعولة في الشريعة، وعليه فدليل نفي الضَّرر يدلّ على 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امتنان في شموله لموارد الجهل، فلا يكون شاملاً لها، لكونه وارداً في مقام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يكفي في كونه امتنانيّاً جريانه في أمثال المقام، ممّا لازمه صحّة التيمّم وإجزائه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النصوص الواردة في موارد خاصّة كالمجدور وغيره، كون الموضوع هو اعتقاد الضَّرر أو خوفه لا مطلق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هذه النصوص وإنْ كان ذلك، إلّاأنّ 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الشريفة وغيرهما من الأدلّة، كون الموضوع هو الضَّرر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بينهما قد عرفت في المسألة السابقة، أنّه يقتضي الالتزام بكون كلّ واحدٍ منهما موضوعاً مستقلّاً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هي صحّة التيمّم مع تأتّي قصد القُربة منه</w:t>
      </w:r>
      <w:r>
        <w:rPr>
          <w:rFonts w:eastAsia="Amiri" w:cs="Amiri" w:ascii="Amiri" w:hAnsi="Amiri"/>
          <w:color w:val="111111"/>
          <w:sz w:val="28"/>
          <w:szCs w:val="28"/>
          <w:rtl w:val="true"/>
          <w:lang w:bidi="ar-SA"/>
        </w:rPr>
        <w:t>.</w:t>
      </w:r>
      <w:bookmarkStart w:id="198" w:name="pg11797_256631"/>
    </w:p>
    <w:p>
      <w:pPr>
        <w:pStyle w:val="Heading6"/>
        <w:numPr>
          <w:ilvl w:val="5"/>
          <w:numId w:val="1"/>
        </w:numPr>
        <w:rPr/>
      </w:pPr>
      <w:bookmarkStart w:id="199" w:name="__RefHeading___Toc10391044_73709187"/>
      <w:bookmarkStart w:id="200" w:name="_Toc73"/>
      <w:bookmarkEnd w:id="198"/>
      <w:bookmarkEnd w:id="199"/>
      <w:r>
        <w:rPr>
          <w:rtl w:val="true"/>
        </w:rPr>
        <w:t>لو خاف العَطَش على نفسه أو غيره</w:t>
      </w:r>
      <w:bookmarkEnd w:id="200"/>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ولا خلاف في أنّه لو كان عنده ماءٌ قليل وخاف أن يعطش إنْ توضّأ به، جاز له التيمّم،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أهل العلم</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Style w:val="FootnoteAnchor"/>
          <w:rtl w:val="true"/>
        </w:rPr>
        <w:footnoteReference w:id="581"/>
      </w:r>
      <w:r>
        <w:rPr>
          <w:rFonts w:ascii="Amiri" w:hAnsi="Amiri" w:eastAsia="Amiri" w:cs="Amiri"/>
          <w:color w:val="111111"/>
          <w:sz w:val="28"/>
          <w:sz w:val="28"/>
          <w:szCs w:val="28"/>
          <w:rtl w:val="true"/>
          <w:lang w:bidi="ar-SA"/>
        </w:rPr>
        <w:t>وموثّق سماعة</w:t>
      </w:r>
      <w:r>
        <w:rPr>
          <w:rStyle w:val="FootnoteAnchor"/>
          <w:rtl w:val="true"/>
        </w:rPr>
        <w:footnoteReference w:id="582"/>
      </w:r>
      <w:r>
        <w:rPr>
          <w:rFonts w:ascii="Amiri" w:hAnsi="Amiri" w:eastAsia="Amiri" w:cs="Amiri"/>
          <w:color w:val="111111"/>
          <w:sz w:val="28"/>
          <w:sz w:val="28"/>
          <w:szCs w:val="28"/>
          <w:rtl w:val="true"/>
          <w:lang w:bidi="ar-SA"/>
        </w:rPr>
        <w:t>المتقدّمان في أوّل هذا المسوّغ، ونحوهما صحيح ابن سنان،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أصابته جنابة في السّفر، وليس معه إلّاماء قليل، ويخاف إنْ هو اغتسل أنْ يعطش‌؟</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خاف عَطَشاً فلا يهريق منه قطرة، ليتيمّم بالصعيد، فإنّ الصَّعيد أحبُّ إليّ‌</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ابن أبي يعفور</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هل يختصّ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بعَطَش نفسه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يعمّ عَطَش رفيقه إذا كان مُسلماً أو كافراً ذميّاً أو معاهداً، أو عَطَش حيوانٍ له حُرمة كما عن المصنّف رحمه الله في بعض كتبه</w:t>
      </w:r>
      <w:r>
        <w:rPr>
          <w:rStyle w:val="FootnoteAnchor"/>
          <w:rtl w:val="true"/>
        </w:rPr>
        <w:footnoteReference w:id="585"/>
      </w:r>
      <w:r>
        <w:rPr>
          <w:rFonts w:ascii="IRNazanin" w:hAnsi="IRNazanin" w:eastAsia="IRNazanin"/>
          <w:color w:val="111111"/>
          <w:sz w:val="28"/>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يعمّ كلّ ما يلزم من عدم صرف المال فيه الوقوع في الحرام، أو الضَّرر البدني أو المالي أو الحَرَج‌؟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يتعدّى إلى غير ذلك‌؟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جواز التيمّم فيما لو خَشي العَطَش على رفيقه أو دوابّه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حرمة أخيه المسلم كحرمته، وبأنّ حرمة المسلم آكد من حرمة الصّلاة، والخوف على الدّواب خوفٌ على المال، ومعه يجوز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تدلّ عليه الأدلّة، إنّما هي حرمة قتل المسلم، ووجوب حفظه من التلف، وأمّا أنّه عند الخوف من تلفه يجبُ الاحتياط في حفظه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دليل على وجوب حفظه من حدوث مرضٍ عليه، أو حَرَجٍ أو مشقّة، وعليه فلا يدلّ ما ذُكر على جواز التيمّم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كون الخوف على المال في نفسه مطلقاً مسوّغاً للتيمّم قابلٌ للمناقشة، كيف وقد دلَّ الدليل على لزوم بذل ثمن خطير لشراء الماء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لجواز التيمّم في مطلق موارد خوف العَطَش، سواءٌ أكان على نفسٍ محترمة أو غير محترمة، إنساناً كان أم حيواناً، بما دلَّ على أنّ اللّه يحبّ إبراد كبدٍ حَرّاء</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تضمّن ذلك، بما أنّه لا يدلّ على وجوب رفع العَطَش في جميع الموارد، فلا يصلح لمزاحمة ما دلَّ على وجوب الطهارة المائيّة، وبإطلاق قوله في موثّق سماعة</w:t>
      </w:r>
      <w:r>
        <w:rPr>
          <w:rStyle w:val="FootnoteAnchor"/>
          <w:rtl w:val="true"/>
        </w:rPr>
        <w:footnoteReference w:id="5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ويخاف قلّته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بإطلاقه، يستلزم الالتزام بجواز التيمّم مع خوف قلّة الماء عن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استعماله في سائر حوائجه كغَسل أوانيه ونحوه، وبديهي عدم جواز التيمّم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الموثّق إنّما هو جواز التيمّم في كلّ موردٍ يترتّب محذورٌ على عدم صرف الماء فيه، ولو عُرفاً، وعليه فمقتضى عمومه جواز التيمّم مع خوف عطش كلّ من هو تحت رحمته، وإنْ كان كافراً محقون الدّم، بل وإنْ كان واجب القتل، لا سيّما إذا كان ممّن يجب عليه نفقته، فإنّه يترتّب محذورٌ شرعي على عدم رفع عطشه، وكذلك إذا خاف عطش رفيقه، وإنْ لم يكن ممّن يمونه، فإنّ للرفقة حقّاً تُبذل النفوس دونها، خصوصاً على أهل المروءات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لم يكن مرتبطاً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ممّن يجب حفظه من المُهلِكات، فيجوز التيمّم، بل يجب صرف الماء فيه والتيمّم بدله، وإلّا فلا يكون خوف عطشه من مسوّغات التيمّم، لعدم شمول إطلاق الموثّق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متعلّقة به، ولزم من ذبحها التضرّر، جاز له صرف الماء في رفع عطشها، إذ مقتضى عموم حديث نفي الضرر عدم وجوب ذبحها، وبما أنّها واجبة النفقة عليه، الّتي منها السقي، جاز له التيمّم، بل يشمله حينئذٍ عموم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لرفع وجوب ذبحه في المقام، لما دلَّ على وجوب شراء الماء بثمن خطير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في ما لو خاف على ماله من لَصٍّ أو غيره، من الفرق بين الشراء وإتلاف المال، والتضرّر بتلفه، فراجع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يلزم من ذبحه التضرّر، وجب الذبح، ولا يجوز التيمّم كما لا يخفى‌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دواب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صرف الماء لرفع عطشها، مع وجوب الطهارة المائيّة، وأولى بعدم الجواز، ما إذا كان ذلك الحيوان ممّا يجوز قتله كالكلب العقور والخنزير، بلا ترتّب ضمان عليه</w:t>
      </w:r>
      <w:r>
        <w:rPr>
          <w:rFonts w:eastAsia="Amiri" w:cs="Amiri" w:ascii="Amiri" w:hAnsi="Amiri"/>
          <w:color w:val="111111"/>
          <w:sz w:val="28"/>
          <w:szCs w:val="28"/>
          <w:rtl w:val="true"/>
          <w:lang w:bidi="ar-SA"/>
        </w:rPr>
        <w:t>.</w:t>
      </w:r>
      <w:bookmarkStart w:id="201" w:name="pg11797_256639"/>
    </w:p>
    <w:p>
      <w:pPr>
        <w:pStyle w:val="BookText"/>
        <w:rPr/>
      </w:pPr>
      <w:bookmarkEnd w:id="201"/>
      <w:r>
        <w:rPr>
          <w:rFonts w:ascii="Amiri" w:hAnsi="Amiri" w:eastAsia="Amiri" w:cs="Amiri"/>
          <w:color w:val="111111"/>
          <w:sz w:val="28"/>
          <w:sz w:val="28"/>
          <w:szCs w:val="28"/>
          <w:rtl w:val="true"/>
          <w:lang w:bidi="ar-SA"/>
        </w:rPr>
        <w:t>أو عدم آلةٍ يتوصّل بها إليه</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0391046_73709187"/>
      <w:bookmarkStart w:id="203" w:name="_Toc74"/>
      <w:bookmarkEnd w:id="202"/>
      <w:r>
        <w:rPr>
          <w:rtl w:val="true"/>
        </w:rPr>
        <w:t>عدم الوصلة إلى الماء</w:t>
      </w:r>
      <w:bookmarkEnd w:id="203"/>
    </w:p>
    <w:p>
      <w:pPr>
        <w:pStyle w:val="Heading6"/>
        <w:numPr>
          <w:ilvl w:val="5"/>
          <w:numId w:val="1"/>
        </w:numPr>
        <w:rPr/>
      </w:pPr>
      <w:bookmarkStart w:id="204" w:name="__RefHeading___Toc10391048_73709187"/>
      <w:bookmarkStart w:id="205" w:name="_Toc75"/>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الثالث من مسوّغات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الوصلة إلى الماء، وإنْ كان موجوداً، بلا خلافٍ‌، بل إجماعاً كما ادّعاه جماعة منهم المحقّق رحمه الله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الإجماع، وإطلاق الآية الشريفة،</w:t>
      </w:r>
      <w:r>
        <w:rPr>
          <w:rStyle w:val="FootnoteAnchor"/>
          <w:rtl w:val="true"/>
        </w:rPr>
        <w:footnoteReference w:id="591"/>
      </w:r>
      <w:r>
        <w:rPr>
          <w:rFonts w:ascii="Amiri" w:hAnsi="Amiri" w:eastAsia="Amiri" w:cs="Amiri"/>
          <w:color w:val="111111"/>
          <w:sz w:val="28"/>
          <w:sz w:val="28"/>
          <w:szCs w:val="28"/>
          <w:rtl w:val="true"/>
          <w:lang w:bidi="ar-SA"/>
        </w:rPr>
        <w:t xml:space="preserve">لما عرفت من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موضوعاً في الآية الشريفة، هو عدم الوجود المقدور، لا مطلق عدم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عدم الوصلة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لتوقّفه على السير إلى مكانه المتعذّر عليه، لكبرٍ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لخوف من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لكونه في بئرٍ،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آلةٍ يتوّصل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لتوقّفه على ثمنٍ يضرّه في الحال</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10391050_73709187"/>
      <w:bookmarkStart w:id="207" w:name="_Toc76"/>
      <w:bookmarkEnd w:id="206"/>
      <w:r>
        <w:rPr>
          <w:rtl w:val="true"/>
        </w:rPr>
        <w:t>مسائل</w:t>
      </w:r>
      <w:r>
        <w:rPr>
          <w:rtl w:val="true"/>
        </w:rPr>
        <w:t>:</w:t>
      </w:r>
      <w:bookmarkEnd w:id="2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هنا مسائل</w:t>
      </w:r>
      <w:r>
        <w:rPr>
          <w:rFonts w:eastAsia="IRNazanin" w:cs="IRNazanin"/>
          <w:color w:val="111111"/>
          <w:sz w:val="28"/>
          <w:szCs w:val="28"/>
          <w:rtl w:val="true"/>
          <w:lang w:bidi="fa-IR"/>
        </w:rPr>
        <w:t>:</w:t>
      </w:r>
    </w:p>
    <w:p>
      <w:pPr>
        <w:pStyle w:val="Heading6"/>
        <w:numPr>
          <w:ilvl w:val="5"/>
          <w:numId w:val="1"/>
        </w:numPr>
        <w:rPr/>
      </w:pPr>
      <w:bookmarkStart w:id="208" w:name="__RefHeading___Toc10391052_73709187"/>
      <w:bookmarkStart w:id="209" w:name="_Toc77"/>
      <w:bookmarkEnd w:id="208"/>
      <w:r>
        <w:rPr>
          <w:rtl w:val="true"/>
        </w:rPr>
        <w:t>لا خلاف كما عرفت في أنّه لو لم يتمكّن من الوصول إليه لكبرٍ أو غيره ينتقل فرضه إلى التيمّم</w:t>
      </w:r>
      <w:bookmarkEnd w:id="209"/>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كما عرفت في أنّه لو لم يتمكّن من الوصول إليه لكبرٍ أو غيره ينتقل فرضه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مَرْضى‌ </w:t>
      </w:r>
      <w:r>
        <w:rPr>
          <w:rStyle w:val="FootnoteAnchor"/>
          <w:rtl w:val="true"/>
        </w:rPr>
        <w:footnoteReference w:id="592"/>
      </w:r>
      <w:r>
        <w:rPr>
          <w:rFonts w:ascii="Amiri" w:hAnsi="Amiri" w:eastAsia="Amiri" w:cs="Amiri"/>
          <w:color w:val="111111"/>
          <w:sz w:val="28"/>
          <w:sz w:val="28"/>
          <w:szCs w:val="28"/>
          <w:rtl w:val="true"/>
          <w:lang w:bidi="ar-SA"/>
        </w:rPr>
        <w:t xml:space="preserve">، فإنّه بإطلاقه يشمل المرض، الموجب </w:t>
      </w:r>
    </w:p>
    <w:p>
      <w:pPr>
        <w:pStyle w:val="BookText"/>
        <w:rPr/>
      </w:pPr>
      <w:r>
        <w:rPr>
          <w:rFonts w:ascii="Amiri" w:hAnsi="Amiri" w:eastAsia="Amiri" w:cs="Amiri"/>
          <w:color w:val="111111"/>
          <w:sz w:val="28"/>
          <w:sz w:val="28"/>
          <w:szCs w:val="28"/>
          <w:rtl w:val="true"/>
          <w:lang w:bidi="ar-SA"/>
        </w:rPr>
        <w:t>للعجز عن السعي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وعموم ما دلَّ على رفع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فيما لومَنَعه الزُّحام يوم الجمعة، أو يوم عرفة عن الخروج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w:t>
      </w:r>
      <w:r>
        <w:rPr>
          <w:rStyle w:val="FootnoteAnchor"/>
          <w:rtl w:val="true"/>
        </w:rPr>
        <w:footnoteReference w:id="593"/>
      </w:r>
      <w:r>
        <w:rPr>
          <w:rFonts w:ascii="Amiri" w:hAnsi="Amiri" w:eastAsia="Amiri" w:cs="Amiri"/>
          <w:color w:val="111111"/>
          <w:sz w:val="28"/>
          <w:sz w:val="28"/>
          <w:szCs w:val="28"/>
          <w:rtl w:val="true"/>
          <w:lang w:bidi="ar-SA"/>
        </w:rPr>
        <w:t>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يتيمّم، ويُصلّي ثمّ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يتيمّم ويُصلّي ولا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السكوني، عن جعفر، عن أبيه،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يكون في وسط الزحام يوم الجمعة ويوم عرفة، لا يستطيع الخروج من المسجد من كثرة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ويُصلّي معهم ويُعيد إذا انصرف</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موثّق سماعة عن الإمام الصادق عليه السلام</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عنهما المحقّق</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السند، واستدلّ بنفسه على مختاره بأنّه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صلاةً مأموراً بها، مستجمعة للشروط حال أدائها فتكون مُجزية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الخبرين ورودهما في مورد عدم ضيق الوقت، والتمكّن من التوضّي خارج المسجد بعد تفرّق الناس، فإنّ المسؤول عنه فيهما الصّلاة في يوم الجمعة ويوم عرفة، ومعلوم أنّه في يوم عرفة عند إقامة الجماعة لا يكون وقت الصّلاة ضيّقاً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الظاهر منهما هو السؤال عن الصّلاة مع المخالفين بلا وضوء، لا عن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 الصحيحة، لأنّهم أرباب الجمعة والجماعات في تلك الأزمنة، لا سيّما في المواضع الظاهرة واجتماع عامّة الناس، وعلى ذلك فلا تكون الصّلاة المفروضة مع التيمّم مُجزية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مع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لها مع عدم تضيّق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فالإعادة تكون على القاعدة، ولكن مع ذلك فإنّهما يدلّان على مشروعيّة التيمّم في أمثال هذا المورد، فإنّه بعد فرض كون الوضوء مأموراً به للصّلاة معهم، كما يشهد له خبر مسعدة بن صدقة</w:t>
      </w:r>
      <w:r>
        <w:rPr>
          <w:rStyle w:val="FootnoteAnchor"/>
          <w:rtl w:val="true"/>
        </w:rPr>
        <w:footnoteReference w:id="598"/>
      </w:r>
      <w:r>
        <w:rPr>
          <w:rFonts w:ascii="Amiri" w:hAnsi="Amiri" w:eastAsia="Amiri" w:cs="Amiri"/>
          <w:color w:val="111111"/>
          <w:sz w:val="28"/>
          <w:sz w:val="28"/>
          <w:szCs w:val="28"/>
          <w:rtl w:val="true"/>
          <w:lang w:bidi="ar-SA"/>
        </w:rPr>
        <w:t>في من مَرَّ بقومٍ ناصبيّة قد اُقيمت لهم الصّلاة، وعدم تمكّنه من الوصلة إلى الماء من كثرة الناس، حيث أمره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ما في كلمات الأصحاب في المقام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10" w:name="pg11797_256646"/>
    </w:p>
    <w:p>
      <w:pPr>
        <w:pStyle w:val="Heading6"/>
        <w:numPr>
          <w:ilvl w:val="5"/>
          <w:numId w:val="1"/>
        </w:numPr>
        <w:rPr/>
      </w:pPr>
      <w:bookmarkStart w:id="211" w:name="__RefHeading___Toc10391054_73709187"/>
      <w:bookmarkStart w:id="212" w:name="_Toc78"/>
      <w:bookmarkEnd w:id="210"/>
      <w:bookmarkEnd w:id="211"/>
      <w:r>
        <w:rPr>
          <w:rtl w:val="true"/>
        </w:rPr>
        <w:t>الخوف من سَبُعٍ أو لِصّ‌</w:t>
      </w:r>
      <w:bookmarkEnd w:id="21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من السير إلى مكان الماء من لِصٍّ أو سَبُعٍ‌، جاز له التيمّم 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غير واحدٍ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داود الرِّقي،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 الماء ولكن تيمّم، فإنّي أخاف عليك التخلّف من أصحابك، فتضلّ فيأكلك السَّبع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يعقوب بن سالم،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لا يكون معه ماء، والماء عن يمين الطريق ويساره غلوتين أو نحو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آمره أن يُغرّر بنفسه فيعرض له لِصٌّ أو 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أوّل هذا المبحث أنّهما معتبران، مضافاً إلى عمل الأصحاب بهما، فلا سبيل إلى الإعراض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هل يختصّ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بالخوف على النفس، كما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يعمّ الخوف على المال، كما عن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نفي الخلاف فيه،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الاتّفاق عليه‌؟ </w:t>
      </w:r>
    </w:p>
    <w:p>
      <w:pPr>
        <w:pStyle w:val="BookText"/>
        <w:rPr/>
      </w:pPr>
      <w:r>
        <w:rPr>
          <w:rFonts w:ascii="Amiri" w:hAnsi="Amiri" w:eastAsia="Amiri" w:cs="Amiri"/>
          <w:color w:val="111111"/>
          <w:sz w:val="28"/>
          <w:sz w:val="28"/>
          <w:szCs w:val="28"/>
          <w:rtl w:val="true"/>
          <w:lang w:bidi="ar-SA"/>
        </w:rPr>
        <w:t>وجهان، واستدلّ للثاني، بإطلاق الخبرين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صريح الأوّل الاختصاص بالخوف على النفس، كما أنّه الظاهر من الثاني، إذ التغرير بالنفس إنّما هو عبارة عن تعريضها لما يوجب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رفع الحَرَج والعُسر،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لا ريب في أنّ في تعريض المال للّصوص حَرَجاً عظيماً ومهانةً على النفس، بخلاف بذل المال اختياراً، فإنّه لا غضاضة فيه على أهل المروءة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الجواب عن سؤال الفرق بين تعريض المال للّصوص، وبذل المال الكثير في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من أنّه معارضٌ بما دلَّ على وجوب الوضوء أو الغسل، وهو أصرّح وأوضح، فيجب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التكافؤ فبما أنّهما عامّان تعارضا، فلا وجه لتقييد دليل وجوب الوضوء أو الغُسل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حقّقناه في محلّه من أنّ دليل رفع العُسر والحَرَج يكون حاكماً على الأدلّة المتضمّنة لبيان الأحكام، الثابتة للموضوعات بعناوينها الأوّليّة، وعليه فهو يكون مقدّماً، وإنْ كانت النسبة بينهما عموماً من وجه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التعميم، ولا فرق في المال بين أنْ يكون له أو لغيره، ولا بين قليله وكثيره، كما عن غير واحدٍ الجزم به، والشاهد عليه عموم ما دلَّ على رفع العُسر والحَرَج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13" w:name="pg11797_256650"/>
    </w:p>
    <w:p>
      <w:pPr>
        <w:pStyle w:val="Heading6"/>
        <w:numPr>
          <w:ilvl w:val="5"/>
          <w:numId w:val="1"/>
        </w:numPr>
        <w:rPr/>
      </w:pPr>
      <w:bookmarkStart w:id="214" w:name="__RefHeading___Toc10391056_73709187"/>
      <w:bookmarkStart w:id="215" w:name="_Toc79"/>
      <w:bookmarkEnd w:id="213"/>
      <w:bookmarkEnd w:id="214"/>
      <w:r>
        <w:rPr>
          <w:rtl w:val="true"/>
        </w:rPr>
        <w:t>إذا كان الماء في بئرٍ، ولم يكن معه دَلوٌ أو غيره ليغترف به</w:t>
      </w:r>
      <w:bookmarkEnd w:id="21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في بئرٍ، ولم يكن معه دَلوٌ أو غيره ليغترف به، ولم يتمكّن من الوصول إلى الماء إلّابمشقّةٍ‌، تيمّم وصَلّى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قول علمائنا أجمع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يمرّ بالرِّكية وليس معه دلو؟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يدخل الرِّكية، لأنّ ربّ الماء هو ربّ الأرض</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حسن الحُسين بن أبي العلاء</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الحكم بعدم الدخول في الرِّكية، إنّما يكون من جهة المشقّة في الدخول فيها غالباً، فلو أمكن الدخول فيها بلا مشقّة، لا ينتقل الفرض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البئر وأنتَ جُنُبٌ‌، ولم تجد دلواً ولا شيئاً تغرف به، فتيمّم بالصعيد، فإنّ ربّ الماء هو ربّ الصَّعيد، ولا تقع في البئر ولا تفسد على القوم مائهم</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كونه أجنبيّاً عن المقام، إذ المفروض فيه أنّ الاغتسال في البئر يستلزمُ إفساد الماء على القوم، ولا ريب في عدم جواز مثل هذه التصرّفات في الماء المشترك، فتأمّل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إطلاق الخبرين، عدم الفرق بين التمكّن من إخراج الماء بنحوٍ غير متعارف، كإدخال الثوب وإخراجه بعد امتصاصه الماء ثمّ عصره ونحوه، وعدمه</w:t>
      </w:r>
      <w:r>
        <w:rPr>
          <w:rFonts w:eastAsia="Amiri" w:cs="Amiri" w:ascii="Amiri" w:hAnsi="Amiri"/>
          <w:color w:val="111111"/>
          <w:sz w:val="28"/>
          <w:szCs w:val="28"/>
          <w:rtl w:val="true"/>
          <w:lang w:bidi="ar-SA"/>
        </w:rPr>
        <w:t>.</w:t>
      </w:r>
      <w:bookmarkStart w:id="216" w:name="pg11797_256652"/>
    </w:p>
    <w:p>
      <w:pPr>
        <w:pStyle w:val="BookText"/>
        <w:rPr/>
      </w:pPr>
      <w:bookmarkEnd w:id="216"/>
      <w:r>
        <w:rPr>
          <w:rFonts w:ascii="Amiri" w:hAnsi="Amiri" w:eastAsia="Amiri" w:cs="Amiri"/>
          <w:color w:val="111111"/>
          <w:sz w:val="28"/>
          <w:sz w:val="28"/>
          <w:szCs w:val="28"/>
          <w:rtl w:val="true"/>
          <w:lang w:bidi="ar-SA"/>
        </w:rPr>
        <w:t>أو ثَمَنٍ يضرّه في الحال، ولو لم يَضرّه وَجَب وإنْ كَثُر</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10391058_73709187"/>
      <w:bookmarkStart w:id="218" w:name="_Toc80"/>
      <w:bookmarkEnd w:id="217"/>
      <w:r>
        <w:rPr>
          <w:rtl w:val="true"/>
        </w:rPr>
        <w:t>وجوبُ شِراء الماء</w:t>
      </w:r>
      <w:bookmarkEnd w:id="21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الوصول إلى الماء على بذل مالٍ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فإمّا أن يكون ذلك غَير مُضرٍ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مضرّاً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 المصنّف رحمه الله بين الموردين، وحكم بوجوب الشراء في الأوّل دون الثاني،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ثَمنٍ يضرّه في الحال، ولو لم يَضرّه وجَبَ وإنْ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بالبحث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وجوب الشراء، وعدم انتقال الفرض إلى التيمّم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ويقع الكلام أوّلاً فيما تقتضيه القواعد، ثمّ فيما تقتضيه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الشراء بالقيمة، ولم يكن بأكثر من ثمن المثل، وإنْ كان بأكثر من ثمنه المعتاد، كما لو كان الماء في محلٍّ يعتبرون العقلاء له هذا المقدار من الماليّة، لقلّته وكثرة الحاجة إليه أو غير ذلك، فحيثُ أنّه يصدق عليه الواجد، فيجبُ عليه الشراء بمقتضى إطلاق الآية الشريفة وغيرها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مجال لتطبيق لا ضرر، لا بلحاظ الشراء ولا بلحاظ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ضرر في شراء الشيء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فلأنّه مضافاً إلى ما قيل من إنّ وجوب الوضوء مطلقاً حكمٌ ضرري، لاقتضائه إتلاف الماء الذي له ماليّة، فيكون دليله مخصّصاً لقاعدة لا ضرر، وإنْ كان فيه تأمّل ونظر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صرف الماء في الوضوء كصرفه في المقاصد العقلائيّة لا يعدّ ضرراً عرفاً، وإنْ اشتراه بثمن 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فمقتضى القواعد هو وجوب الوضوء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الشراء بأكثر من ثمن المثل، فمقتضى عموم حديث لا ضرر، هو عدم وجوب الشراء في هذه الصورة، لكون الشراء بأكثر من ثمن المثل ضرراً ماليّاً اتّفاقاً، فمقتضى القاعدة عدم وجوب الوضوء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لوجوب الشراء بأضعاف ثمنه المعتاد، وعدم انتقال الفرض إلى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احتاج إلى الوضوء للصّلاة، وهو لا يقدر على الماء، فوجد بقدر ما يتوضّأ به بمائة درهم أو بألف درهم، وهو واجدٌ لها، يشتري ويتوضّأ أو يتيمّم‌؟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يشتري، قد أصابني مثل ذلك، فاشتريتُ وتوضّأت، وما يسرّني بذلك مالٌ كثير</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الحسين بن أبي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عبداً صالحاً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فَلَمْ تَجِدُوا ماءً فَتَيَمَّمُوا صَعِيداً طَيِّباً </w:t>
      </w:r>
      <w:r>
        <w:rPr>
          <w:rStyle w:val="FootnoteAnchor"/>
          <w:rtl w:val="true"/>
        </w:rPr>
        <w:footnoteReference w:id="608"/>
      </w:r>
      <w:r>
        <w:rPr>
          <w:rFonts w:ascii="Amiri" w:hAnsi="Amiri" w:eastAsia="Amiri" w:cs="Amiri"/>
          <w:color w:val="111111"/>
          <w:sz w:val="28"/>
          <w:sz w:val="28"/>
          <w:szCs w:val="28"/>
          <w:rtl w:val="true"/>
          <w:lang w:bidi="ar-SA"/>
        </w:rPr>
        <w:t>ما حَدُّ ذلك‌؟، فَلَمْ تَجِدُوا بشراءٍ وغير شراءٍ إنْ وجد وضوءه بمائة ألفٍ أو بألفٍ وكم بلغ‌؟</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قدر جِدته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إطلاقهما وجوب الشراء مطلقاً، ولو كان بأضعاف 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استعمال الوجوب في الاستحباب المؤكّد شائع، والقرينة على إرادته منه في المقام،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أصابني فاشتريت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والترغيب فإنّه يكون غالباً في المستحبّات، كما عن المحقّق المجلسي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متضمّن للفظ الوجوب، وإنّما تضمّن النهي عن التيمّم، والأمر بالوضوء الظاهر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يكون قرينةً لصرف الأمر عن ظاهره، فهذا ممّا لا ينبغي 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الكلام في الجمع بين هذه النصوص، وقاعدة لا ضرر، فإنّ ظاهر الأصحاب تقديمها على القاعدة، بدعوى كونها أخصّ منها، وقد مرّ تصريح المجلسي قدس سره بعدم وجوب الشراء بأزيد من ثمن المثل، ولكن قد عرفت أنّ لشراء الماء بثمن خطير صورتين تشمل قاعدة لا ضرر إحداهما دون الاُخرى‌، وهذه النصوص تشمل كلتا الصورتين، فتكون النسبة بينهما عموماً من وجه، فتقدّم القاعدة على الحكومة، كما تقدّم على سائر ما تضمّن الأحكام المترتّبة على الموضوعات بعناوينها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الأدلّة يقتضي التفصيل في ما إذا كان ثمن الماء خطيراً بين كون ذلك الثمن قيمته، وكونه أزيد من قيمته، فيجبُ الوضوء والشراء في الأوّل دون الثاني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مراد من قيّد وجوب الشراء بثمن خطير، بما إذا لم يجحف في الثمن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ان دعوى شمول قاعدة لا ضرر للوضوء بماءٍ يتوقّف الوصول إليه على شرائه بأضعاف ثمنه المعتاد مطلقاً قريبةٌ جدّاً، وعليه فتكون هذه النصوص أخصّ من القاعدة، فتكون مخصّصة لها، فما أفتى به المشهور، لو لم يكن أقوى‌، فلا ريب في كونه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الشراء مضرّاً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بينهم عدم وجوب الشراء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قدس سره</w:t>
      </w:r>
      <w:r>
        <w:rPr>
          <w:rStyle w:val="FootnoteAnchor"/>
          <w:rtl w:val="true"/>
        </w:rPr>
        <w:footnoteReference w:id="610"/>
      </w:r>
      <w:r>
        <w:rPr>
          <w:rFonts w:ascii="Amiri" w:hAnsi="Amiri" w:eastAsia="Amiri" w:cs="Amiri"/>
          <w:color w:val="111111"/>
          <w:sz w:val="28"/>
          <w:sz w:val="28"/>
          <w:szCs w:val="28"/>
          <w:rtl w:val="true"/>
          <w:lang w:bidi="ar-SA"/>
        </w:rPr>
        <w:t>، وابن سعيد</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والقائلون بعدم الوجوب اختلفوا في ما إذا كان مضرّاً بحاله في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المصنّف رحمه الله</w:t>
      </w:r>
      <w:r>
        <w:rPr>
          <w:rStyle w:val="FootnoteAnchor"/>
          <w:rtl w:val="true"/>
        </w:rPr>
        <w:footnoteReference w:id="612"/>
      </w:r>
      <w:r>
        <w:rPr>
          <w:rFonts w:ascii="Amiri" w:hAnsi="Amiri" w:eastAsia="Amiri" w:cs="Amiri"/>
          <w:color w:val="111111"/>
          <w:sz w:val="28"/>
          <w:sz w:val="28"/>
          <w:szCs w:val="28"/>
          <w:rtl w:val="true"/>
          <w:lang w:bidi="ar-SA"/>
        </w:rPr>
        <w:t>والشهيد</w:t>
      </w:r>
      <w:r>
        <w:rPr>
          <w:rStyle w:val="FootnoteAnchor"/>
          <w:rtl w:val="true"/>
        </w:rPr>
        <w:footnoteReference w:id="613"/>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w:t>
      </w:r>
      <w:r>
        <w:rPr>
          <w:rStyle w:val="FootnoteAnchor"/>
          <w:rtl w:val="true"/>
        </w:rPr>
        <w:footnoteReference w:id="614"/>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ما دلَّ على رفع الحَرَج والعُسر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ذيل خبر الحسين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على قدر 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مقتضى إطلاقهما عدم الفرق بين كونه مُضرّاً بحاله في الحال أو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وجوبه في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بعدم العلم بالبقاء إلى وقته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وبإمكان حصول مال له على تقدير البقاء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البقاء، وعدم حصول مالٍ آخر، يقتضي كون المورد مشمولاً لعموم ما دلَّ على رفع الحَرَج في خبر الحسين المتقدّم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ضعف القول بالوجوب مطلقاً، مستنداً إلى إطلاق الخبرين المتقدّمين</w:t>
      </w:r>
      <w:r>
        <w:rPr>
          <w:rFonts w:eastAsia="Amiri" w:cs="Amiri" w:ascii="Amiri" w:hAnsi="Amiri"/>
          <w:color w:val="111111"/>
          <w:sz w:val="28"/>
          <w:szCs w:val="28"/>
          <w:rtl w:val="true"/>
          <w:lang w:bidi="ar-SA"/>
        </w:rPr>
        <w:t>.</w:t>
      </w:r>
      <w:bookmarkStart w:id="219" w:name="pg11797_256663"/>
    </w:p>
    <w:p>
      <w:pPr>
        <w:pStyle w:val="Heading5"/>
        <w:numPr>
          <w:ilvl w:val="4"/>
          <w:numId w:val="1"/>
        </w:numPr>
        <w:rPr/>
      </w:pPr>
      <w:bookmarkStart w:id="220" w:name="__RefHeading___Toc10391060_73709187"/>
      <w:bookmarkStart w:id="221" w:name="_Toc81"/>
      <w:bookmarkEnd w:id="219"/>
      <w:bookmarkEnd w:id="220"/>
      <w:r>
        <w:rPr>
          <w:rtl w:val="true"/>
        </w:rPr>
        <w:t>المزاحمة بالتكليف الآخر</w:t>
      </w:r>
      <w:bookmarkEnd w:id="221"/>
    </w:p>
    <w:p>
      <w:pPr>
        <w:pStyle w:val="Heading6"/>
        <w:numPr>
          <w:ilvl w:val="5"/>
          <w:numId w:val="1"/>
        </w:numPr>
        <w:rPr/>
      </w:pPr>
      <w:bookmarkStart w:id="222" w:name="__RefHeading___Toc10391062_73709187"/>
      <w:bookmarkStart w:id="223" w:name="_Toc82"/>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الرابع من مسوّغات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زاحم استعمال الماء في الوضوء أو الغُسل تكليفٌ آخر، كما لو كان عنده ماءٌ بقدر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الحَدَث، أو حفظ النفس المحترمة من التلف، فإنّه يجبُ استعمال الماء في رفع عطش من يجبُ حفظه، ويتيمّم، لما حقّقناه في محلّه من أنّه لو تزاحم تكليفان، وكان لمتعلّق أحدهما بدلٌ دون الآخر، قُدّم ما ليس له البدل، ويسقط ما له البدل، وكذلك الحال في المقام فإنّه يسقط وجوب الطهارة المائيّة، وينتقل الفرض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التيمّم مشروعاً في جميع موراد التزاحم، ما لم يَحرز أهميّة وجوب الطهارة، وإنْ لم يثبت كون ذلك من مرجّحات باب التزاحم، وذلك فيما لو أحرز أهميّة التكليف الآخر واضح، فإنّه لا كلام في كون الأهميّة من مرجّحات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يُحرز ذلك، أو أحرز التساوي، فإنّ الحكم حينئذٍ هو التخيير، وهو يكفي في مشروعيّة التيمّم، إذ لو ثبت جواز ترك الطهارة المائيّة، تثبت مشروعيّة التيمّم، للملازمة بينهما المستفادة من الأخبار، لاحظ تعليل الإمام الصادق عليه السلام لمشروعيّة التيمّم في مورد الخوف من السَّبع،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أخافُ عليك التخلّف من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 الملازمة بين نفي وجوب الطلب، ومشروعيّة التيمّم، لما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آمره أن يُغرّر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لم يتعرّض لمشروعيّة التيمّم، بل اقتصر على بيان عدم وجوب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أن يدخل الرِّكية لأنّ 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الاستدلال على الملازمة بوجه آخر، وهو أنّ الأمر في موارد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سقوط وجوب الطهارة المائيّة، يدور بين جواز ترك الصّلاة رأساً، والصّلاة بلا طهارة، ومشروعيّة طهارة اُخرى غير المائيّة والترابيّة، ومشروعيّة التيمّم، ولا سبيل إلى الالتزام بشيءٍ منها سوى الأخير، كما هو واضح</w:t>
      </w:r>
      <w:r>
        <w:rPr>
          <w:rFonts w:eastAsia="Amiri" w:cs="Amiri" w:ascii="Amiri" w:hAnsi="Amiri"/>
          <w:color w:val="111111"/>
          <w:sz w:val="28"/>
          <w:szCs w:val="28"/>
          <w:rtl w:val="true"/>
          <w:lang w:bidi="ar-SA"/>
        </w:rPr>
        <w:t>.</w:t>
      </w:r>
      <w:bookmarkStart w:id="224" w:name="pg11797_256667"/>
    </w:p>
    <w:p>
      <w:pPr>
        <w:pStyle w:val="Heading6"/>
        <w:numPr>
          <w:ilvl w:val="5"/>
          <w:numId w:val="1"/>
        </w:numPr>
        <w:rPr/>
      </w:pPr>
      <w:bookmarkStart w:id="225" w:name="__RefHeading___Toc10391064_73709187"/>
      <w:bookmarkStart w:id="226" w:name="_Toc83"/>
      <w:bookmarkEnd w:id="224"/>
      <w:bookmarkEnd w:id="225"/>
      <w:r>
        <w:rPr>
          <w:rtl w:val="true"/>
        </w:rPr>
        <w:t>تنبيهات باب الوضوء</w:t>
      </w:r>
      <w:bookmarkEnd w:id="226"/>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وجوب الوضوء عند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يكون بنحو الرُّخصة، كما لو خَشي عَطَش نفسه لو توضّأ، إذ له أن يتحمّل مشقّة العَطَش ويتوضّأ بالماء الطاهر، كما عرفت في بعض المباحث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يكون بنحو العزيمة، كما لو كان عنده ماءً بقدر ما يتوضّأ به، وكان مسلمٌ في معرض الهلاكة من شدّة العَطَش، فإنّه في أمثال ذلك يجب عليه صرف الماء في رفع عطش المسلم والتيمّم، فلو عصيذلك وتوضّأهل يصحّوضوءه أم لا؟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اختار أوّلهما بعض الأعاظم</w:t>
      </w:r>
      <w:r>
        <w:rPr>
          <w:rStyle w:val="FootnoteAnchor"/>
          <w:rtl w:val="true"/>
        </w:rPr>
        <w:footnoteReference w:id="615"/>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بثبوت الأمر بالوضوء على نحو الترتّب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 صحّة الوضوء يكفي فيها وجود ملاكه، وإنْ لم يكن مأموراً به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حقّقناه في محلّه من مبحث الترتّب، من عدم جريانه في التكاليف المشروط بالقدرة شرعاً كالوضوء، فإنّ نفس الخطاب بالأهمّ حينئذٍ يكون مُعْدِماً لموضوع وجوب الطهارة وهو الوجدان، فلا يعقل ثبوت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كاشف عن وجود الملاك بعد سقوط التكليف، وعدم كون الدليل في مقام بيان ما فيه الملاك، بل ظاهر الأدلّة عدمه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هو الثاني، وفاقاً للسيّد في عروته وغيره من المحقّقين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من المحقّقين منهم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في المقام فروعاً، وتوهّموا أنّها من متفرّعات هذا المسوّغ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بدنه أو ثوبه نجساً، ولم يكن عنده من الماء إلّابقدر أحد الأمرين من رفع الحَدَث أو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معه مايمكن تحصيل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الوضوء، أو الساتر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دار الأمر بين تحصيل الماء أو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واختاروا فيها تعيّن التيمّم، وإنْتوقّفَ فيه بعضهم في بعضها لشُبهةٍ حصلت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ويبتني جميع الفروع المتوهّمة المذكورة على ما بنوا عليه من أنّ موارد التنافي بين الحكمين الضمنيين، من موارد التزاحم، وعليه فبما أنّ من مرجّحات باب التزاحم كون أحد الواجبين ممّا ليس له بدل، والآخر ممّا له بدل، والطهارة المائيّة لها بدل، فيسقط وجوبها وينتقل الفرض إلى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عرفت غير مرّةٍ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تفصيله في الجزء السادس من هذا الشرح في مبحث القبلة</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الموارد من موارد التعارض لا التزاحم، وأنّ مركز التنافي هو إطلاق دليل كلٍّ من الحكمين الضمنيين لو كان لهما إطلاق، كما في الأمثلة المتقدّمة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فبما أنّ النسبة بينهما عمومٌ من وجه، فيتساقطان</w:t>
      </w:r>
      <w:r>
        <w:rPr>
          <w:rStyle w:val="FootnoteAnchor"/>
          <w:rtl w:val="true"/>
        </w:rPr>
        <w:footnoteReference w:id="618"/>
      </w:r>
      <w:r>
        <w:rPr>
          <w:rFonts w:ascii="Amiri" w:hAnsi="Amiri" w:eastAsia="Amiri" w:cs="Amiri"/>
          <w:color w:val="111111"/>
          <w:sz w:val="28"/>
          <w:sz w:val="28"/>
          <w:szCs w:val="28"/>
          <w:rtl w:val="true"/>
          <w:lang w:bidi="ar-SA"/>
        </w:rPr>
        <w:t>والمرجع إلى الأصل، وهو يقتضي التخيير، ففي الأمثلة يقع التعارض بين إطلاق دليل الطهارةه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المائيّة، وإطلاق دليل ما عارضه، فيتساقطان والمرجع إلى أصالة البراءة عن تعيّن كلّ منهما، فيثبت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التخيير في جميع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المثال الأوّل يتعيّن التيمّم للنصّ‌، وهو خبر أبي عُبيدة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المرأة الحائض ترى الطُهر، وهي في السّفر، وليس معها من الماء ما يكفيها لغُسلها، وقد حضرت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معها بقدر ما تغسل به فرجها فتغسله، ثمّ تتيمّم وتُصلّي</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أمر فيه بغَسل النجاسة الخَبَثيّة مطلقاً وإنْ أمكن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مبحث الأغسال</w:t>
      </w:r>
      <w:r>
        <w:rPr>
          <w:rStyle w:val="FootnoteAnchor"/>
          <w:rtl w:val="true"/>
        </w:rPr>
        <w:footnoteReference w:id="620"/>
      </w:r>
      <w:r>
        <w:rPr>
          <w:rFonts w:ascii="Amiri" w:hAnsi="Amiri" w:eastAsia="Amiri" w:cs="Amiri"/>
          <w:color w:val="111111"/>
          <w:sz w:val="28"/>
          <w:sz w:val="28"/>
          <w:szCs w:val="28"/>
          <w:rtl w:val="true"/>
          <w:lang w:bidi="ar-SA"/>
        </w:rPr>
        <w:t>أنّ الأظهر عدم وجوب الوضوء مع شيءٍ من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عدم أظهريّته، فبما أنّه محلّ الكلام، فليكن هذا الخبر أحد الأدلّة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المثال الثاني لو كان تحصيل الماء أو الساتر متوقّفاً على بذل ثمن خطير غير مُضرٍّ بحاله، الأظهر تعيّن الوضوء، إذ وجوب تحصيل الساتر مرفوع بحديث لا ضرر، بناءً على ما هو الحقّ المتّفق عليه من شموله للضَّرر المالي، وليس كذلك وجوب تحصيل الماء للطهارة، لما تقدّم من وجوبه، وإنْ توقّف على شراء الماء بأضعاف العوض ما لم يضرّ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شيء يعارض دليل وجوب الطهارة المائيّة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اخترناه من التخيير في المثال الثالث، فإنّما هو فيما لو دار الأمر بين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 مع الوضوء إلى غير القبلة يقيناً، والصّلاة إليها مع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دار الأمر بين تحصيل الماء والصّلاة إلى طرفٍ من الأطراف، مع احتمال كونه قبلة، والصّلاة إليها مع التيمّم، فبما أنّ المعارض لإطلاق دليل وجوب الطهارة المائيّة حينئذٍ ليس إطلاقُ دليل الصّلاة إلى القبلة، كما لا يخفى، بل ما دلَّ على لزوم الموافقة القطعيّة، فالأقوى تقدّم دليل وجوب الطهارة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 فإنّه لا يخلو عن إشكال، ولكن كونه أحوط ممّا لا ريب فيه كما لا يخفى‌</w:t>
      </w:r>
      <w:r>
        <w:rPr>
          <w:rFonts w:eastAsia="Amiri" w:cs="Amiri" w:ascii="Amiri" w:hAnsi="Amiri"/>
          <w:color w:val="111111"/>
          <w:sz w:val="28"/>
          <w:szCs w:val="28"/>
          <w:rtl w:val="true"/>
          <w:lang w:bidi="ar-SA"/>
        </w:rPr>
        <w:t>.</w:t>
      </w:r>
      <w:bookmarkStart w:id="227" w:name="pg11797_256676"/>
    </w:p>
    <w:p>
      <w:pPr>
        <w:pStyle w:val="Heading5"/>
        <w:numPr>
          <w:ilvl w:val="4"/>
          <w:numId w:val="1"/>
        </w:numPr>
        <w:rPr/>
      </w:pPr>
      <w:bookmarkStart w:id="228" w:name="__RefHeading___Toc10391066_73709187"/>
      <w:bookmarkStart w:id="229" w:name="_Toc84"/>
      <w:bookmarkEnd w:id="227"/>
      <w:bookmarkEnd w:id="228"/>
      <w:r>
        <w:rPr>
          <w:rtl w:val="true"/>
        </w:rPr>
        <w:t>ضيق الوقت</w:t>
      </w:r>
      <w:bookmarkEnd w:id="229"/>
    </w:p>
    <w:p>
      <w:pPr>
        <w:pStyle w:val="Heading6"/>
        <w:numPr>
          <w:ilvl w:val="5"/>
          <w:numId w:val="1"/>
        </w:numPr>
        <w:rPr/>
      </w:pPr>
      <w:bookmarkStart w:id="230" w:name="__RefHeading___Toc10391068_73709187"/>
      <w:bookmarkStart w:id="231" w:name="_Toc85"/>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الخامس من مسوّغات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الوقت عن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غير واحدٍ، منهم المصنّف في جملةٍ من كتبه</w:t>
      </w:r>
      <w:r>
        <w:rPr>
          <w:rStyle w:val="FootnoteAnchor"/>
          <w:rtl w:val="true"/>
        </w:rPr>
        <w:footnoteReference w:id="621"/>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23"/>
      </w:r>
      <w:r>
        <w:rPr>
          <w:rFonts w:ascii="Amiri" w:hAnsi="Amiri" w:eastAsia="Amiri" w:cs="Amiri"/>
          <w:color w:val="111111"/>
          <w:sz w:val="28"/>
          <w:sz w:val="28"/>
          <w:szCs w:val="28"/>
          <w:rtl w:val="true"/>
          <w:lang w:bidi="ar-SA"/>
        </w:rPr>
        <w:t>، وغيرهم من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جملةٍ من أكابر المحقّقين، منهم المحقّقان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625"/>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من مسوّغات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تنزيل التّراب منزلة الماء، كقوله عليه السلام في صحيح 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يكون بمنزلته لو ساواه في أحكامه، ولا ريب في أنّه لو وجد الماء وتمكّن من استعماله وَجَب عليه الأداء، فكذا لو وجد ما ساواه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مشروعيّة التيمّم إنّما تكون للمحافظة على إيقاع الصّلاة في الوقت، وإلّا كان الواجب مع فَقْد الماء أو تعذّره تأخير الصّلاة إلى حين تمكّنه من استعمال الماء، وحينئذٍ فمجرّد وجود الماء في المقام مع استلزام استعماله خروج الوقت في حكم العدم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عدم وجوب السّعي إلى الماء، لو خاف فوت الوقت، </w:t>
      </w:r>
    </w:p>
    <w:p>
      <w:pPr>
        <w:pStyle w:val="BookText"/>
        <w:rPr/>
      </w:pPr>
      <w:r>
        <w:rPr>
          <w:rFonts w:ascii="Amiri" w:hAnsi="Amiri" w:eastAsia="Amiri" w:cs="Amiri"/>
          <w:color w:val="111111"/>
          <w:sz w:val="28"/>
          <w:sz w:val="28"/>
          <w:szCs w:val="28"/>
          <w:rtl w:val="true"/>
          <w:lang w:bidi="ar-SA"/>
        </w:rPr>
        <w:t>بل ينتقل الفرض إلى التيمّم، فكذلك في المقام لظهور مساواتهما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في بعض النصوص الأمر بالتيمّم عند الزّحام يوم الجمعة ويوم عرفة، وهو يدلّ على حكم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سقوط الصّلاة بحال، فإنّه بعد عدم سقوطها، وعدم طهارة غير المائيّة والترابيّة، وسقوط الأولى، يتعيّن التيمّم والصّلاة مع الثانية، وإلّا لزم الصّلاة من غير طهورٍ، وهي ممّا دلَّ الإجماع والنص على عدم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الوجدان المأخوذ عدمه موضوعاً لمشروعيّة التيمّم، يختصّ بما لا محذور فيه من استعمال الماء، فإذا كان ضيق الوقت موجباً للزوم المحذور من استعمال الماء الموجود، كان موجباً لصدق عدم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دلَّ على تنزيل التّراب منزلة الماء، لا سبيل إلى التمسّك بإطلاقه، وإلّا لزم الالتزام بكون الواجب في حال الوجدان أحدهما على سبيل التخيير، بل لا محالة يقيّد إطلاقه بما دلَّ على اختصاص مشروعيّته بصورة عدم الوجدان، فلو صدق الوجدان كما في المقام لا مورد للتمسّك بإطلاق دليل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وإنْ سُلّم كون علّة تشريع التيمّم ذلك، إلّاأنّ ذلك لا يُجدي، لأنّه جعل الشارع لمشروعيّة التيمّم موضوعاً، وهو عدم الوجدان، فمع عدم صدقه لا يمكن التمسّك بما دلَّ على مشروعيّته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سقوط وجوب الطلب عند احتمال وجود الماء في الحَدّ، عند ضيق الوقت عن الطلب، لا يستلزم مشروعيّة التيمّم عند ضيق الوقت عن استعمال الماء، لما عرفت من أنّه يصدق في ذلك المورد عدم الوجدان دون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في بعض المباحث السابقة من أنّ ما دلَّ على التيمّم عند الزحام يوم الجمعة ويوم عرفة أجنبيٌّ عن المقام، وإنّما يدلّ على التيمّم للصّلاة مع المخالفين، وإلّا ففي يوم عرفة لا ريب في عدم مشروعيّة التيمّم في أوّل الوقت بمجرّد الزحام، بل يجب الصبر ليتفرّق الناس فيتوضّأ ويُصلّي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المستفاد من ما دلَّ على عدم سقوط الصّلاة بحالٍ‌، أنّ كلّ مكلّفٍ في أيّ حالٍ من الحالات كان، ملزمٌ بأداء الصلاة، ولا يدلّ ذلك الدليل على أنّ من وظيفته الصّلاة مع الطهارة المائيّة لو أخّرها عصياناً أو عن غير عصيان حتّى ضاق الوقت، ينتقل تكليفه إلى الصّلاة مع التيمّم، كما لا يدلّ على انتقال فرضه إلى الصّلاة من غير طهارة، لو ضاق الوقت عن التيمّم أيضاً،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ترتّب محذورٌ على استعمال الماء من مرضٍ أو حرجٍ أو غيرهما، لا يجب الوضوء، لا لصدق عدم الوجدان، بل لما دلَّ على عدم وجوبه في هذه الموارد، كما أنّه لا دليل على انتقال الفرض إلى التيمّم بمجرّد ترتّب أيّ محذورٍ على استعمال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 المراد من عدم الوجدان ذلك، كما ترى‌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حينما يضيق الوقت ولم يتمكّن المكلّف من أداء الصّلاة في الوقت مع الطهارة المائيّة، لا محالة يسقط الأمر بالمركّب منهما، وحيث أنّه لا ريب في عدم سقوطه رأساً، بحيث لا يكون هذا الشخص مكلّفاً بالصلاة، فلا محالة يحدُث أمرٌ آخر متعلّق بالمركّب من سائر الأجزاء والشروط، وأحد هذين الأمرين الساقطين هو إمّا الطهارة المائيّة، أو إيقاع الصّلاة في الوقت، إمّا تعييناً أو تخييراً، فالأمر يدور بين أن يكون الواجب هو خصوص الصّلاة مع التيمّم </w:t>
      </w:r>
    </w:p>
    <w:p>
      <w:pPr>
        <w:pStyle w:val="BookText"/>
        <w:rPr/>
      </w:pPr>
      <w:r>
        <w:rPr>
          <w:rFonts w:ascii="Amiri" w:hAnsi="Amiri" w:eastAsia="Amiri" w:cs="Amiri"/>
          <w:color w:val="111111"/>
          <w:sz w:val="28"/>
          <w:sz w:val="28"/>
          <w:szCs w:val="28"/>
          <w:rtl w:val="true"/>
          <w:lang w:bidi="ar-SA"/>
        </w:rPr>
        <w:t>في الوقت، أو خصوص الصّلاة مع الوضوء خارج الوقت، أو يكون الواجب إحداهما تخييراً، ولا يحتمل وجوب كليهما معاً، فحينئذ يقع التنافي بين إطلاق دليل وجوب الطهارة المائيّة الدالّ على دخلها في الصّلاة بجميع مراتبها، وبين إطلاق ما دلَّ على لزوم إيقاع الصّلاة بتمامها في الوقت، الدالّ على لزومه كذلك، وحيث أنّ النسبة بينهما عموم من وجه يتساقطان</w:t>
      </w:r>
      <w:r>
        <w:rPr>
          <w:rStyle w:val="FootnoteAnchor"/>
          <w:rtl w:val="true"/>
        </w:rPr>
        <w:footnoteReference w:id="627"/>
      </w:r>
      <w:r>
        <w:rPr>
          <w:rFonts w:ascii="Amiri" w:hAnsi="Amiri" w:eastAsia="Amiri" w:cs="Amiri"/>
          <w:color w:val="111111"/>
          <w:sz w:val="28"/>
          <w:sz w:val="28"/>
          <w:szCs w:val="28"/>
          <w:rtl w:val="true"/>
          <w:lang w:bidi="ar-SA"/>
        </w:rPr>
        <w:t>معاً، والمرجع هو الأصل، وليس هو إلّا أصالة البراءة عن وجوب إتيان كلٍّ منهما بالخصوص، بناءً على ما هو الحقّ من جريانها في موارد دوران الأمر بين التعيين والتخيير، فيثبت التخيير، فالأظهر هو التخيير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لتوهّم مخالفة هذا القول للإجماع المركّب، ليقتضي عدم إمكان الالتزام به، إذ لا محذور في ذلك بعد كون القائلين بتعيّن كلّ واحدٍ منها استندوا إلى وجوهٍ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لو دار الأمر بين إيقاع الصّلاة في الوقت مع الطهارة الترابيّة، وإيقاعها في خارج الوقت مع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دار الأمر بين إيقاع الصّلاة بتمامها في الوقت مع الطهارة الترابيّة، وإيقاع ركعةٍ منها في الوقت والباقي خارجه مع الطهارة المائيّة، ففيه أيضاً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الثاني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الأوّل، اختاره السيّد في عروته</w:t>
      </w:r>
      <w:r>
        <w:rPr>
          <w:rStyle w:val="FootnoteAnchor"/>
          <w:rtl w:val="true"/>
        </w:rPr>
        <w:footnoteReference w:id="628"/>
      </w:r>
      <w:r>
        <w:rPr>
          <w:rFonts w:ascii="Amiri" w:hAnsi="Amiri" w:eastAsia="Amiri" w:cs="Amiri"/>
          <w:color w:val="111111"/>
          <w:sz w:val="28"/>
          <w:sz w:val="28"/>
          <w:szCs w:val="28"/>
          <w:rtl w:val="true"/>
          <w:lang w:bidi="ar-SA"/>
        </w:rPr>
        <w:t>وتبعه جملةٌ من المتأخّرين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بينهما،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w:t>
      </w:r>
      <w:r>
        <w:rPr>
          <w:rStyle w:val="FootnoteAnchor"/>
          <w:rtl w:val="true"/>
        </w:rPr>
        <w:footnoteReference w:id="629"/>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الوقت فقد أدرك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جواز تفويت الوقت إلّاركعة، بل لو أمكن إيقاع الصّلاة بتمامها في الوقت وجب ذلك، وإنّما يدلّ على أنّه في صورة فوات الوقت إلّا بمقدار ركعة، تكون الصّلاة أداءً‌، وفي حكم إيقاعها بتمامها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القاعدة مختصّة بما إذ لم يبق من الوقت فعلاً إلّامقدار ركعة، فلا تشمل ما إذا بقي بمقدار تمام الصّلاة، ويؤخّرها إلى أن يبقى مقدار ركعة، فالمسألة من باب دوران الأمر بين مراعاة الوقت ومراعاة الطهارة المائيّة، والأوّل أهمّ لأنّ الطهارة المائيّة لها بدل وهو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في نفسها شاملة للفرض، مع قطع النظر عن التيمّم، إذ المراد منها إدراك ركعة من الصّلاة بشروطها، ومنها الطهارة، والمفروض في المسألة أنّه لو حصّلها لم يكن يدرك إلّاركعة واحدة، فمقتضى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ذلك، وعدم الانتقال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ما دلَّ على مشروعيّة التيمّم لو ضاق الوقت على فرض ثبوته، هو تعيّن التيمّم، ولزوم أداء تمام الصّلاة في الوقت، فيقع التنافي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بين أمرين لكلّ منهما بدلٌ‌، ولم نحرز أهميّة أحدهما عن الآخر، فلا محالة يَحكم العقل بالتخيير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بناءً على مسلك القوم الملتزمين بأنّ موارد التنافي بين الحكمين الضمنيين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موارد التزاحم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المختار من كونها من موارد التعارض، وأنّ مركز التنافي إنّما هو إطلاق دليل كلٍّ من الجزئين أو الشرطين، وأنّه يتساقط الإطلاقان، والمرجع إلى الأصل، فإنّ الحكم بالتخيير واضح، إذ في المقام بعد سقوط الأمر بإيقاع تمام الصّلاة في الوقت مع الطهارة المائيّة، وحدوث أمر بالخالي عن أحدهما، يقع التعارض بين إطلاق دليل اعتبار الطهارة المائيّة، وبين إطلاق دليل لزوم إيقاع تمام الصّلاة في الوقت، فيتساقطان، ويرجع إلى الأصل، وهو يقتضي التخيير، كما أشرنا إليه آنفاً</w:t>
      </w:r>
      <w:r>
        <w:rPr>
          <w:rFonts w:eastAsia="Amiri" w:cs="Amiri" w:ascii="Amiri" w:hAnsi="Amiri"/>
          <w:color w:val="111111"/>
          <w:sz w:val="28"/>
          <w:szCs w:val="28"/>
          <w:rtl w:val="true"/>
          <w:lang w:bidi="ar-SA"/>
        </w:rPr>
        <w:t>.</w:t>
      </w:r>
      <w:bookmarkStart w:id="232" w:name="pg11797_256689"/>
    </w:p>
    <w:p>
      <w:pPr>
        <w:pStyle w:val="Heading6"/>
        <w:numPr>
          <w:ilvl w:val="5"/>
          <w:numId w:val="1"/>
        </w:numPr>
        <w:rPr/>
      </w:pPr>
      <w:bookmarkStart w:id="233" w:name="__RefHeading___Toc10391070_73709187"/>
      <w:bookmarkStart w:id="234" w:name="_Toc86"/>
      <w:bookmarkEnd w:id="232"/>
      <w:bookmarkEnd w:id="233"/>
      <w:r>
        <w:rPr>
          <w:rtl w:val="true"/>
        </w:rPr>
        <w:t>فروع الشكّ في ضيق الوقت</w:t>
      </w:r>
      <w:bookmarkEnd w:id="234"/>
    </w:p>
    <w:p>
      <w:pPr>
        <w:pStyle w:val="Heading6"/>
        <w:numPr>
          <w:ilvl w:val="5"/>
          <w:numId w:val="1"/>
        </w:numPr>
        <w:rPr/>
      </w:pPr>
      <w:bookmarkStart w:id="235" w:name="__RefHeading___Toc10391072_73709187"/>
      <w:bookmarkStart w:id="236" w:name="_Toc87"/>
      <w:bookmarkEnd w:id="235"/>
      <w:r>
        <w:rPr>
          <w:rtl w:val="true"/>
        </w:rPr>
        <w:t>لو شكّ في ضيق الوقت وسعته، فهل يَشرع له التيمّم أم لا؟</w:t>
      </w:r>
      <w:bookmarkEnd w:id="236"/>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ضيق الوقت وسعته، فهل يَشرع له التيمّم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خوف الفوت الذي هو المناط لمشروعيّة التيمّم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عدم كون صحيح زرارة مستنداً لمشروعيّة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استصحاب بقاء الوقت إلى ما بعد الطهارة والصّلاة، بناءً على جريانه في الاُمور الاستقباليّة، تعيّن البناء على السِّعة، وبه يرتفع خوف الفوت لو سُلّم كونه موضوعاً لمشروعيّة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بقاء الوقت، عاجزٌ عن إثبات وقوع الصّلاة في وقتها المكلّف به، إذ الأصل الجاري في مفاد كان التامّة لا يصلح لإثبات ما هو مفاد كان الناقصة، إلّاعلى القول بالأصل المثبت، فالأصل الجاري في المقام نظير استصحاب بقاء الكُرّ في الحوض، فإنّه لا يمكن به إثبات كرّية الماء الموجود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يثبت باستصحاب بقاء اللّيل أو النهار، كون الزمان الحاضر من اللّيل أو من النهار، ومع عدم إثباته لا يصدق على الفعل المأتى به كونه واقعاً في اللّيل أو في النهار الذي أُخذ ظرفاً لوقوعه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الزمان المأخوذ ظرفاً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أُخذ بوجوده المحمولي قيداً، فلا مانع من جريان الاستصحاب، كما في سائر القيود، إذ به وبإتيان الواجب بجميع قيوده الاُخر يُحرز كون الواجب بتمامه وكماله متحقّقاً في الخارج، غاية الأمر بعضه بالوجدان وبعضه بالتعبّد، مثلاً لو قال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إمسك في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استصحب الصائم بقاء النهار وأمسك يتحقّق امتثال ذلك التكليف، فإنّه يكون حينئذٍ إمساكاً وجدانيّاً في النهار التعبّدي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أُخذ بوجوده النعتي قيداً، كما لو قال المولى في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إمسك إمساكاً </w:t>
      </w:r>
    </w:p>
    <w:p>
      <w:pPr>
        <w:pStyle w:val="BookText"/>
        <w:rPr/>
      </w:pPr>
      <w:r>
        <w:rPr>
          <w:rFonts w:ascii="Amiri" w:hAnsi="Amiri" w:eastAsia="Amiri" w:cs="Amiri"/>
          <w:color w:val="111111"/>
          <w:sz w:val="28"/>
          <w:sz w:val="28"/>
          <w:szCs w:val="28"/>
          <w:rtl w:val="true"/>
          <w:lang w:bidi="ar-SA"/>
        </w:rPr>
        <w:t>نهاريّاً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فالاستصحاب لا يجري فيه، إذ بالإمساك الوجداني واستصحاب بقاء النهار، لا يمكن إحراز تحقّق هذا العنوان الدخيل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ظاهر الأدلّة في الموقّتات ومنها الصّلاة هو أخذ الزمان بالنحو الأوّل، كما في سائر القيود كالطهارة وغيرها، فاستصحاب بقاء الزمان يفيد في الموقّتات، فتدبّر فإنّه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فالأقوى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المكلّف مقدار الزمان، ومع ذلك شكّ في سعته للطهارة المائيّة والصّلاة، من جهة الجهل بمقدار الصّلاة مع الطهارة المائيّة، فالأظهر أيضاً البناء على السِّعة، إذ الزمان بنفسه وإنْ كان مقداره معلوماً، ولا يجري فيه الاستصحاب، إلّا أنّه إذا لوحظ مع الصّلاة والطهارة، يكون بقاء النهار إلى آخر الصّلاة مشكوكاً فيه، فلا مانع من جريان الاستصحاب فيه، إذ يكفي في جريانه كون الشيء مشكوكاً فيه من جهةٍ‌، ولو كان معلوماً من سائر الجهات، ومعه لا يصدق خوف الفوت، كي ينتقل الفرض إلى التيمّم،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بعض المعاصرين</w:t>
      </w:r>
      <w:r>
        <w:rPr>
          <w:rStyle w:val="FootnoteAnchor"/>
          <w:rtl w:val="true"/>
        </w:rPr>
        <w:footnoteReference w:id="630"/>
      </w:r>
      <w:r>
        <w:rPr>
          <w:rFonts w:ascii="Amiri" w:hAnsi="Amiri" w:eastAsia="Amiri" w:cs="Amiri"/>
          <w:color w:val="111111"/>
          <w:sz w:val="28"/>
          <w:sz w:val="28"/>
          <w:szCs w:val="28"/>
          <w:rtl w:val="true"/>
          <w:lang w:bidi="ar-SA"/>
        </w:rPr>
        <w:t>حيث أنّه مع التزامه في الصورة الأُولى بجريان الاستصحاب، وفي هذه الصورة بعدم الجريان، التزم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المرجع والمعتمد في الصورتين، قاعدة خوف الفوت، المقتضية لوجوب المبادرة إلى الموقّت عند خوف فوته الّتي يدلّ عليها تسالم الفقهاء والعقلاء فضلاً عن صحيح زرارة المتقدّم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منّا ومنه من أنّ مشروعيّة التيمّم عند خوف فوت الوقت، ليس مدركها الصحيح، ولا هذا التسالم، وأنّ هذه القاعدة لا أصل لها إنْ كان مدركها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جريان الاستصحاب لا يبقى خوف فوت الوقت،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 يرجع إلى القاعدة، لما حُقّق في محلّه من قيامه مقام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من الفرق بين الصورتين، بصدق خوف الفوت في الثانية دون الأُولى‌، مبنيٌّ على عدم جريان الاستصحاب في الثانية، كما ذهب إليه جماعة، وقد عرفت ضعفه، فالأظهر في هذه الصورة أيضاً عدم الانتقال إلى التيمّم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37" w:name="pg11797_256695"/>
    </w:p>
    <w:p>
      <w:pPr>
        <w:pStyle w:val="Heading6"/>
        <w:numPr>
          <w:ilvl w:val="5"/>
          <w:numId w:val="1"/>
        </w:numPr>
        <w:rPr/>
      </w:pPr>
      <w:bookmarkStart w:id="238" w:name="__RefHeading___Toc10391074_73709187"/>
      <w:bookmarkStart w:id="239" w:name="_Toc88"/>
      <w:bookmarkEnd w:id="237"/>
      <w:bookmarkEnd w:id="238"/>
      <w:r>
        <w:rPr>
          <w:rtl w:val="true"/>
        </w:rPr>
        <w:t>عند ضيق الوقت فهل ينتقل الفرض إلى التيمّم أم لا؟</w:t>
      </w:r>
      <w:bookmarkEnd w:id="239"/>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عنده الماء، ولكن كان قادراً على تحصيله وضاق الوقت عنه، بحيث استلزم تحصيله خروج الوقت، ولو في بعض أجزاء الصّلاة، فهل ينتقل الفرض إلى التيمّم أم لا؟</w:t>
      </w:r>
    </w:p>
    <w:p>
      <w:pPr>
        <w:pStyle w:val="BookText"/>
        <w:rPr/>
      </w:pPr>
      <w:r>
        <w:rPr>
          <w:rFonts w:ascii="Amiri" w:hAnsi="Amiri" w:eastAsia="Amiri" w:cs="Amiri"/>
          <w:color w:val="111111"/>
          <w:sz w:val="28"/>
          <w:sz w:val="28"/>
          <w:szCs w:val="28"/>
          <w:rtl w:val="true"/>
          <w:lang w:bidi="ar-SA"/>
        </w:rPr>
        <w:t>وجهان؛ أقواهما الأوّل، لصدق عدم الوجدان في الفرض، بخلاف ما لو ضاق الوقت عن استعماله مع وجوده، إذ قد عرفت أنّ دعوى صدقه حتّى في تلك الصورة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أفاده المحقّق الثاني</w:t>
      </w:r>
      <w:r>
        <w:rPr>
          <w:rStyle w:val="FootnoteAnchor"/>
          <w:rtl w:val="true"/>
        </w:rPr>
        <w:footnoteReference w:id="632"/>
      </w:r>
      <w:r>
        <w:rPr>
          <w:rFonts w:ascii="Amiri" w:hAnsi="Amiri" w:eastAsia="Amiri" w:cs="Amiri"/>
          <w:color w:val="111111"/>
          <w:sz w:val="28"/>
          <w:sz w:val="28"/>
          <w:szCs w:val="28"/>
          <w:rtl w:val="true"/>
          <w:lang w:bidi="ar-SA"/>
        </w:rPr>
        <w:t>من عدم صدقه في تلك الصورة، وصدقه في هذه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عليه التيمّم والصّلاة في هذه الصورة، بخلاف الصورة السابقة، إذ قد عرفت أنّه لا يتعيّن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حسين العامري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سأله عن رجلٍ أجنَب فلم يقدر على الماء، وحضرت الصّلاة، فتيمّم بالصعيد، ثمّ مَرّ بالماء ولم يغتسل، وانتظر ماءً آخر وراء ذلك، فدخل وقت الصّلاة الاُخرى، ولم ينته إلى الماء، وخاف فوت الصّلاة‌؟ قال عليه السلام يتيمّم ويُصلّي</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إرساله مانعٌ عن الاعتماد عليه، فالعمدة صدق عدم الوجدان، وعلى فرض عدم الصدق، فحكمه حكم الصورة السابقة، ويجري فيها ما سبق ذكره فيها</w:t>
      </w:r>
      <w:r>
        <w:rPr>
          <w:rFonts w:eastAsia="Amiri" w:cs="Amiri" w:ascii="Amiri" w:hAnsi="Amiri"/>
          <w:color w:val="111111"/>
          <w:sz w:val="28"/>
          <w:szCs w:val="28"/>
          <w:rtl w:val="true"/>
          <w:lang w:bidi="ar-SA"/>
        </w:rPr>
        <w:t>.</w:t>
      </w:r>
      <w:bookmarkStart w:id="240" w:name="pg11797_256697"/>
    </w:p>
    <w:p>
      <w:pPr>
        <w:pStyle w:val="Heading6"/>
        <w:numPr>
          <w:ilvl w:val="5"/>
          <w:numId w:val="1"/>
        </w:numPr>
        <w:rPr/>
      </w:pPr>
      <w:bookmarkStart w:id="241" w:name="__RefHeading___Toc10391076_73709187"/>
      <w:bookmarkStart w:id="242" w:name="_Toc89"/>
      <w:bookmarkEnd w:id="240"/>
      <w:bookmarkEnd w:id="241"/>
      <w:r>
        <w:rPr>
          <w:rtl w:val="true"/>
        </w:rPr>
        <w:t>التخيير بين الأداء و القضاء</w:t>
      </w:r>
      <w:bookmarkEnd w:id="242"/>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 عمّن وظيفته التيمّم لضيق وقته عن استعمال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فبناءً على المختار من أنّه مخيّر بين التيمّم والصّلاة، وبين أنْ يتوضّأ ويقضي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بناءً على تعيّن التيمّم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توضّأ لأجل تلك الصّلاة بطل، أي لا يقع امتثالاً للأمر الآتي من قبل تلك الصّلاة، إذ لا واقع له، وحينئذٍ فهل يصحّ لو قصد غايةً اُخرى، أو توضّأ بقصد الكون على الطهارة أو استحبابه النفسي، أم لا؟</w:t>
      </w:r>
    </w:p>
    <w:p>
      <w:pPr>
        <w:pStyle w:val="BookText"/>
        <w:rPr/>
      </w:pPr>
      <w:r>
        <w:rPr>
          <w:rFonts w:ascii="Amiri" w:hAnsi="Amiri" w:eastAsia="Amiri" w:cs="Amiri"/>
          <w:color w:val="111111"/>
          <w:sz w:val="28"/>
          <w:sz w:val="28"/>
          <w:szCs w:val="28"/>
          <w:rtl w:val="true"/>
          <w:lang w:bidi="ar-SA"/>
        </w:rPr>
        <w:t>اختار أوّلهما السيّد في عروته</w:t>
      </w:r>
      <w:r>
        <w:rPr>
          <w:rStyle w:val="FootnoteAnchor"/>
          <w:rtl w:val="true"/>
        </w:rPr>
        <w:footnoteReference w:id="634"/>
      </w:r>
      <w:r>
        <w:rPr>
          <w:rFonts w:ascii="Amiri" w:hAnsi="Amiri" w:eastAsia="Amiri" w:cs="Amiri"/>
          <w:color w:val="111111"/>
          <w:sz w:val="28"/>
          <w:sz w:val="28"/>
          <w:szCs w:val="28"/>
          <w:rtl w:val="true"/>
          <w:lang w:bidi="ar-SA"/>
        </w:rPr>
        <w:t xml:space="preserve">، واستدلّ له بأنّ الأمر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التيمّم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النهي عن ضدّه، وهو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بالوضوء يسقط، لمزاحمته مع التيمّم والصّلاة الواجبين، فلا يصحّ لا للنهي بل لعدم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الالتزام بالأمر به على نحو الترتّب، مضافاً إلى أنّ صحّة الوضوء يكفي فيها وجود الملاك، وإنْ لم يكن مأموراً به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حقّقنا في محلّه عدم جريان الترتّب في أمثال الوضوء، ممّا هو مشروط بالقدرة شرعاً، ولا طريق إلى إحراز وجود الملاك فيه، فالأقوى عدم الصحّة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بناءً على صحّته في هذا الفرض، الأوجه هي الصحّة في الفرض الأوّل، بناءً على أنّ عباديّة الطهارات الثلاث، إنّما تكون من جهة أمرها النفسي كما لا يخفى</w:t>
      </w:r>
      <w:r>
        <w:rPr>
          <w:rFonts w:eastAsia="Amiri" w:cs="Amiri" w:ascii="Amiri" w:hAnsi="Amiri"/>
          <w:color w:val="111111"/>
          <w:sz w:val="28"/>
          <w:szCs w:val="28"/>
          <w:rtl w:val="true"/>
          <w:lang w:bidi="ar-SA"/>
        </w:rPr>
        <w:t>.</w:t>
      </w:r>
      <w:bookmarkStart w:id="243" w:name="pg11797_256699"/>
    </w:p>
    <w:p>
      <w:pPr>
        <w:pStyle w:val="Heading6"/>
        <w:numPr>
          <w:ilvl w:val="5"/>
          <w:numId w:val="1"/>
        </w:numPr>
        <w:rPr/>
      </w:pPr>
      <w:bookmarkStart w:id="244" w:name="__RefHeading___Toc10391078_73709187"/>
      <w:bookmarkStart w:id="245" w:name="_Toc90"/>
      <w:bookmarkEnd w:id="243"/>
      <w:bookmarkEnd w:id="244"/>
      <w:r>
        <w:rPr>
          <w:rtl w:val="true"/>
        </w:rPr>
        <w:t>التيمّم لأجل الضيق لا تُباح به الغايات الاُخر</w:t>
      </w:r>
      <w:bookmarkEnd w:id="245"/>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ظاهراً في أنّه لا يُستباح بالتيمّم لأجل الضيق غير تلك الصّلاة من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غير واحدٍ من الكلمات من الاتّفاق على أنّه يستباح بالتيمّم لغاية ما يستبيحه المُتطهِّر من سائر الغايات، لا ينافي ذلك، إذ مرادهم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مسوّغ التيمّم موجوداً بالنسبة إلى كلّ غايةٍ من المرض وعدم الوجدان ونحوهما، بحيث يصحّ وقوع التيمّم لكلّ منها ابتداءً‌، دون ما ليس كذلك كما في المقام، لعدم تحقّق المسوّغ بالنسبة إلى غير تلك الصّلاة، وهذا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وقع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ضاق الوقت فتيمّم وصلّى‌، وصار فاقداً للماء حين الصّلاة أو بعدها بمقدارٍ لا يسع الوضوء، فهل يكفي هذا التيمّم للصّلاة الآتية أم لا؟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تعيّن التيمّم عند الضيق الأظهر الكفاية، إذ هو فاقدٌ للماء بالنسبة إليها من حين تيمّمه للصّلاة الأُولى‌، أمّا بعد الصّلاة فواضحٌ‌، وأمّا حين التيمّم والصّلاة، فلأنّه شرعاً مأمورٌ بالتيمّم والصّلاة وترك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عاجزٌ عن استعمال الماء في جميع تلك المدّة، ففي بعضها بالعجز الشرعي، وفي آخر بالعجز العقلي، فيكون التيمّم مشروعاً بالنسبة إليها، فتستباح تلك الصّلاة أيضاً بهذا التيمّم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بناءً على المختار من التخيير بينه وبين الوضوء، فالأوجه عدم الكفاية، إذ حين تيمّمه للصّلاة الأُولى يكون واجداً للماء بالإضافة إلى الصّلاة </w:t>
      </w:r>
    </w:p>
    <w:p>
      <w:pPr>
        <w:pStyle w:val="BookText"/>
        <w:rPr/>
      </w:pPr>
      <w:r>
        <w:rPr>
          <w:rFonts w:ascii="Amiri" w:hAnsi="Amiri" w:eastAsia="Amiri" w:cs="Amiri"/>
          <w:color w:val="111111"/>
          <w:sz w:val="28"/>
          <w:sz w:val="28"/>
          <w:szCs w:val="28"/>
          <w:rtl w:val="true"/>
          <w:lang w:bidi="ar-SA"/>
        </w:rPr>
        <w:t>الآتية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إلزام الشارع بالتيمّم، وعدم الوجدان بعد ذلك لا يكفي في إباحة هذا التيمّم،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ما يكون متشاغلاً بتلك الصّلاة، هل له الإتيان بسائر الغايات التي لم يتضيّق أوقاتها كمسّ كتابة القرآن أم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الأوّل، بناءً على ما هو الأظهر من أنّ التيمّم يوجب حصول الطهارة، أو أنّه بنفسه طهارة على اختلاف المسلكين، لا أنّ أثره مجرّد رفع المنع من فعل الغايات، إذ عليه لو تيمّم وحصلت الطهارة، فما دام لم تتمّ صلاته، تكون الطهارة باقية، نعم لو تمّت صلاته ارتفعت الطهارة، وعليه فله الإتيان في أثناء الصّلاة بجميع ما هو مشروطٌ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العجز عن الطهارة المائيّة من الجهات التقييديّة لموضوع مشروعيّة التيمّم لا التعليليّة، وحيث أنّه غَير عاجزٍ عنها بالمقايسة إلى سائر الغايات، فلا يكون التيمّم المزبور نافعاً بالقياس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كونه مشروعاً بالإضافة إلى هذه الصّلاة، لو تيمّم فإنّه تحصل الطهارة، وهو لا يكاد يتّصف في تلك الحالة بكونه غير متطهّر، وإذا كان متطهّراً فله فعل جميع الغايات، وإلّا لزم عدم كونها من آثار الطهارة، أو تخلّف أثر الطهارة عنها، وكلاهما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تتمّ هذه الدعوى بناء على كونه مبيحاً لا رافعاً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للمختار بوجهين آخرين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بالتيمّم والصّلاة موجبٌ للعجز عن استعمال الماء </w:t>
      </w:r>
    </w:p>
    <w:p>
      <w:pPr>
        <w:pStyle w:val="BookText"/>
        <w:rPr/>
      </w:pPr>
      <w:r>
        <w:rPr>
          <w:rFonts w:ascii="Amiri" w:hAnsi="Amiri" w:eastAsia="Amiri" w:cs="Amiri"/>
          <w:color w:val="111111"/>
          <w:sz w:val="28"/>
          <w:sz w:val="28"/>
          <w:szCs w:val="28"/>
          <w:rtl w:val="true"/>
          <w:lang w:bidi="ar-SA"/>
        </w:rPr>
        <w:t>بالإضافة إلى المسّ في أثناء الصّلاة، فيصدق عدم الوجدان 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العجز في مدّة قصيرة، كالعجز في مكانٍ خاصّ لا يوجب صدق عدم الوجدان، مع أنّك قد عرفت أنّه لا يتعيّن التيمّم والصّلاة، فلا يكون عاجزاً حتّى حين التيمّم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معقد إجماعهم</w:t>
      </w:r>
      <w:r>
        <w:rPr>
          <w:rStyle w:val="FootnoteAnchor"/>
          <w:rtl w:val="true"/>
        </w:rPr>
        <w:footnoteReference w:id="636"/>
      </w:r>
      <w:r>
        <w:rPr>
          <w:rFonts w:ascii="Amiri" w:hAnsi="Amiri" w:eastAsia="Amiri" w:cs="Amiri"/>
          <w:color w:val="111111"/>
          <w:sz w:val="28"/>
          <w:sz w:val="28"/>
          <w:szCs w:val="28"/>
          <w:rtl w:val="true"/>
          <w:lang w:bidi="ar-SA"/>
        </w:rPr>
        <w:t>على أنّه يستبيح للمتيمّم ما يستبيحه المتطهّر بالمائيّة، فإنّ مقتضاه عدم اشتراط ثبوت مسوّغ التيمّم لكلّ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بقاء ذلك المسوّغ لتلك الغاية، فلا يجوز المسّ بعد الصّلاة، لانتهاء المشروعيّة، إمّا قبلها أو في الأثناء فجائز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الظاهر من كلماتهم إرادتهم بذلك الاكتفاء بتيمّم واحد لاستباحة جميع الغايات، إذا كان مسوّغ التيمّم موجوداً بالنسبة إلى كلّ غاية، فالعمدة ما ذكرناه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6" w:name="pg11797_256705"/>
    </w:p>
    <w:p>
      <w:pPr>
        <w:pStyle w:val="Heading6"/>
        <w:numPr>
          <w:ilvl w:val="5"/>
          <w:numId w:val="1"/>
        </w:numPr>
        <w:rPr/>
      </w:pPr>
      <w:bookmarkStart w:id="247" w:name="__RefHeading___Toc10391080_73709187"/>
      <w:bookmarkStart w:id="248" w:name="_Toc91"/>
      <w:bookmarkEnd w:id="246"/>
      <w:bookmarkEnd w:id="247"/>
      <w:r>
        <w:rPr>
          <w:rtl w:val="true"/>
        </w:rPr>
        <w:t>في جواز ترك السّورة أو الوضوء لضيق الوقت وعدمه</w:t>
      </w:r>
      <w:bookmarkEnd w:id="248"/>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يفِ الوقت بقراءة السّورة في الصّلاة مع الطهارة المائيّة، ودار الأمر بين ترك إحداهما، فهل يتركها ويتوضّأ للصّلاة، أم يتيمّم ويقرؤها في صلاته، أم يتخيّر بينهما؟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إطلاق لما دلَّ على وجوب السّورة في الصّلاة يشمل المقام، فيرجع إلى الأصل، وهو يقتضي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النصوص إنّما دلّت على سقوط وجوبها إذا ما أعجلت به حاجةً أو تخوّف شيئاً، ويكفي في صدق الحاجة الطهارة المائيّة، فيكون المقام من تعارض المقتضي واللّامقتضي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وبفحوى ما دلَّ على سقوط وجوبها في المأموم المسبوق إذا لم يمهله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دعوى عدم الإطلاق لما دلَّ على وجوب السّورة في الصّلاة، على فرض تسليم دلالته عليه، ممنوعة، كما يظهر لمن راجع صحيحي الحلبي ومنصور، الذين استدلّ بهما للقول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الطهارة المائيّة حاجة وغرضاً مطلوباً، يتوقّف على سقوط السّورة، وإلّا فلا أمر بها، ولا تكون حاجةً وغرضاً مطلوباً، وعليه فلا يمكن أن يكون درك الطهارة المائيّة وجهاً لسقوط السّورة، وإلّا لزم الدور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سقوطه عن المأموم إنّما يكون لدرك فضيلة الائتمام، وأمّا في المقام، فلم يثبت كون إدراك الصّلاة مع الطهارة المائيّة فاقدة للسورة حاجةً وغرضاً مطلوباً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يقع التزاحم بين وجوب السّورة ووجوب الطهارة المائيّة، وحيث أنّ الطهارة لها بدلٌ‌، وليس كذلك السّورة، فيسقط وجوب الطهارة، وينتقل الفرض إلى التيمّم، ويبقى وجوب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غير مرّة</w:t>
      </w:r>
      <w:r>
        <w:rPr>
          <w:rStyle w:val="FootnoteAnchor"/>
          <w:rtl w:val="true"/>
        </w:rPr>
        <w:footnoteReference w:id="637"/>
      </w:r>
      <w:r>
        <w:rPr>
          <w:rFonts w:ascii="Amiri" w:hAnsi="Amiri" w:eastAsia="Amiri" w:cs="Amiri"/>
          <w:color w:val="111111"/>
          <w:sz w:val="28"/>
          <w:sz w:val="28"/>
          <w:szCs w:val="28"/>
          <w:rtl w:val="true"/>
          <w:lang w:bidi="ar-SA"/>
        </w:rPr>
        <w:t>من أنّ التنافي بين الحكمين الضمنيين يعدّ من موارد التعارض لا التزاحم، فلا وجه للرجوع إلى مرجّحات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بناءً على ما قوّيناه</w:t>
      </w:r>
      <w:r>
        <w:rPr>
          <w:rStyle w:val="FootnoteAnchor"/>
          <w:rtl w:val="true"/>
        </w:rPr>
        <w:footnoteReference w:id="638"/>
      </w:r>
      <w:r>
        <w:rPr>
          <w:rFonts w:ascii="Amiri" w:hAnsi="Amiri" w:eastAsia="Amiri" w:cs="Amiri"/>
          <w:color w:val="111111"/>
          <w:sz w:val="28"/>
          <w:sz w:val="28"/>
          <w:szCs w:val="28"/>
          <w:rtl w:val="true"/>
          <w:lang w:bidi="ar-SA"/>
        </w:rPr>
        <w:t xml:space="preserve">بحسب الأدلّة من عدم وجوب السّورة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نفتِ به لذهاب أكثر المحقّقين والأساطين، ومن يُعتمد عليه إلى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 أنّه يتعيّن عليه في الفرض الوضوء والصّلاة بلا 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بناءً على القول بوجوبها فيها، فبناءً على ما هو الحقّ من أنّ موارد التنافي بين الأوامر الضمنيّة إنّما تكون من موراد التعارض لا التزاحم، وأنّ مركز التنافي إطلاق أدلّتها، يقع التعارض بين إطلاق ما دلَّ على وجوب السّورة، وإطلاق ما دلَّ على وجوب الطهارة المائيّة، وإطلاق ما دلَّ على لزوم إيقاع الصّلاة بتمامها في الوقت، فلابدَّ من سقوط أحدها، وحيث لا مرجّح، فيسقط الجميع، والمرجع هو الأصل، وهو يقتضي التخيير، كما أشرنا إليه في بيان هذا المسوّغ،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مخيّر في المقام بين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مع الطهارة المائيّة، والسّورة وإنْ خرج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مع الطهارة المائيّة، مع ترك السّورة في الوقت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مع الطهارة الترابيّة والسّورة في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49" w:name="pg11797_256709"/>
    </w:p>
    <w:p>
      <w:pPr>
        <w:pStyle w:val="Heading6"/>
        <w:numPr>
          <w:ilvl w:val="5"/>
          <w:numId w:val="1"/>
        </w:numPr>
        <w:rPr/>
      </w:pPr>
      <w:bookmarkStart w:id="250" w:name="__RefHeading___Toc10391082_73709187"/>
      <w:bookmarkStart w:id="251" w:name="_Toc92"/>
      <w:bookmarkEnd w:id="249"/>
      <w:bookmarkEnd w:id="250"/>
      <w:r>
        <w:rPr>
          <w:rtl w:val="true"/>
        </w:rPr>
        <w:t>في حكم المستحبّات عند ضيق الوقت</w:t>
      </w:r>
      <w:bookmarkEnd w:id="251"/>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ضاق الوقت عن المستحبّات الموقّتة، كما لو ضاق وقت صلاة اللّيل مع وجود الماء، والتمكّن من استعماله، فهل يشرع التيمّم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الموقّت ممّا يُقضى على فرض فوته في وقته، فالأظهر هو الانتقال إلى التيمّم، بمعنى أنّه يجوز له التيمّم والإتيان به في وقته، لعين ما ذكرناه في ما لو ضاق وقت الصّلاة الواجبة، وهو العلم بسقوط التكليف بإتيان الواجب مع جميع ما يعتبر فيه في الوقت، وتعلّقه بإتيانه في الوقت مع سقوط الطهارة المائيّة، أو في خارج الوقت معها، ولازم ذلك التخيير بينهما على ما عرفت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ممّا لا دليل على قضائه لو فات، فلا مسوّغ للتيمّم، إذ بعد سقوط التكليف بإتيانه في وقته مع الطهارة المائيّة، لا علم بتعلّق التكليف بشيءٍ آخر كي يجري فيه ما ذكرناه، 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وبضميمة ما ذكرناه عند الاستدلال، لانتقال الفرض إلى التيمّم لو ضاق الوقت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ما في كلمات القوم في المقام، فلا نطيل بذكرها وما فيها</w:t>
      </w:r>
      <w:r>
        <w:rPr>
          <w:rFonts w:eastAsia="Amiri" w:cs="Amiri" w:ascii="Amiri" w:hAnsi="Amiri"/>
          <w:color w:val="111111"/>
          <w:sz w:val="28"/>
          <w:szCs w:val="28"/>
          <w:rtl w:val="true"/>
          <w:lang w:bidi="ar-SA"/>
        </w:rPr>
        <w:t>.</w:t>
      </w:r>
      <w:bookmarkStart w:id="252" w:name="pg11797_256711"/>
    </w:p>
    <w:p>
      <w:pPr>
        <w:pStyle w:val="Heading6"/>
        <w:numPr>
          <w:ilvl w:val="5"/>
          <w:numId w:val="1"/>
        </w:numPr>
        <w:rPr/>
      </w:pPr>
      <w:bookmarkStart w:id="253" w:name="__RefHeading___Toc10391084_73709187"/>
      <w:bookmarkStart w:id="254" w:name="_Toc93"/>
      <w:bookmarkEnd w:id="252"/>
      <w:bookmarkEnd w:id="253"/>
      <w:r>
        <w:rPr>
          <w:rtl w:val="true"/>
        </w:rPr>
        <w:t>في ما لو تيمّم باعتقاده ضيق الوقت</w:t>
      </w:r>
      <w:bookmarkEnd w:id="254"/>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تيمّم باعتقاد الضيق فبانت سعته بعد الصّلاة، فهل يُعيدها أم لا؟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خاف أن يفوته الوقت فليتيمّم</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إذا ثبت مشروعيّة التيمّم، وصحّة الصّلاة مع الخوف، أثبتنا مع القطع بالضيق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حسين العامري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سأله عن رجلٍ أجنَب، فلم يقدر على الماء، وحضرت الصّلاة فيتيمّم بالصعيد، ثمّ مرَّ بالماء ولم يغتسل، وانتظر ماءً آخر وراء ذلك، فدخل وقت الصّلاة الاُخرى‌، ولم ينته إلى الماء، وخاف فوت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ويُصلّي</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المشروعيّة وإنْ بانت السِّعة، إلّاإذا كان الخوف بنفسه موضوعاً للمشروعيّة، وقد عرفت سابقاً أنّ الظاهر منه كون الخوف طريقاً شرعيّاً إلى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مضافاً إلى ذلك، أنّه لإرساله لا يُعتمد عليه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هو الأوّل، لانكشاف عدم مشروعيّته واقعاً، للقدرة </w:t>
      </w:r>
    </w:p>
    <w:p>
      <w:pPr>
        <w:pStyle w:val="BookText"/>
        <w:rPr/>
      </w:pPr>
      <w:r>
        <w:rPr>
          <w:rFonts w:ascii="Amiri" w:hAnsi="Amiri" w:eastAsia="Amiri" w:cs="Amiri"/>
          <w:color w:val="111111"/>
          <w:sz w:val="28"/>
          <w:sz w:val="28"/>
          <w:szCs w:val="28"/>
          <w:rtl w:val="true"/>
          <w:lang w:bidi="ar-SA"/>
        </w:rPr>
        <w:t>على الطهارة المائيّة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كانت الوقت واسعاً توضّأ وجوباً، وإنْ لم يكن واسعاً تخيّر بين التيمّم والوضوء</w:t>
      </w:r>
      <w:r>
        <w:rPr>
          <w:rFonts w:eastAsia="Amiri" w:cs="Amiri" w:ascii="Amiri" w:hAnsi="Amiri"/>
          <w:color w:val="111111"/>
          <w:sz w:val="28"/>
          <w:szCs w:val="28"/>
          <w:rtl w:val="true"/>
          <w:lang w:bidi="ar-SA"/>
        </w:rPr>
        <w:t>.</w:t>
      </w:r>
      <w:bookmarkStart w:id="255" w:name="pg11797_256715"/>
    </w:p>
    <w:p>
      <w:pPr>
        <w:pStyle w:val="BookText"/>
        <w:rPr/>
      </w:pPr>
      <w:bookmarkEnd w:id="255"/>
      <w:r>
        <w:rPr>
          <w:rFonts w:ascii="Amiri" w:hAnsi="Amiri" w:eastAsia="Amiri" w:cs="Amiri"/>
          <w:color w:val="111111"/>
          <w:sz w:val="28"/>
          <w:sz w:val="28"/>
          <w:szCs w:val="28"/>
          <w:rtl w:val="true"/>
          <w:lang w:bidi="ar-SA"/>
        </w:rPr>
        <w:t>ويَجبُ الطّلب غلوةَ سهمٍ في الحَزَنة، وسهمين في السَّهلة من جوانبه الأربع</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0391086_73709187"/>
      <w:bookmarkStart w:id="257" w:name="_Toc94"/>
      <w:bookmarkEnd w:id="256"/>
      <w:r>
        <w:rPr>
          <w:rtl w:val="true"/>
        </w:rPr>
        <w:t>تتميم في بيان اُمور</w:t>
      </w:r>
      <w:r>
        <w:rPr>
          <w:rtl w:val="true"/>
        </w:rPr>
        <w:t>:</w:t>
      </w:r>
      <w:bookmarkEnd w:id="257"/>
    </w:p>
    <w:p>
      <w:pPr>
        <w:pStyle w:val="Heading6"/>
        <w:numPr>
          <w:ilvl w:val="5"/>
          <w:numId w:val="1"/>
        </w:numPr>
        <w:rPr/>
      </w:pPr>
      <w:bookmarkStart w:id="258" w:name="__RefHeading___Toc10391088_73709187"/>
      <w:bookmarkStart w:id="259" w:name="_Toc95"/>
      <w:bookmarkEnd w:id="258"/>
      <w:r>
        <w:rPr>
          <w:rtl w:val="true"/>
        </w:rPr>
        <w:t>وجوب الطّلب عند عدم الماء</w:t>
      </w:r>
      <w:bookmarkEnd w:id="259"/>
    </w:p>
    <w:p>
      <w:pPr>
        <w:pStyle w:val="Heading6"/>
        <w:numPr>
          <w:ilvl w:val="5"/>
          <w:numId w:val="1"/>
        </w:numPr>
        <w:rPr/>
      </w:pPr>
      <w:bookmarkStart w:id="260" w:name="__RefHeading___Toc10391090_73709187"/>
      <w:bookmarkStart w:id="261" w:name="_Toc96"/>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تتيمّم في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بين الأصحاب أنّه في صورة عدم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الطلب غلوةَ سَهمٍ في الحَزَنة، وسهمين في السّهلة من جوانبه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هذا الأمر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وجوب الفحص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Style w:val="FootnoteAnchor"/>
          <w:rtl w:val="true"/>
        </w:rPr>
        <w:footnoteReference w:id="6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Style w:val="FootnoteAnchor"/>
          <w:rtl w:val="true"/>
        </w:rPr>
        <w:footnoteReference w:id="642"/>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الجهة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الآية الشريفة ولو بضميمة ما ورد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أنّها تدلّ على عدم الوجوب، وأنّه يكتفى في انتقال الفرض إلى التيمّم، بعدم العثور على الماء، ولكنّه فاسدٌ لوجوه ثلاثة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إلى الذهن من عدم الوجدان، هو عدم الوجود المقدور، ولذا لا يُطلق غير واجد الضّالة، على من لم يعثر عليها ولم يطلبها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الآية الشريفة، بقرينة تعليق الأمر بالتيمّم على عدم وجدان الماء، وقوله تعالى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اَللّهُ لِيَجْعَلَ عَلَيْكُمْ مِنْ حَرَجٍ‌ </w:t>
      </w:r>
      <w:r>
        <w:rPr>
          <w:rStyle w:val="FootnoteAnchor"/>
          <w:rtl w:val="true"/>
        </w:rPr>
        <w:footnoteReference w:id="644"/>
      </w:r>
      <w:r>
        <w:rPr>
          <w:rFonts w:ascii="Amiri" w:hAnsi="Amiri" w:eastAsia="Amiri" w:cs="Amiri"/>
          <w:color w:val="111111"/>
          <w:sz w:val="28"/>
          <w:sz w:val="28"/>
          <w:szCs w:val="28"/>
          <w:rtl w:val="true"/>
          <w:lang w:bidi="ar-SA"/>
        </w:rPr>
        <w:t>أنّ بدليّة التيمّم عن الطهارة المائيّة بدليّة اضطراريّة لا لفقد المقتضي وانقلاب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فيجبُ طلب الماء، وعند تعذّر تحصيله ينتقل التكليف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الواردة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أبي طلحة، عن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لامَسْتُمُ اَلنِّساءَ فَلَمْ تَجِدُوا ماءً فَتَيَمَّمُوا صَعِيداً طَيِّباً ما حَدّ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بشراءٍ وبغير 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قَدْر وضوئه بمائة ألف أو بألف وكم 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قدر جِدته</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الماء وكان يقدر عليه انتقض تيمّمه</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احتاج إلى الوضوء للصّلاة، وهو لا يقدر على الماء، فوجد بقدر ما يتوضّأ به بمائة درهم أو بألف درهم وهو واجد لها، يشتري ويتوضّأ أو يتيمّم‌؟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يشتري</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هذا هو مراد من فسّر الوجدان بعدم القدرة، أي عدم الوجود المقدور، وإلّا فحمل الوجدان على القدرة خلاف الظاهر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شكّ في الوجود المقدور الذي هو الموضوع لوجوب الطهارة المائيّة، بحسب ما يستفاد من الآية الشريفة، يكفي في إثبات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مشروعيّة التيمّم من دون الفحص، استصحاب عدم الوجود الخاص لكونه مسبوقاً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الطهارة المائيّة ليس مشروطاً بالوجدان بل هو مطلقٌ غير مشروط به، ومع الشكّ في القدرة على الواجب المطلق يجبُ الاحتياط لبناء العقلاء عليه، فيجب الطلب من باب الاحتياط، واستصحاب عدم القدرة لا يُجدي، لعدم كون القدرة شرطاً لموضوع الحكم الشرعي، بالإضافة إلى وجوب الطهارة المائيّة، فلا يصحّ التعبّد بوجودها أو عدمها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الآية الشريفة الآمرة بالطهارة المائيّة، ثُمّ بالتيمّم عند عدم وجدان الماء، هو أنّ المُحْدِث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 وغير واجد، والطهارة المائيّة تجبُ على الطائفة الأُولى‌، والترابيّة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تقييد الأمر بالطهارة المائيّة بالوجدان، فهو شرطٌ شرعي، فلا مانع من الرجوع إلى الاستصحاب، ومعه لا يبقى مورد للرجوع إلى حكم العقل وجوب الاحتياط، مع أنّ عدم الرجوع إلى البراءة في موارد الشكّ في القدرة إنّما هو فيما كانت القدرة شرطاً عقليّاً، وأمّا لو كانت شرطاً شرعيّاً فهي تجري فيها كما حقّقناه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عدم دلالتها على اشتراط وجوب الطهارة المائيّة بالوجدان، فلا ريب في أنّ عدم الوجدان قيدٌ شرعيّ لوجوب الطهارة الترابيّة، فهو بالإضافة إليها يكون مجرى للأصل الشرعي، فإذا أثبتنا موضوع وجوب التيمّم بالأصل، وانضمّ إليه عدم وجوب الجمع بين الطهارتين، بل عدم مشروعيّته، يثبت سقوط وجوب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حتّى لا تبادر بالإشكال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فلا يصحّ القول بوجوب الفحص في صورة الشكّ في الوجود </w:t>
      </w:r>
    </w:p>
    <w:p>
      <w:pPr>
        <w:pStyle w:val="BookText"/>
        <w:rPr/>
      </w:pPr>
      <w:r>
        <w:rPr>
          <w:rFonts w:ascii="Amiri" w:hAnsi="Amiri" w:eastAsia="Amiri" w:cs="Amiri"/>
          <w:color w:val="111111"/>
          <w:sz w:val="28"/>
          <w:sz w:val="28"/>
          <w:szCs w:val="28"/>
          <w:rtl w:val="true"/>
          <w:lang w:bidi="ar-SA"/>
        </w:rPr>
        <w:t>الخاص، مستنداً إلى الآية الشريفة، بل غاية ما يمكن أن يستفاد من الآية، وجوب الطلب في صورة العلم بالعثور على الماء بعد الطلب، كما وهو مورد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لوجوب الطلب في صورة الشكّ في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مصحّح زرارة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المسافر الماء، فليطلب ما دام في الوقت، فإذا خاف أن يفوته الوقت فليتيمّم وليُصلِّ‌</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المرويّ في أحد طريقي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وبعدم التزام أحدٍ من الفقهاء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الكليني أضبط من الشيخ، لا سيّما وفي أحد طريقي الشيخ أيضاً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التزام الفقهاء بإطلاقه، ليس إعراضاً عن الصحيح، كي يوجب وهنه، بل إنّما يكون لأجل المقيّد الذي سيمرّ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السكوني، عن جعفر عليه السلام، عن أبيه، عن عليّ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 الماء في السّفر إنْ كانت الحزونة فغَلوة، وإنْ كانت سهولة فغلوتين، لا يطلب أكثر من ذلك</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سنده، وبعدم كونه في مقام بيان وجوب الطلب، بل إنّما هو في مقام بيان حدّه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عدم صحّة سنده لا يضرّ بعد كون الراوي هو السكوني، الذي بنى الأصحاب على العمل برواياته، وظاهره كونه في مقام بيان حكم الطلب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وحده، وهما يدلّان على إلغاء الشارع أصالة عدم الوجدان الجارية في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للقول بعدم الوجوب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داود الرّقي،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السّفر فتحضر الصّلاة، وليس معي ماء، ويقال إنّ الماء قريبٌ منّا، فأطلبُ الماء وأنا في وقتٍ يميناً وشمالاً؟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ولكن تيمّم فإنّي أخاف عليك التخلّف عن أصحابك، فتضلّ ويأكلك السَّبع</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يعقوب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لا يكون معه ماء، والماء عن يمين الطريق ويساره غَلوتين أو نحو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آمره أن يُغرّر بنفسه فَيعرِض له لِصٌّ أو سَبُع</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سالم،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فأطلب الماء يميناً وشمالاً؟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يميناً ولا شمالاً ولا في بئر، إنْ وجدته على الطريق فتوضّأ منه، وإنْ لم تجده فامض</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وغيرها، بضعف سند الجميع، لأنّ داود الرِّقي ضعيفٌ جدّاً كما عن النجاشي</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أحمد بن عبد الواحد</w:t>
      </w:r>
      <w:r>
        <w:rPr>
          <w:rStyle w:val="FootnoteAnchor"/>
          <w:rtl w:val="true"/>
        </w:rPr>
        <w:footnoteReference w:id="6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له حديثاً 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فاسد المذهب، ضعيف الرواية، لايُلتفت إليه</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الكشّي</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أنّه يذكر الغُلاة أنّه من أركانهم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سند الثاني مُعلّى بن محمّد، وهو مضطرب الحديث والمذهب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بن سالم الذي هو راوي الثالث مشتركٌ بين المجهول والضعيف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صحّة سند الجميع، أمّا داود الرّقي فقد وثّقه جماعة من الأعاظم منهم الشيخان</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ومن المعلوم أنّ الاختصاص كما في مقدّمته ألّفه لذكر فضل الرِّجال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على إمامة 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روى النصّ على الرِّضا عليّ بن موسى عليهما السلام بالإمامة من أبيه والإشارة إليه منه بذلك، من خاصّته وثقاته وأهل الورع والعلم والفقه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كثير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الطوسي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الدالّ رقم </w:t>
      </w: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وابن 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وابن طاووس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والمصنّف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والكشّي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والطريحي، ويروي عنه كثيراً ابن أبي عُمير، والحسن بنق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محبوب اللّذان هما من أصحاب الإجماع، وقد ورد في مدحه حديثٌ عن الإمام الصادق عليه السلام يأمرهم بأنْ ينزلوه منه منزلة المقداد من رسول اللّه صلى الله عليه و آله</w:t>
      </w:r>
      <w:r>
        <w:rPr>
          <w:rStyle w:val="FootnoteAnchor"/>
          <w:rtl w:val="true"/>
        </w:rPr>
        <w:footnoteReference w:id="659"/>
      </w:r>
      <w:r>
        <w:rPr>
          <w:rFonts w:ascii="Amiri" w:hAnsi="Amiri" w:eastAsia="Amiri" w:cs="Amiri"/>
          <w:color w:val="111111"/>
          <w:sz w:val="28"/>
          <w:sz w:val="28"/>
          <w:szCs w:val="28"/>
          <w:rtl w:val="true"/>
          <w:lang w:bidi="ar-SA"/>
        </w:rPr>
        <w:t>، وفي آخر أنّه من أصحاب القائم عليه السلام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أنّ الظاهر من الجارحين أنّهم استندوا في ذلك إلى رواية الغُلاة عنه غير الموجبة لضعفه، وذكرهم أنّه من أركانهم الذي لم يثبت، بل ثبت خلافه، ونفي الكشّي طعن أحدٍ من العصابة فيه، الموجب للاطمئنان بأنّ مستند النجاشي في الجَرح إمّا توهّم كونه من الغُلاة، الذي على فرض ثبوته لا ينافي وثاقته مع عدم ثبوته، أو قول ابن الغضائري الذي لا يُعتنى بجرحه في مقابل توثيق مَنْ عرفت، لشدّة اهتمامه بجرح الرِّجال بأدنى شيء، وكون شأن أحمد هو النقل، وغير ذلك من القرائن، لا يُعتنى بجرح 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فالمعتمد هي شهادة الموثّقين، فهو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يضرّ في السند، لكونه من مشايخ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كما عن غير واحدٍ</w:t>
      </w:r>
      <w:r>
        <w:rPr>
          <w:rStyle w:val="FootnoteAnchor"/>
          <w:rtl w:val="true"/>
        </w:rPr>
        <w:footnoteReference w:id="662"/>
      </w:r>
      <w:r>
        <w:rPr>
          <w:rFonts w:ascii="Amiri" w:hAnsi="Amiri" w:eastAsia="Amiri" w:cs="Amiri"/>
          <w:color w:val="111111"/>
          <w:sz w:val="28"/>
          <w:sz w:val="28"/>
          <w:szCs w:val="28"/>
          <w:rtl w:val="true"/>
          <w:lang w:bidi="ar-SA"/>
        </w:rPr>
        <w:t>التصريح به، اتّحاده مع علي ابن أبي حمزة البطائني، فيكون خبره من القويّ المعمول به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في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داود، وخبر يعقوب يدلّان على عدم وجوب الفحص في مورد الخوف على النفس أو المال، كما يظهر من التعليل فيهما،ه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وعدمه في هذا المورد، كأنّه متّفقٌ عليه، ولا ينافي وجوبه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علي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قويّاً كونه هو الخبر المعلّل الذى رواه داود بنفسه، إذ من المستبعد جدّاً تعدّد الواقعة،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مورد للاستدلال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جواز التيمّم من غير أن يفحص عن الماء، بل يدلّ على عدم وجوب الطلب يميناً وشمالاً، وله أن يطلبه في طريقه إلى مقصده ومضيّه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مطلق يُحمل على الخبرين المتقدّمين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وجوب الفحص والطلب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ثبت وجوب أصل الطلب، يدور البحث عن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الطلب هل هو نفسيٌّ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الشهيد،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w:t>
      </w:r>
      <w:r>
        <w:rPr>
          <w:rStyle w:val="FootnoteAnchor"/>
          <w:rtl w:val="true"/>
        </w:rPr>
        <w:footnoteReference w:id="6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شرطي لصحّة التيمّم تعبّداً، كما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 ونسب إلى المشهور؟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إرشادي إلى حكم العقل بلزوم الاحتياط، مع الشكّ في القدرة، كما اختاره بعض الأعاظم</w:t>
      </w:r>
      <w:r>
        <w:rPr>
          <w:rStyle w:val="FootnoteAnchor"/>
          <w:rtl w:val="true"/>
        </w:rPr>
        <w:footnoteReference w:id="667"/>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شرطي طريقي‌؟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الأمر في كونه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بحسب المتفاهم العرفي من الأوامر والنواهي الواردة في أمثال المقام، كونها إرشاداً إلى الشرطيّة والجزئيّة والمانعيّة، ومنه يظهر مستند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الظاهر من الأمر بالطلب، إنّما هو لاحتمال وجود الماء، وإنّما أمر به ليظهر ذلك، ولذا لو علم بعدم الماء لا يجبُ عليه الفحص والطلب، وأنّ هذا القول يستلزم تقييد إطلاق الآية الشريفة الدالّة على مشروعيّته بمجرّد عدم الوجدان، بضميمة ما عرفت من عدم كون المورد من موارد حكم العقل بلزوم الاحتياط، كي يكون الأمر بالطلب إرشاداً إليه، يتعيّن الالتزام بالوجه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لازم الوجه الثاني أنّ مَنْ ترك الفحص، وكان في الواقع فاقداً للماء، لا يكون مكلّفاً بالصلاة مع شيء من الطهارتين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الترابيّة فلعدم حصول 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المائيّة فلعدم القدرة عليها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ترى‌، وعليه فتدلّ هذه الأدلّة على أنّ الشارع ألغى استصحاب عدم الوجود المقدور، الذي عرفت أنّه يجري في نفسه، فلا يحكم بصحّة التيمّم ظاهراً إلّا بعد الفحص</w:t>
      </w:r>
      <w:r>
        <w:rPr>
          <w:rFonts w:eastAsia="Amiri" w:cs="Amiri" w:ascii="Amiri" w:hAnsi="Amiri"/>
          <w:color w:val="111111"/>
          <w:sz w:val="28"/>
          <w:szCs w:val="28"/>
          <w:rtl w:val="true"/>
          <w:lang w:bidi="ar-SA"/>
        </w:rPr>
        <w:t>.</w:t>
      </w:r>
      <w:bookmarkStart w:id="262" w:name="pg11797_256734"/>
    </w:p>
    <w:p>
      <w:pPr>
        <w:pStyle w:val="Heading6"/>
        <w:numPr>
          <w:ilvl w:val="5"/>
          <w:numId w:val="1"/>
        </w:numPr>
        <w:rPr/>
      </w:pPr>
      <w:bookmarkStart w:id="263" w:name="__RefHeading___Toc10391092_73709187"/>
      <w:bookmarkStart w:id="264" w:name="_Toc97"/>
      <w:bookmarkEnd w:id="262"/>
      <w:bookmarkEnd w:id="263"/>
      <w:r>
        <w:rPr>
          <w:rtl w:val="true"/>
        </w:rPr>
        <w:t>مقدار الفحص الواجب</w:t>
      </w:r>
      <w:bookmarkEnd w:id="264"/>
    </w:p>
    <w:p>
      <w:pPr>
        <w:pStyle w:val="Heading6"/>
        <w:numPr>
          <w:ilvl w:val="5"/>
          <w:numId w:val="1"/>
        </w:numPr>
        <w:rPr/>
      </w:pPr>
      <w:bookmarkStart w:id="265" w:name="__RefHeading___Toc10391094_73709187"/>
      <w:bookmarkStart w:id="266" w:name="_Toc98"/>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في أماكن اخرى سوى الأرض كالقافلة والرَّحل ونحوهما، لا حدَّ له سوى تحقّق ما يكون حُجّة عقلائيّة على العدم، كالعلم واليأس عند تعسّره، أو شرعاً كالحرج والضَّرر، فما لم يتحقّق أحد هذه الروافع أو ما يُضاهيها، فإنّه يجبُ الطلب ما دام في الوقت، كما يشهد له صحيح زرارة المتقدّم</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الطلب في الأرض للمسافر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 أنّه يكفي الطلب في الحَزَنة غَلوة سهم، وفي السَّهلة غلوة سهمين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الرّمية والرّميتين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الطلب ما دام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المحقّق الهمداني رحمه الله</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المسافر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الفحص عن الماء ولو في طريق سفره، من غير أن ينحرف عن الطريق إلى أن يتضيّق عليه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تحصيل الوثوق بفقد الماء فيما حوله بمقدار غَلوة سهمٍ أو سهمين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السكوني المتقدّم، المنجبر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ممنوعٌ‌ </w:t>
      </w:r>
    </w:p>
    <w:p>
      <w:pPr>
        <w:pStyle w:val="BookText"/>
        <w:rPr/>
      </w:pPr>
      <w:r>
        <w:rPr>
          <w:rFonts w:ascii="Amiri" w:hAnsi="Amiri" w:eastAsia="Amiri" w:cs="Amiri"/>
          <w:color w:val="111111"/>
          <w:sz w:val="28"/>
          <w:sz w:val="28"/>
          <w:szCs w:val="28"/>
          <w:rtl w:val="true"/>
          <w:lang w:bidi="ar-SA"/>
        </w:rPr>
        <w:t>كما تقدّم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الحلّي ادّعى تواتر الأخبار بذلك كما لعلّهم استندوا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صرّح به المصنّف رحمه الله وغيره من عدم العثور على‌غير خبر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له وجهٌ ظاهر، فلعلّ مراده التفصيل المشهور،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بصحيح زرارة المتقدّم</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مطلقاً يتعيّن تقييده بخبر السكوني، فيكون مقتضى الجمع بينهما، هو الالتزام بأنّه يجبُ الطلب المحدود بالغَلوة والغلوتين ما دام في الوقت، وسقوطه مع 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واردٌ في مقام بيان وقت الطلب وزمانه لا مقداره، فهو أجنبي عن المقام،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من الجمع بينهما، بحمل الصحيح على صورة الظنّ بحصول الماء، والخبر على صورة تجويز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 مضافاً إلى كونه جمعاً تبرّعيّاً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للرابع</w:t>
      </w:r>
      <w:r>
        <w:rPr>
          <w:rStyle w:val="FootnoteAnchor"/>
          <w:rtl w:val="true"/>
        </w:rPr>
        <w:footnoteReference w:id="6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ممّا يقتضيه الجمع بين الخبرين، فإنّ خبر السكوني إنّما هو في مقام بيان حكم المسافر المريد لإتيان الصّلاة في مكان مخصوص، كما لو نزل الظهر منزلاً وأراد أن يُصلّي فيه، وإلّا فله الضّرب في الأرض في جهةٍ من الجهات، ولو في الجهة الموصلة إلى المقصد برجاء تحصيل الماء في أثناء الطريق، إلى أن يتضيّق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الوقت، ضرورة أنّ العود إلى المكان الأوّل، ليس واجباً تعبّديّاً، فحيثما طلب الماء في جهةٍ‌، ولو في الجهة المؤديّة إلى المقصود، بمقدار رميّة سهمٍ أو سهمين، فله أن يُصلّي في المكان الذي انتهى إليه طلبه، وأنْ لا يعود إلى المكان الأوّل الذي ابتدأ منه، لكن يجب عليه الفحص عن الماء فيما حوله بالنسبة إلى المكان الذي انتهى إليه السير، فله في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كالمكان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 أوّلاً الضّرب إلى مقصده مثلاً في الجهة التي تقربه، وهكذا إلى أن يتضيّق عليه الوقت، ويتعيّن عليه الصّلاة مع التيمّم؛ فثمرة العود إلى المكان الأوّل إنّما هو جواز الصّلاة مع التيمّم، بعد الفحص عن الماء في سائر الجهات، بالمقدار المعتبر شرعاً، وإنْ لم يتضيّق عليه الوقت، فيقيّد حسنة زرارة بما عدا هذه الصوره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طلب الماء في الجهة المؤديّة إلى المقصود بمقدار رمية سهمٍ أو سهمين، وإنْ كان له أن يُصلّي في المكان الذي انتهى إليه سيره، ولا يجب العود إلى المكان الذي ابتدأ منه الطلب، إلّاأنّه في جواز تيمّمه يشترط الطلب في الجهات الاُخر بمقتضي خبر السكوني، الظاهر في الوجوب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دام يكون الوقت أوسع من طلب الماء في الجهات الأربع والتيمّم والصّلاة، للمكلّف التأخير، وعدم الفحص في جهةٍ من الجهات، ولو في الجهة الموصلة إلى المقصود، ولو تضيّق الوقت ليس له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لإنكار ظهور خبر السكوني في الوجوب التعييني الشرطي، فحمله على الوجوب التخييري بدعوى أنّه لا يفهم منه أزيد من الوجوب التخييري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Style w:val="FootnoteAnchor"/>
          <w:rtl w:val="true"/>
        </w:rPr>
        <w:footnoteReference w:id="677"/>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ذكرناه في مقام الجمع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مقدار رمية سهم، وهذا لا إشكال فيه، إنّما الكلام في تحديد الرمية، فإنّ الرمي بالسهم غير متعارفٍ في هذا الزمان، وكلمات القوم في تحديده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الشجاع</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ثلثمائة ذراع إلى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الارتشاف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مائة باع، والميل عشر غلاء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الفرسخ التامّ خمسٌ وعشرون غلوة، مع عدم كونهم من أهل الخبرة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الشكّ في المقام ليس في سعة المفهوم وضيقه، فلا مورد لإجراء البراءة، بل يتعيّن الاحتياط إلى أن يحصل العلم بالخروج عن عهدة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267" w:name="pg11797_256743"/>
    </w:p>
    <w:p>
      <w:pPr>
        <w:pStyle w:val="Heading6"/>
        <w:numPr>
          <w:ilvl w:val="5"/>
          <w:numId w:val="1"/>
        </w:numPr>
        <w:rPr/>
      </w:pPr>
      <w:bookmarkStart w:id="268" w:name="__RefHeading___Toc10391096_73709187"/>
      <w:bookmarkStart w:id="269" w:name="_Toc99"/>
      <w:bookmarkEnd w:id="267"/>
      <w:bookmarkEnd w:id="268"/>
      <w:r>
        <w:rPr>
          <w:rtl w:val="true"/>
        </w:rPr>
        <w:t>تنبيهات حول الفحص عن الماء</w:t>
      </w:r>
      <w:bookmarkEnd w:id="269"/>
    </w:p>
    <w:p>
      <w:pPr>
        <w:pStyle w:val="Heading6"/>
        <w:numPr>
          <w:ilvl w:val="5"/>
          <w:numId w:val="1"/>
        </w:numPr>
        <w:rPr/>
      </w:pPr>
      <w:bookmarkStart w:id="270" w:name="__RefHeading___Toc10391098_73709187"/>
      <w:bookmarkStart w:id="271" w:name="_Toc100"/>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10391100_73709187"/>
      <w:bookmarkStart w:id="273" w:name="_Toc101"/>
      <w:bookmarkEnd w:id="272"/>
      <w:r>
        <w:rPr>
          <w:rtl w:val="true"/>
        </w:rPr>
        <w:t>الاكتفاء بالطلب غلوة سهمٍ‌</w:t>
      </w:r>
      <w:bookmarkEnd w:id="273"/>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وعن غيرها</w:t>
      </w:r>
      <w:r>
        <w:rPr>
          <w:rStyle w:val="FootnoteAnchor"/>
          <w:rtl w:val="true"/>
        </w:rPr>
        <w:footnoteReference w:id="681"/>
      </w:r>
      <w:r>
        <w:rPr>
          <w:rFonts w:ascii="Amiri" w:hAnsi="Amiri" w:eastAsia="Amiri" w:cs="Amiri"/>
          <w:color w:val="111111"/>
          <w:sz w:val="28"/>
          <w:sz w:val="28"/>
          <w:szCs w:val="28"/>
          <w:rtl w:val="true"/>
          <w:lang w:bidi="ar-SA"/>
        </w:rPr>
        <w:t>التصريح بالاكتفاء بالطلب غلوة سهمٍ في الأرض ذات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بشمول الحزنة التي أُخذت في الموضوع للاكتفاء بالغلوة في خبر السكوني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الموضوع الموجب للاكتفاء بالغلوة صعوبة الطلب الشاملة للطلب في الأرض المشتملة على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r>
        <w:rPr>
          <w:rStyle w:val="FootnoteAnchor"/>
          <w:rtl w:val="true"/>
        </w:rPr>
        <w:footnoteReference w:id="682"/>
      </w:r>
      <w:r>
        <w:rPr>
          <w:rFonts w:ascii="Amiri" w:hAnsi="Amiri" w:eastAsia="Amiri" w:cs="Amiri"/>
          <w:color w:val="111111"/>
          <w:sz w:val="28"/>
          <w:sz w:val="28"/>
          <w:szCs w:val="28"/>
          <w:rtl w:val="true"/>
          <w:lang w:bidi="ar-SA"/>
        </w:rPr>
        <w:t xml:space="preserve">من تفسير الحَزَنة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فالسكون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غَلُظ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الموضوع صعوبة الطلب، إنّما أُخذت الحَزَنة في الموضوع لتلك، خلافُ الظاهر، مع أنّه لا أظنّ أنْ يلتزم بإطلاقها أحدٌ كما لو صعب الطلب لشدّة حرارة الهواء، أو لكون الطالب مريضاً أو غير ذلك ممّا يوجب الصعوبة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فالقول بلزوم الفحص غَلوة سهمين فيها، لو لم يكن أقوى‌، فلا ريب في كونه أحوط</w:t>
      </w:r>
      <w:r>
        <w:rPr>
          <w:rFonts w:eastAsia="Amiri" w:cs="Amiri" w:ascii="Amiri" w:hAnsi="Amiri"/>
          <w:color w:val="111111"/>
          <w:sz w:val="28"/>
          <w:szCs w:val="28"/>
          <w:rtl w:val="true"/>
          <w:lang w:bidi="ar-SA"/>
        </w:rPr>
        <w:t xml:space="preserve">. </w:t>
      </w:r>
      <w:bookmarkStart w:id="274" w:name="pg11797_256745"/>
    </w:p>
    <w:p>
      <w:pPr>
        <w:pStyle w:val="Heading6"/>
        <w:numPr>
          <w:ilvl w:val="5"/>
          <w:numId w:val="1"/>
        </w:numPr>
        <w:rPr/>
      </w:pPr>
      <w:bookmarkStart w:id="275" w:name="__RefHeading___Toc10391102_73709187"/>
      <w:bookmarkStart w:id="276" w:name="_Toc102"/>
      <w:bookmarkEnd w:id="274"/>
      <w:bookmarkEnd w:id="275"/>
      <w:r>
        <w:rPr>
          <w:rtl w:val="true"/>
        </w:rPr>
        <w:t>كون الفحص غَلوة سهمٍ أو سهمين في كلّ جهةٍ من الجهات الأربع</w:t>
      </w:r>
      <w:bookmarkEnd w:id="276"/>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اعتبار كون الفحص غَلوة سهمٍ أو سهمين في كلّ جهةٍ من الجهات الأربع، على ما نُسب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الأمام واليمين واليسار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اليمين واليسار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اعتبار الغلوة أو الغلوتين في مجموع الجهات المحتملة، بحيث يكون طلبه في كلّ جهةٍ بعض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إلى الذهن من خبر السكوني أنّ احتمال وجود الماء في كلّ محلٍّ كان الفصل بينه وبين الشخص مقدار الغلوة في الحَزَنة، والغلوتين في السّهلة، أو أقلّ يكون منجزاً، ولابدّ من الفحص حتّى يطمئن بعدمه كي يجوز له التيمّم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فيعتبر الفحص في جميع الجوانب، بنحوٍ يستوعب الفحص جميع نقاط الدائرة المفروضة، التي يكون مركزها مبدأ الطلب، ومحيطها واقعاً في نهاية الغلوة أو الغلوتين، بحيثُ يكون الخطّ المفروض في كلّ ناحية من المركز إلى المحيط بمقدار الغلوة أو الغلوتين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ضعف سائر الأقوال، إنْ لم يرجع القولان الثاني والثالث إلى </w:t>
      </w:r>
      <w:bookmarkStart w:id="277" w:name="pg11797_256747"/>
    </w:p>
    <w:p>
      <w:pPr>
        <w:pStyle w:val="BookText"/>
        <w:rPr/>
      </w:pPr>
      <w:bookmarkEnd w:id="277"/>
      <w:r>
        <w:rPr>
          <w:rFonts w:ascii="Amiri" w:hAnsi="Amiri" w:eastAsia="Amiri" w:cs="Amiri"/>
          <w:color w:val="111111"/>
          <w:sz w:val="28"/>
          <w:sz w:val="28"/>
          <w:szCs w:val="28"/>
          <w:rtl w:val="true"/>
          <w:lang w:bidi="ar-SA"/>
        </w:rPr>
        <w:t xml:space="preserve">ذلك، من جهة احتمال أن يكون المراد باليمين واليسار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xml:space="preserve">نصف الدائرة المفروضة، وأنّ وجه الإهمال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بكونه مفروغاً عنه بالمسير، وإلّا فلا خلاف في ذلك</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10391104_73709187"/>
      <w:bookmarkStart w:id="279" w:name="_Toc103"/>
      <w:bookmarkEnd w:id="278"/>
      <w:r>
        <w:rPr>
          <w:rtl w:val="true"/>
        </w:rPr>
        <w:t>اشتراط الفحص بالعلم بوجود الماء</w:t>
      </w:r>
      <w:bookmarkEnd w:id="279"/>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لزوم الفحص احتمال وجود الماء فلو تيقّن عدم الظفر به في جهةٍ‌، لا يجب الفحص فيها، كما لا خلاف بين أصحابنا أنّه مع العلم بعدمه في الجميع لا يجب عليه الطلب مطلقاً، على ما استظهره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w:t>
      </w:r>
      <w:r>
        <w:rPr>
          <w:rStyle w:val="FootnoteAnchor"/>
          <w:rtl w:val="true"/>
        </w:rPr>
        <w:footnoteReference w:id="6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ذلك، بل يجب الطلب حتّى مع العلم بالعدم، واستدلّ له بإطلاق ما دلَّ على وجوب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وجوب الفحص ليس نفسيّاً أو غيريّاً بل إنّما يكون طريقيّاً إلى تحصيل الماء، فلا يجبُ عند عدم احتمال وجوده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كونه نفسيّاً، فلا مورد أيضاً للتمسّك بالإطلاق، إذ مفهوم الطلب لا يصدق إلّافي ظرف احتمال الظفر بالمطلوب، فإنّه عبارة عن التصدّي نحو المطلوب، فمع العلم بالعدم لا يصدق ذلك حتّى يكون واجباً</w:t>
      </w:r>
      <w:r>
        <w:rPr>
          <w:rFonts w:eastAsia="Amiri" w:cs="Amiri" w:ascii="Amiri" w:hAnsi="Amiri"/>
          <w:color w:val="111111"/>
          <w:sz w:val="28"/>
          <w:szCs w:val="28"/>
          <w:rtl w:val="true"/>
          <w:lang w:bidi="ar-SA"/>
        </w:rPr>
        <w:t>.</w:t>
      </w:r>
      <w:bookmarkStart w:id="280" w:name="pg11797_256750"/>
    </w:p>
    <w:p>
      <w:pPr>
        <w:pStyle w:val="Heading6"/>
        <w:numPr>
          <w:ilvl w:val="5"/>
          <w:numId w:val="1"/>
        </w:numPr>
        <w:rPr/>
      </w:pPr>
      <w:bookmarkStart w:id="281" w:name="__RefHeading___Toc10391106_73709187"/>
      <w:bookmarkStart w:id="282" w:name="_Toc104"/>
      <w:bookmarkEnd w:id="280"/>
      <w:bookmarkEnd w:id="281"/>
      <w:r>
        <w:rPr>
          <w:rtl w:val="true"/>
        </w:rPr>
        <w:t>العلم بوجود الماء فيما زاد على المسافة</w:t>
      </w:r>
      <w:bookmarkEnd w:id="282"/>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وجود الماء فوق المسافة المذكورة، وَجَب طلبه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وعن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الوجدان المانع من مشروعيّة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صدقه في بعض الموارد، كما لو كان الماء بعيداً بمقدار فرسخٍ أو أزيد، أنّه بعد قيام الدليل على وجوب الطلب غَلوة أو غلوتين، يكون المراد من الآية وغيرها ممّا جُعل فيه الوجدان مانعاً عن مشروعيّة التيمّم، هو الوجدان فيها، ولا ريب في عدم صدقه فيها بعد الفحص حتّى مع العلم بوجوده فوق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التحديد منحصرٌ بخبر السكوني، وهو لا سيّما بقرينة ما ورد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يطلب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بصورة الشكّ في الوجود، ولا يشمل صورة العلم، فالمستند فيها هو إطلاق الآية وغيرها إذا صدق الوجدان عُرفاً، وإلّا فيجوز التيمّم حتّى مع العلم بوجوده، إنْ لم يكن إجماعٌ على وجوب السعي إلى الماء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ان وجوب السعي مطلقاً ما لم يتحقّق أحد روافع التكليف لو لم يكن أقوى‌، فلا ريب في كونه أحوط</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يُلحق بالعلم الظنّ في وجوب الأزيد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697"/>
      </w:r>
      <w:r>
        <w:rPr>
          <w:rFonts w:ascii="IRNazanin" w:hAnsi="IRNazanin" w:eastAsia="IRNazanin"/>
          <w:color w:val="111111"/>
          <w:sz w:val="28"/>
          <w:sz w:val="28"/>
          <w:szCs w:val="28"/>
          <w:rtl w:val="true"/>
          <w:lang w:bidi="fa-IR"/>
        </w:rPr>
        <w:t xml:space="preserve">وعن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 أم لا؟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مقابل إطلاق خبر السكوني، بأنّ الجمع بينه وبين صحيح زرارة، يقتضي حمل خبر السكوني على غير صورة الظنّ‌، ففيها يرجع إلى الصحيح الدالّ على وجوب الفحص، ما لم يتضيّق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الظنّ في الشرعيّات كالعلم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من شرط التيمّم العلم بعدم وجود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عدم تماميّة الجمع المزبور، لكونه تبرّعيّاً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الظنون الخاصّة، وإنْ كانت كالعلم، إلّاأنّ مطلق الظنّ الذي ليس بحجّة ليس كالعلم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 شرط التيمّم، العلم بعدم الماء في المسافة المذكورة في خبر السكوني، لا فيما فوقه، ولذا لا ريب في عدم الاعتناء باحتمال وجود الماء فوق الفاصلة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يلحق بالعلم ما ثَبتت حجيّته من الأمارات كالبيّنة، وخبر الواحد على القول بحجيّته في الموضوعات، كما هو المختار، إذ مع وجود الحجّة على وجود الماء فوق المقدار، لا يكون المورد مشمولاً لخبر السكوني لعين ما ذكر في العلم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83" w:name="pg11797_256754"/>
    </w:p>
    <w:p>
      <w:pPr>
        <w:pStyle w:val="Heading6"/>
        <w:numPr>
          <w:ilvl w:val="5"/>
          <w:numId w:val="1"/>
        </w:numPr>
        <w:rPr/>
      </w:pPr>
      <w:bookmarkStart w:id="284" w:name="__RefHeading___Toc10391108_73709187"/>
      <w:bookmarkStart w:id="285" w:name="_Toc105"/>
      <w:bookmarkEnd w:id="283"/>
      <w:bookmarkEnd w:id="284"/>
      <w:r>
        <w:rPr>
          <w:rtl w:val="true"/>
        </w:rPr>
        <w:t>الإستنابة في الطّلب</w:t>
      </w:r>
      <w:bookmarkEnd w:id="285"/>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جماعةٍ من الفقهاء، منهم الشهيدان</w:t>
      </w:r>
      <w:r>
        <w:rPr>
          <w:rStyle w:val="FootnoteAnchor"/>
          <w:rtl w:val="true"/>
        </w:rPr>
        <w:footnoteReference w:id="700"/>
      </w:r>
      <w:r>
        <w:rPr>
          <w:rFonts w:ascii="Amiri" w:hAnsi="Amiri" w:eastAsia="Amiri" w:cs="Amiri"/>
          <w:color w:val="111111"/>
          <w:sz w:val="28"/>
          <w:sz w:val="28"/>
          <w:szCs w:val="28"/>
          <w:rtl w:val="true"/>
          <w:lang w:bidi="ar-SA"/>
        </w:rPr>
        <w:t>، والمحقّق الثاني</w:t>
      </w:r>
      <w:r>
        <w:rPr>
          <w:rStyle w:val="FootnoteAnchor"/>
          <w:rtl w:val="true"/>
        </w:rPr>
        <w:footnoteReference w:id="701"/>
      </w:r>
      <w:r>
        <w:rPr>
          <w:rFonts w:ascii="Amiri" w:hAnsi="Amiri" w:eastAsia="Amiri" w:cs="Amiri"/>
          <w:color w:val="111111"/>
          <w:sz w:val="28"/>
          <w:sz w:val="28"/>
          <w:szCs w:val="28"/>
          <w:rtl w:val="true"/>
          <w:lang w:bidi="ar-SA"/>
        </w:rPr>
        <w:t>، كفاية الإستنابة في الطلب، وعدم وجوب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إخبار العادل يثمر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الخطاب بالطلب للمتيمّم، فلا يجوز أن يتولّاه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الطلب لو كان نفسيّاً أو غيريّاً، فبما أنّ ظاهر الخطاب هو لزوم مباشرة المكلّف نفسه، فلا يجوز أن يتولّاه غيره، لعدم الدليل على مشروعيّة النيابة في المقام، فسقوط التكليف بفعل الغير خلاف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تقدّم ضعف المبنى‌، ولو كان طريقيّاً، فلا تعتبر المباشرة، حتّى يكون مورداً للنيابة، فعلى كلا التقديرين لا تكون النيابة في المقام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الأظهر كونه طريقيّاً، فيكفي الطلب من غير المكلّف، لا لجواز النيابة، بل لحصول الغرض، وهو اليأس من وجود الماء في المسافة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الاكتفاء بطلب الغير، إنّما يجوز فيما إذا حصل العلم من قوله، أو كان خَبره واجداً لشروط الحجّية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فمن لا يرى خبر الواحد حُجّة في الموضوعات، ليس له الالتزام بكفاية الاستنابة في الطلب إذا كان النائب واحداً</w:t>
      </w:r>
      <w:r>
        <w:rPr>
          <w:rFonts w:eastAsia="Amiri" w:cs="Amiri" w:ascii="Amiri" w:hAnsi="Amiri"/>
          <w:color w:val="111111"/>
          <w:sz w:val="28"/>
          <w:szCs w:val="28"/>
          <w:rtl w:val="true"/>
          <w:lang w:bidi="ar-SA"/>
        </w:rPr>
        <w:t xml:space="preserve">. </w:t>
      </w:r>
      <w:bookmarkStart w:id="286" w:name="pg11797_256757"/>
    </w:p>
    <w:p>
      <w:pPr>
        <w:pStyle w:val="Heading6"/>
        <w:numPr>
          <w:ilvl w:val="5"/>
          <w:numId w:val="1"/>
        </w:numPr>
        <w:rPr/>
      </w:pPr>
      <w:bookmarkStart w:id="287" w:name="__RefHeading___Toc10391110_73709187"/>
      <w:bookmarkStart w:id="288" w:name="_Toc106"/>
      <w:bookmarkEnd w:id="286"/>
      <w:bookmarkEnd w:id="287"/>
      <w:r>
        <w:rPr>
          <w:rtl w:val="true"/>
        </w:rPr>
        <w:t>الإكتفاء بالطلب قبل الوقت</w:t>
      </w:r>
      <w:bookmarkEnd w:id="288"/>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 قبل دخول وقت الصّلاة ولم يجد، ففي كفايته بعد دخول الوقت، مع احتمال العثور عليه لو أعاده احتمالاً عُقلائيّاً،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الكفاية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Style w:val="FootnoteAnchor"/>
          <w:rtl w:val="true"/>
        </w:rPr>
        <w:footnoteReference w:id="7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الكفاية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7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الطلب في وقت الصّلاة وعدمه، فيجتزى بالأوّل ولو في صلاة اُخرى لم يدخل وقتها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الفحص واجبٌ بالإجماع وغيره، وهو لا يتحقّق إلّابعد الوقت، لعدم وجوبه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وبتوقّف صدق عدم الوجدان على الطلب في الوقت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الآية الشريفة ظاهرة في إرادة عدم الوجدان عند إرادة التيمّم </w:t>
      </w:r>
    </w:p>
    <w:p>
      <w:pPr>
        <w:pStyle w:val="BookText"/>
        <w:rPr/>
      </w:pPr>
      <w:r>
        <w:rPr>
          <w:rFonts w:ascii="Amiri" w:hAnsi="Amiri" w:eastAsia="Amiri" w:cs="Amiri"/>
          <w:color w:val="111111"/>
          <w:sz w:val="28"/>
          <w:sz w:val="28"/>
          <w:szCs w:val="28"/>
          <w:rtl w:val="true"/>
          <w:lang w:bidi="ar-SA"/>
        </w:rPr>
        <w:t>للصّلاة، وعند القيام إليها وفي زمان صحّة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زرارة المتقدّم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لو اكتفى به قبل الوقت، لصحّ الاكتفاء به مرّةً واحدة للأيّام المتعدّدة، وهو معلوم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المنساق إلى الذهن من الأدلّة، إرادة الطلب عند الحاجة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أغلب هذه الوجوه مقتضية للقول بالتفصيل، كما لايخفى‌، ولكن الجميع قابلة للدفع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الفحص وإنْ كان مقدّمة للتيمّم، ولازم ذلك عدم وجوبه قبل دخول الوقت، لكن الكلام ليس في ذلك، بل في أنّه لو اوجده هل يكتفى به بعد دخول الوقت، كما هو كذلك في المقدّمات الّتي يؤتى بها قبل وقت ذيها،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بعد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استصحاب عدم تجدّد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 ذلك بلا توقّفٍ على الطلب في الوقت، على 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ما في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يدلّ على أنّ زمان وجوب الطلب هو ما دام كون المكلّف في الوقت، وهذا لا يلازم عدم الاجتزاء بما تحقّق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ترتّب محذور على الالتزام بالاكتفاء بالطلب الواحد لأيّام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كون وجوب الفحص وجوباً طريقيّاً لا نفسيّاً ولا غيريّاً، لو طلب قبل الوقت، واستصحب العجز عن الطهارة المائيّة إلى حين إرادة التيمّم، لا يبقى موردٌ لوجوب الطلب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الأظهر هو الاكتفاء بالطلب قبل الوقت مطلقاً، </w:t>
      </w:r>
    </w:p>
    <w:p>
      <w:pPr>
        <w:pStyle w:val="BookText"/>
        <w:rPr/>
      </w:pPr>
      <w:r>
        <w:rPr>
          <w:rFonts w:ascii="IRNazanin" w:hAnsi="IRNazanin" w:eastAsia="IRNazanin"/>
          <w:color w:val="111111"/>
          <w:sz w:val="28"/>
          <w:sz w:val="28"/>
          <w:szCs w:val="28"/>
          <w:rtl w:val="true"/>
          <w:lang w:bidi="fa-IR"/>
        </w:rPr>
        <w:t>لاستصحاب عدم التجدّد، وبقاء العجز وعدم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أورد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وجوب الطلب تقتضي إلغاء الاستصحاب في المقام،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اقتضت إلغاء أصالة عدم الوجدان قبل الطلب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شرط صحّة التيمّم، عدم وجدان الماء، وهو لا يثبتُ باستصحاب عدم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 أنّ شرط التيمّم هي الحالة الحاصلة للطالب بعد الطلب، وهو اليأس من القدرة على الماء، فإذا حَدَث ما يوجب رجاء القدرة عليه، تزول تلك الحالة، ولا تثبت باستصحاب عدم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أنّ ظاهر الأدلّة هو اعتبار الحالة الحاصلة من الطلب في صحّة التيمّم، وهو اليأس عن الظفر بالماء، فلا ريب في كون وجوبه طريقيّاً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ودالّاً على عدم الماء واقعاً، الذي هو الموضوع لمشروعيّة التيمّم، فإذا جرى استصحاب عدم الماء والعجز عن الطهارة المائيّة، ترتّب عليه مشروعيّة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الأدلّة وإنْ كان اعتبار ما يحصل من الطلب في المشروعيّة، لا نفس السعي والطلب، إلّاأنّ الظاهر أنّ ذلك أيضاً أمرٌ عدمي وهو عدم العثور على الماء، لا صفة وجوديّة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الاشتغال تحكم بوجوب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واردٌ عليها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الأظهر هو الاكتفاء به مطلقاً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89" w:name="pg11797_256763"/>
    </w:p>
    <w:p>
      <w:pPr>
        <w:pStyle w:val="Heading6"/>
        <w:numPr>
          <w:ilvl w:val="5"/>
          <w:numId w:val="1"/>
        </w:numPr>
        <w:rPr/>
      </w:pPr>
      <w:bookmarkStart w:id="290" w:name="__RefHeading___Toc10391112_73709187"/>
      <w:bookmarkStart w:id="291" w:name="_Toc107"/>
      <w:bookmarkEnd w:id="289"/>
      <w:bookmarkEnd w:id="290"/>
      <w:r>
        <w:rPr>
          <w:rtl w:val="true"/>
        </w:rPr>
        <w:t>لو ترك الطَّلب حتّى ضاق الوقت</w:t>
      </w:r>
      <w:bookmarkEnd w:id="291"/>
    </w:p>
    <w:p>
      <w:pPr>
        <w:pStyle w:val="Heading6"/>
        <w:numPr>
          <w:ilvl w:val="5"/>
          <w:numId w:val="1"/>
        </w:numPr>
        <w:rPr/>
      </w:pPr>
      <w:bookmarkStart w:id="292" w:name="__RefHeading___Toc10391114_73709187"/>
      <w:bookmarkStart w:id="293" w:name="_Toc108"/>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الطلب حتّى ضاق الوقت، عصى، كما هو المشهور، بل الظاهر أنّه من المسلّمات، ولم يُنقل الخلاف فيه إلّامن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xml:space="preserve">، وصحَّ تيمّمه وصلاته على الأشهر، بل المشهور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11"/>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نسبته إلى فتوى الأصحاب</w:t>
      </w:r>
      <w:r>
        <w:rPr>
          <w:rFonts w:eastAsia="IRNazanin" w:cs="IRNazanin"/>
          <w:color w:val="111111"/>
          <w:sz w:val="28"/>
          <w:szCs w:val="28"/>
          <w:rtl w:val="true"/>
          <w:lang w:bidi="fa-IR"/>
        </w:rPr>
        <w:t>.</w:t>
      </w:r>
    </w:p>
    <w:p>
      <w:pPr>
        <w:pStyle w:val="Heading6"/>
        <w:numPr>
          <w:ilvl w:val="5"/>
          <w:numId w:val="1"/>
        </w:numPr>
        <w:rPr/>
      </w:pPr>
      <w:bookmarkStart w:id="294" w:name="__RefHeading___Toc10391116_73709187"/>
      <w:bookmarkStart w:id="295" w:name="_Toc109"/>
      <w:bookmarkEnd w:id="294"/>
      <w:r>
        <w:rPr>
          <w:rtl w:val="true"/>
        </w:rPr>
        <w:t>هاهنا مقامان</w:t>
      </w:r>
      <w:bookmarkEnd w:id="295"/>
    </w:p>
    <w:p>
      <w:pPr>
        <w:pStyle w:val="Heading6"/>
        <w:numPr>
          <w:ilvl w:val="5"/>
          <w:numId w:val="1"/>
        </w:numPr>
        <w:rPr/>
      </w:pPr>
      <w:bookmarkStart w:id="296" w:name="__RefHeading___Toc10391118_73709187"/>
      <w:bookmarkStart w:id="297" w:name="_Toc110"/>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مقامان يجب البحث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الوضعي</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10391120_73709187"/>
      <w:bookmarkStart w:id="299" w:name="_Toc111"/>
      <w:bookmarkEnd w:id="298"/>
      <w:r>
        <w:rPr>
          <w:rtl w:val="true"/>
        </w:rPr>
        <w:t>عصيان من أخّره حتّى ضاق الوقت، ظاهرُ الوجه</w:t>
      </w:r>
      <w:bookmarkEnd w:id="299"/>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كون وجوب الطلب نفسيّاً، فإنّ عصيان من أخّره حتّى ضاق الوقت، ظاهرُ الوجه، لكونه تفويتاً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كون وجوبه طريقيّاً إلى عدم الماء كما قوّيناه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فبناءً على‌عدم صحّة الصّلاة والتيمّم فكذلك، لأنّه فوت الصّلاة الواجبة عليه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بناءً على صحّة الصّلاة، فيشكل الحكم بالعصيان، لأنّ الأمر بالوضوء وبالطلب مقدّمةً له، ليس إلّالتوقّف الصّلاة عليه، وهو إنّما يكون مع القدرة، ومع العجز لا تتوقّف عليه، لفرض صحّة التيمّم، فترك الطلب إنّما يوجب تعذّر الطهارة المائيّة من دون أن يلزم منه تفويت ما أمر به لأجله، فلا مقتضى للعقاب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إنّما يكون على ترك الواجب الغيري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 المحقّق في محلّه، أنّه لا عقاب على مخالفة الواجب الغيري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ترتّب العقاب على مخالفته، فإنّما هو في صورة الانحصار، لا في مثل المقام ممّا يمكن إيجاد ذي المقدّمة بجميع 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يكون بدلاً عنه، بل يكون المقام نظير ما لو كان في أوّل الوقت مُحْدِثاً بالأصغر، وكانت وظيفته الوضوء للصّلاة، ثمّ أجنَب نفسه وتبدّل تكليفه الغيري إلى غُسل الجنابة بدل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العجز على الفرض موجباً لتبدّل الموضوع، لا مانعاً من تنجّز التكليف مع بقاء مقتضيه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الحكم بالعصيان، مع الالتزام بصحّة الصّلاة، أنّ الصّلاة مع الطهارة المائيّة فردٌ كامل من الصّلاة، ومع الترابيّة فردٌ ناقص اجتزء به الشارع عند الضرورة، فالمكلّف في الفرض فوّت بسوء اختياره صفة 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الصّلاة مع الطهارة الجامعة بين قسميها مقداراً من المصلحة الملزمة، وفي خصوص المائيّة منها مصلحة اُخرى ملزمة، أو تلك المصلحة بنحوٍ أوفى‌، بحيث تكون بحدّها لازمة الاستيفاء، فلو ترك الطلب حتّى ضاق الوقت، فلم يتمكّن من الوضوء، وإنْ صحّت صلاته مع التيمّم، إلّاأنّه لأجل تفويت المصلحة الزائدة، يحسُن عقابه ويكون عاصياً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ذلك لابدَّ من الحكم بوجوب القضاء، فحكمهم بعدمه يكشف عن عدم تماميّة هذا التقريب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أن تكون المصلحة الزائدة بحيث لا يمكن استيفائها بعد </w:t>
      </w:r>
    </w:p>
    <w:p>
      <w:pPr>
        <w:pStyle w:val="BookText"/>
        <w:rPr/>
      </w:pPr>
      <w:r>
        <w:rPr>
          <w:rFonts w:ascii="Amiri" w:hAnsi="Amiri" w:eastAsia="Amiri" w:cs="Amiri"/>
          <w:color w:val="111111"/>
          <w:sz w:val="28"/>
          <w:sz w:val="28"/>
          <w:szCs w:val="28"/>
          <w:rtl w:val="true"/>
          <w:lang w:bidi="ar-SA"/>
        </w:rPr>
        <w:t>استيفاء المصلحة الاُخرى‌، أو ذات تلك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هذا التقريب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كونه خلاف ظاهر الأدلّة، لأنّها ظاهرة في تنزيل التيمّم منزلة الطهارة المائيّة في إفادته الطهارة التي هي شرط للصّلاة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لازم ذلك عدم استباحة سائر الغايات الّتي لم يضطرّ إلى فعلها، كصلاة القضاء، وصلاة الآيات، مع أنّ بنائهم على الاستباحة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لازمه عدم جواز إتيان الأجير بالصلاة مع التيمّم، مع أنّهم حكموا بالجواز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 يلزم منه عدم جواز اقتداء المتوضّي بالمتيمّم، مع أنّه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كلّه يستكشف عدم تماميّة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دفع الإشكال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الطهارة المائيّة من حيث هي مقدّمة للصّلاة، مصلحةٌ اُخرى لزوميّة، غير ما تكون مترتّبة على الصّلاة، وليست تلك المصلحة في الطهارة المائيّة، مع قطع النظر عن وقوعها مقدّمة للصّلاة، حتّى يقال إنّ لازم ذلك إيجابها مطلقاً، وكون وجوبها نفسيّاً، بل تترتّب عليها حال كونها مقدّمةً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فالصلاة مع الطهارة الترابيّة وإنْ كانت كالصلاة مع الطهارة المائيّة، بلا تفاوتٍ بينهما من حيث النقص والكمال، إلّاأنّه في الفرض بما أنّ المكلّف فوَّت بسوء اختياره تلك المصلحة المترتّبة على الطهارة المائيّة يكون عاصياً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كون الطهارة المائيّة كذلك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أنّ التيمّم بدلٌ اضطراري من الوضوء أو الغسل، سوّغه العجز عن الإتيان به، إذ لازمه عدم كونه موجباً لانتفاء ملاك الطهارة المائيّة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 ارتكازيّة بدليّة التيمّم عنها أيضاً تقتضي ذلك، ومقتضاه مبغوضيّة إيجاد العجز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مضافاً إلى الإجماع المُدّعى على الحرمة في المقام،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جميع ذلك محلّ إشكالٍ ونظر سوى الإجماع إنْ ثبت، وحيث لا مجال لاستيفاء مصلحة القيد بعد سقوط الأمر بالمقيّد، فلا قضاء عليه، وهكذا يمكن الجمع بين كلمات القوم والأدلّة،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بالعصيان في المقام، إنّما هو ما يعمّ التجرّي بالإقدام على عدم اليقين بالفراغ، إذ بناءً على المختار في وجوب الطلب من كونه طريقيّاً، لو علم بأنّه لو طلب لوجد الماء تحقّق العصيان، ولكن لو لم يعلم بذلك، فلا يكون عصياناً حقيقيّاً، إذ يحتمل عدم الماء واقعاً، فلم يكن مكلّفاً بالوضوء من الأوّل، فلا عصيان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لذلك عبّر جماعة 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 والمصنّف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وغيرهما</w:t>
      </w:r>
      <w:r>
        <w:rPr>
          <w:rStyle w:val="FootnoteAnchor"/>
          <w:rtl w:val="true"/>
        </w:rPr>
        <w:footnoteReference w:id="715"/>
      </w:r>
      <w:r>
        <w:rPr>
          <w:rFonts w:ascii="Amiri" w:hAnsi="Amiri" w:eastAsia="Amiri" w:cs="Amiri"/>
          <w:color w:val="111111"/>
          <w:sz w:val="28"/>
          <w:sz w:val="28"/>
          <w:szCs w:val="28"/>
          <w:rtl w:val="true"/>
          <w:lang w:bidi="ar-SA"/>
        </w:rPr>
        <w:t>بالخطأ، ولم يعبّروا بالعصيان، وهو أولى‌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00" w:name="pg11797_256773"/>
    </w:p>
    <w:p>
      <w:pPr>
        <w:pStyle w:val="Heading6"/>
        <w:numPr>
          <w:ilvl w:val="5"/>
          <w:numId w:val="1"/>
        </w:numPr>
        <w:rPr/>
      </w:pPr>
      <w:bookmarkStart w:id="301" w:name="__RefHeading___Toc10391122_73709187"/>
      <w:bookmarkStart w:id="302" w:name="_Toc112"/>
      <w:bookmarkEnd w:id="300"/>
      <w:bookmarkEnd w:id="301"/>
      <w:r>
        <w:rPr>
          <w:rtl w:val="true"/>
        </w:rPr>
        <w:t>في صحّة الصلاة لو ترك الطلب حتّى ضاق الوقت</w:t>
      </w:r>
      <w:bookmarkEnd w:id="302"/>
    </w:p>
    <w:p>
      <w:pPr>
        <w:pStyle w:val="Heading6"/>
        <w:numPr>
          <w:ilvl w:val="5"/>
          <w:numId w:val="1"/>
        </w:numPr>
        <w:rPr/>
      </w:pPr>
      <w:bookmarkStart w:id="303" w:name="__RefHeading___Toc10391124_73709187"/>
      <w:bookmarkStart w:id="304" w:name="_Toc113"/>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الصّلاة وعدمها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ووجوب القضاء وعدمه</w:t>
      </w:r>
      <w:r>
        <w:rPr>
          <w:rFonts w:eastAsia="IRNazanin" w:cs="IRNazanin"/>
          <w:color w:val="111111"/>
          <w:sz w:val="28"/>
          <w:szCs w:val="28"/>
          <w:rtl w:val="true"/>
          <w:lang w:bidi="fa-IR"/>
        </w:rPr>
        <w:t>.</w:t>
      </w:r>
    </w:p>
    <w:p>
      <w:pPr>
        <w:pStyle w:val="Heading6"/>
        <w:numPr>
          <w:ilvl w:val="5"/>
          <w:numId w:val="1"/>
        </w:numPr>
        <w:rPr/>
      </w:pPr>
      <w:bookmarkStart w:id="305" w:name="__RefHeading___Toc10391126_73709187"/>
      <w:bookmarkStart w:id="306" w:name="_Toc114"/>
      <w:bookmarkEnd w:id="305"/>
      <w:r>
        <w:rPr>
          <w:rtl w:val="true"/>
        </w:rPr>
        <w:t>المشهور</w:t>
      </w:r>
      <w:r>
        <w:rPr>
          <w:rtl w:val="true"/>
        </w:rPr>
        <w:t xml:space="preserve">: </w:t>
      </w:r>
      <w:r>
        <w:rPr>
          <w:rtl w:val="true"/>
        </w:rPr>
        <w:t>صحّة صلاته وتيمّمه</w:t>
      </w:r>
      <w:bookmarkEnd w:id="306"/>
    </w:p>
    <w:p>
      <w:pPr>
        <w:pStyle w:val="BookText"/>
        <w:rPr/>
      </w:pPr>
      <w:r>
        <w:rPr>
          <w:rFonts w:ascii="Amiri" w:hAnsi="Amiri" w:eastAsia="Amiri" w:cs="Amiri"/>
          <w:color w:val="111111"/>
          <w:sz w:val="28"/>
          <w:sz w:val="28"/>
          <w:szCs w:val="28"/>
          <w:rtl w:val="true"/>
          <w:lang w:bidi="ar-SA"/>
        </w:rPr>
        <w:t>الموردالأوّل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علي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صلاته وتيمّمه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 إلى 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يُنقل الخلاف إلّاعن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 ولا يبعد أن يكون المراد بما في هذه الكتب البطلان في السِّعة، كما ترشد إليه دعوى الإجماع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وعليه فلا خلاف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w:t>
      </w:r>
      <w:r>
        <w:rPr>
          <w:rStyle w:val="FootnoteAnchor"/>
          <w:rtl w:val="true"/>
        </w:rPr>
        <w:footnoteReference w:id="721"/>
      </w:r>
      <w:r>
        <w:rPr>
          <w:rFonts w:ascii="Amiri" w:hAnsi="Amiri" w:eastAsia="Amiri" w:cs="Amiri"/>
          <w:color w:val="111111"/>
          <w:sz w:val="28"/>
          <w:sz w:val="28"/>
          <w:szCs w:val="28"/>
          <w:rtl w:val="true"/>
          <w:lang w:bidi="ar-SA"/>
        </w:rPr>
        <w:t>بناءً على كون المراد عدم الوجود المقدور كما عرفت، فإنّه حينئذٍ غير واجدٍ للماء، وإنْ كان الماء موجوداً في الحَدّ وعلم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منه عدم الماء، لما صحّ الاستدلال به، لأنّه قد قيّدت الآية الشريفة بالأدلّة الاُخر بالوجدان في الحَدّ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عدم صحّة الإيراد على الاستدلال بالآية الشريفة، بأنّها </w:t>
      </w:r>
    </w:p>
    <w:p>
      <w:pPr>
        <w:pStyle w:val="BookText"/>
        <w:rPr/>
      </w:pPr>
      <w:r>
        <w:rPr>
          <w:rFonts w:ascii="Amiri" w:hAnsi="Amiri" w:eastAsia="Amiri" w:cs="Amiri"/>
          <w:color w:val="111111"/>
          <w:sz w:val="28"/>
          <w:sz w:val="28"/>
          <w:szCs w:val="28"/>
          <w:rtl w:val="true"/>
          <w:lang w:bidi="ar-SA"/>
        </w:rPr>
        <w:t>تدلّ بعد التقييد على أنّه إنّما ينتقل الفرض إلى التيمّم، مع عدم وجود الماء في الحَدّ، فحيثُ أنّه موجود أو يحتمل وجوده، فلا يكون المورد مشمولاً للآية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وإطلاق قوله عليه السلام في مصحّح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خافَ أن يفوته الوقت، فليتيمّم وليصلِّ‌</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 بعض المحقّقين رحمه الله</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الصحيح كغيره ممّا يدلّ على مشروعيّة البدل للعاجز، ومنصرفٌ عن العاجز الذي اختار العجز للفرار من التكليف المنجّز عليه، ويختصّ بصورة عدم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سُلّم الانصراف بدواً، فليس بنحوٍ يصلح لتقييد الإطلاق، حيث يزول 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استدلّ للصحّة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التكليف بالطلب ساقطٌ عند الضيق، لعدم التمكّن منه، فيرجع إلى العمومات الدالّة على عدم سقوط الصّلاة بحال، وهي تقتضي صحّتها مع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بدليّة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وبفحوى ما تسمعه من صحّة التيمّم لغير المتمكّن من استعمال الماء مع وجوده عنده، لضيق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وبعدم تناول ما دلَّ على شرطيّته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فلأنّه مضافاً إلى عدم الدليل عليه سوى ما في مرسل يونس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07" w:name="pg11797_256778"/>
    </w:p>
    <w:p>
      <w:pPr>
        <w:pStyle w:val="BookText"/>
        <w:rPr/>
      </w:pPr>
      <w:bookmarkEnd w:id="307"/>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تَدَع الصّلاة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فدعوى دلالة العمومات عليه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عدم سقوط الصّلاة بحال إنّما هو أنّ كلّ مكلّف في أيّ حالٍ من الحالات حتّى حين الغرق، مكلّفٌ بالصلاة بحسب وظيفته، لا أنّ التكليف بها يكون باقياً بعد أن عصى المكلّف، وجعل إيجادها على النحو المعتبر شرعاً في حقّه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سبيله سبيل الآية الشريفة، فيجري فيه ما ذكرناه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دليل صحّة الصّلاة في تلك المسألة بعض هذه الوجوه المذكورة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سقوط ما دلَّ على شرطيّة الطلب بنفسه، لا يصلح أن يكون دليلاً لمشروعيّة التيمّم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ذكرناه</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10391128_73709187"/>
      <w:bookmarkStart w:id="309" w:name="_Toc115"/>
      <w:bookmarkEnd w:id="308"/>
      <w:r>
        <w:rPr>
          <w:rtl w:val="true"/>
        </w:rPr>
        <w:t>عدم وجوب القضاء في الفرض</w:t>
      </w:r>
      <w:bookmarkEnd w:id="309"/>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25"/>
      </w:r>
      <w:r>
        <w:rPr>
          <w:rFonts w:ascii="IRNazanin" w:hAnsi="IRNazanin" w:eastAsia="IRNazanin"/>
          <w:color w:val="111111"/>
          <w:sz w:val="28"/>
          <w:sz w:val="28"/>
          <w:szCs w:val="28"/>
          <w:rtl w:val="true"/>
          <w:lang w:bidi="fa-IR"/>
        </w:rPr>
        <w:t xml:space="preserve">القول بوجوب القضاء إلى المشهور،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726"/>
      </w:r>
      <w:r>
        <w:rPr>
          <w:rFonts w:ascii="Amiri" w:hAnsi="Amiri" w:eastAsia="Amiri" w:cs="Amiri"/>
          <w:color w:val="111111"/>
          <w:sz w:val="28"/>
          <w:sz w:val="28"/>
          <w:szCs w:val="28"/>
          <w:rtl w:val="true"/>
          <w:lang w:bidi="ar-SA"/>
        </w:rPr>
        <w:t>نسبته إلى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الكلمات المحكية عن جماعةٍ من الأصحاب، الذين نُسب إليهم ذلك غير ظاهرة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ولا أقلّ من المحتمل أنّ مراد جماعة منهم الإعادة في الوقت لو وجد الماء بعدها في مكانٍ قريب آخر كالرحل مثلاً دون القضاء</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مراد جماعةٍ آخرين القضاء في خصوص صورة النسيان، كما يظهر لمن راجعها وتدبّر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فيشهد لعدم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الإتيان بالمأمور به الاضطراري يُجزي عن قضاء المأمور به الواقعي الأوّلي، كما حُقّق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 المورد من صغريات ما يأتي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بتيمّم صحيح لا يجبُ عليه الإعادة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المستدلّ عليه بالنصوص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قوله عليه السلام في صحيح زرارة المتقدّم</w:t>
      </w:r>
      <w:r>
        <w:rPr>
          <w:rStyle w:val="FootnoteAnchor"/>
          <w:rtl w:val="true"/>
        </w:rPr>
        <w:footnoteReference w:id="7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خاف أن يفوته الوقت، فليتيمّم وليصلِّ في آخر الوقت، فإذا وجد الماء فلا قضاء عليه، وليتوضّأ لما 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عدم وجوب القضاء في المقام، بناءً على شمول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كما هو الأظهر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 في سفر وكان معه ماء، فنسيه وتيمّم وصلّى‌، ثمّ ذكر أنّ معه ماءٌ قبل أن يخرج الوقت‌؟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أن يتوضّأ ويُعيد الصّلاة</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جماعة من اختصاصه بالنسيان، مع أنّ الظاهر منه وقوع تيمّمه في السِّعة، وهو خلاف مفروض الكلام، مضافاً إلى ضعف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وجوب القضاء</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10" w:name="pg11797_256782"/>
    </w:p>
    <w:p>
      <w:pPr>
        <w:pStyle w:val="Heading6"/>
        <w:numPr>
          <w:ilvl w:val="5"/>
          <w:numId w:val="1"/>
        </w:numPr>
        <w:rPr/>
      </w:pPr>
      <w:bookmarkStart w:id="311" w:name="__RefHeading___Toc10391130_73709187"/>
      <w:bookmarkStart w:id="312" w:name="_Toc116"/>
      <w:bookmarkEnd w:id="310"/>
      <w:bookmarkEnd w:id="311"/>
      <w:r>
        <w:rPr>
          <w:rtl w:val="true"/>
        </w:rPr>
        <w:t>إذا ترك الطَّلب في سعة الوقت</w:t>
      </w:r>
      <w:bookmarkEnd w:id="312"/>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الطلب في سعة الوقت وصلّى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يتبيّن عدم وجود الماء، فلا إشكال في البطلان، كما لا خلاف فيه،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إجماعاً منقولاً إنْ لم يكن محصّلاً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وجوب الطلب شرطيّاً، التلازم بين انتفاء الشرط وانتفاء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كونه طريقيّاً كما هو الأظهر، فلعدم ثبوت مشروعيّة التيمّم في الفرض، لإحتمال وجدان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استصحاب بقاء التكليف، وقاعدة الاشتغال، عدم الاكتفاء بما أتى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تبيّن عدم وجود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يحصل منه قصد القربة، فلا إشكال في البطلان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حصل منه ذلك، فعن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الصحّة، وتبعه جماعة من المحقّقين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للعدم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مقتضى شرطيّة الطلب لصحّة التيمّم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إنْ أتى بالصلاة بقصد الأمر، فهو تشريعٌ موجبٌ للبطلان، وإنْ أتى بها باحتمال الأمر، فحيثُ أنّه يتمكّن من الامتثال العلمي، فليس له التنزّل إلى الامتثال الاحتمالي، فهو لا يكفي في الفرض</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أنّ وجوب الفحص طريقي لا شرطي، وعليه فالفعل مصداقٌ للمأمور به واقعاً، فيسقط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حقّقناه في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المبنى المذكور، وأنّه لا يعتبر في صحّة العبادة سوى الإتيان بالفعل مستنداً إلى المولى، فراجع ما ذكرناه مفصّلاً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ما اختاره المصنّف رحمه الله هو الأقوى‌</w:t>
      </w:r>
      <w:r>
        <w:rPr>
          <w:rFonts w:eastAsia="IRNazanin" w:cs="IRNazanin"/>
          <w:color w:val="111111"/>
          <w:sz w:val="28"/>
          <w:szCs w:val="28"/>
          <w:rtl w:val="true"/>
          <w:lang w:bidi="fa-IR"/>
        </w:rPr>
        <w:t>.</w:t>
      </w:r>
      <w:bookmarkStart w:id="313" w:name="pg11797_256786"/>
    </w:p>
    <w:p>
      <w:pPr>
        <w:pStyle w:val="Heading6"/>
        <w:numPr>
          <w:ilvl w:val="5"/>
          <w:numId w:val="1"/>
        </w:numPr>
        <w:rPr/>
      </w:pPr>
      <w:bookmarkStart w:id="314" w:name="__RefHeading___Toc10391132_73709187"/>
      <w:bookmarkStart w:id="315" w:name="_Toc117"/>
      <w:bookmarkEnd w:id="313"/>
      <w:bookmarkEnd w:id="314"/>
      <w:r>
        <w:rPr>
          <w:rtl w:val="true"/>
        </w:rPr>
        <w:t>إذا طلب وصلّى ثمّ تبيّن وجود الماء</w:t>
      </w:r>
      <w:bookmarkEnd w:id="315"/>
    </w:p>
    <w:p>
      <w:p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الماء بمقتضى وظيفته فلم يجد، فتيمّم وصلّى‌، ثمّ تبيّن وجود الماء في محلّ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تجب الإعادة أو القضاء؟</w:t>
      </w:r>
    </w:p>
    <w:p>
      <w:pPr>
        <w:pStyle w:val="BookText"/>
        <w:rPr/>
      </w:pPr>
      <w:r>
        <w:rPr>
          <w:rFonts w:ascii="Amiri" w:hAnsi="Amiri" w:eastAsia="Amiri" w:cs="Amiri"/>
          <w:color w:val="111111"/>
          <w:sz w:val="28"/>
          <w:sz w:val="28"/>
          <w:szCs w:val="28"/>
          <w:rtl w:val="true"/>
          <w:lang w:bidi="ar-SA"/>
        </w:rPr>
        <w:t>أم لا تجب شيءٌ منهما كما لعلّه المتّفق عليه‌؟</w:t>
      </w:r>
    </w:p>
    <w:p>
      <w:pPr>
        <w:pStyle w:val="BookText"/>
        <w:rPr/>
      </w:pPr>
      <w:r>
        <w:rPr>
          <w:rFonts w:ascii="Amiri" w:hAnsi="Amiri" w:eastAsia="Amiri" w:cs="Amiri"/>
          <w:color w:val="111111"/>
          <w:sz w:val="28"/>
          <w:sz w:val="28"/>
          <w:szCs w:val="28"/>
          <w:rtl w:val="true"/>
          <w:lang w:bidi="ar-SA"/>
        </w:rPr>
        <w:t>أم تجب الإعادة إذا تبيّن في الوقت ولا تجب في خارجة‌؟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المأخوذ موضوعاً في الآية الشريفة وغيرها ممّا دلَّ على مشروعيّة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عدم الماء واقعاً في الحَدّ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عدم الوجود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تحقّق موضوع التيمّم في الفرض واضحٌ لانكشاف كونه واجداً، فما جُعل أمارةً للعدم يسقط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على الثاني، لأنّ ما جُعل موضوعاً هو عدم القدرة واقعاً، مع قطع النظر عن العلم والجهل، وهو منتفٍ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الآية الشريفة، ولو بعد ملاحظة القرائن الداخليّة والخارجيّة، أنّ الموضوع هو عدم استيلاء المكلّف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الماء المستولى عليه في الحَدّ المزبور، وعليه فهو صادق في المقام، فيدخل المورد فيما يأتي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بتيمّمٍ صحيحٍ لا يجبُ عليه الإعادة والقضاء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سيأتي تحقيقه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موضوع مشروعيّة التيمّم العجز المستمر إلى آخر الوقت، لا مجرّد صدق عدم الوجدان في وقتٍ خاص، والشاهد على ذلك كون </w:t>
      </w:r>
    </w:p>
    <w:p>
      <w:pPr>
        <w:pStyle w:val="BookText"/>
        <w:rPr/>
      </w:pPr>
      <w:r>
        <w:rPr>
          <w:rFonts w:ascii="Amiri" w:hAnsi="Amiri" w:eastAsia="Amiri" w:cs="Amiri"/>
          <w:color w:val="111111"/>
          <w:sz w:val="28"/>
          <w:sz w:val="28"/>
          <w:szCs w:val="28"/>
          <w:rtl w:val="true"/>
          <w:lang w:bidi="ar-SA"/>
        </w:rPr>
        <w:t>البدليّة اضطراريّة، فانكشاف وجود الماء في الوقت، يوجبُ عدم تحقّق الضرورة المسوّغة للتيمّم، وإنْ كان حين العمل عاملاً بما يقتضيه تكليفه في مرحلة الظاهر، مراعياً صحّته بعدم انكشاف الخلاف، وهذا بخلاف الانكشاف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الآتية في محلّها الدالّة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تجدّدت القدرة بعد الإتيان بالصلاة بوجود الماء في الوقت، لا يجب إعادة الوضوء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اعتبار استمرار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يدلّ عليه ما دلَّ على جواز التيمّم والصّلاة بعد الفحص، وعدم الوجدان،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فالجمع بين هذه الأدلّة، وما دلَّ على أنّ الموضوع هو عدم الوجدان، يقتضي الالتزام بأنّ الموضوع هو عدم الوجدان في الحَدّ حال الصّلاة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وجوب الإعادة أو القضاء</w:t>
      </w:r>
      <w:r>
        <w:rPr>
          <w:rFonts w:eastAsia="Amiri" w:cs="Amiri" w:ascii="Amiri" w:hAnsi="Amiri"/>
          <w:color w:val="111111"/>
          <w:sz w:val="28"/>
          <w:szCs w:val="28"/>
          <w:rtl w:val="true"/>
          <w:lang w:bidi="ar-SA"/>
        </w:rPr>
        <w:t>.</w:t>
      </w:r>
      <w:bookmarkStart w:id="316" w:name="pg11797_256790"/>
    </w:p>
    <w:p>
      <w:pPr>
        <w:pStyle w:val="Heading6"/>
        <w:numPr>
          <w:ilvl w:val="5"/>
          <w:numId w:val="1"/>
        </w:numPr>
        <w:rPr/>
      </w:pPr>
      <w:bookmarkStart w:id="317" w:name="__RefHeading___Toc10391134_73709187"/>
      <w:bookmarkStart w:id="318" w:name="_Toc118"/>
      <w:bookmarkEnd w:id="316"/>
      <w:bookmarkEnd w:id="317"/>
      <w:r>
        <w:rPr>
          <w:rtl w:val="true"/>
        </w:rPr>
        <w:t>إذا اعتقد ضيق الوقت ثمّ تبيّن السِّعة</w:t>
      </w:r>
      <w:bookmarkEnd w:id="318"/>
    </w:p>
    <w:p>
      <w:pPr>
        <w:pStyle w:val="Heading6"/>
        <w:numPr>
          <w:ilvl w:val="5"/>
          <w:numId w:val="1"/>
        </w:numPr>
        <w:rPr/>
      </w:pPr>
      <w:bookmarkStart w:id="319" w:name="__RefHeading___Toc10391136_73709187"/>
      <w:bookmarkStart w:id="320" w:name="_Toc119"/>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التنبيه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ضيق الوقت عن الطلب فتيمّم وصلّى‌، ثمّ تبيّن سعة الوقت، فهل تصحّ صلاته فلا يجب الإعادة أو القضاء أم لا تصحّ؟</w:t>
      </w:r>
    </w:p>
    <w:p>
      <w:p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يستفاد ذلك من الأولويّة المستفادة من قوله عليه السلام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خاف أن يفوته الوقت، فليتيمّم وليصلِّ في آخر الوقت</w:t>
      </w:r>
      <w:r>
        <w:rPr>
          <w:rStyle w:val="FootnoteAnchor"/>
          <w:rtl w:val="true"/>
        </w:rPr>
        <w:footnoteReference w:id="731"/>
      </w:r>
      <w:r>
        <w:rPr>
          <w:rFonts w:ascii="Amiri" w:hAnsi="Amiri" w:eastAsia="Amiri" w:cs="Amiri"/>
          <w:color w:val="111111"/>
          <w:sz w:val="28"/>
          <w:sz w:val="28"/>
          <w:szCs w:val="28"/>
          <w:rtl w:val="true"/>
          <w:lang w:bidi="ar-SA"/>
        </w:rPr>
        <w:t>، فإذا وجد الماء فلا قضاء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صحّت الصّلاة في صورة الخوف، واحتمال ضيق الوقت عن الطلب، صحّت في صورة اعتقاد الضيق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اعتقاد الضيق يوجبُ صدق عدم القدرة والعجز عن استعمال الماء الذي هو الموضوع لمشروعيّة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صحيح زرارة إنّما يدلّ على الصحّة ما دام لم تنكشف السِّعة، ولا ويدلّ على الصحّة حتّى في صورة انكشاف السِّعة، كي يثبت ذلك في صورة اعتقاد الضيق بالأولويّة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الصحيح كون الوجه في صحّة التيمّم عند الخوف، هو ترجيح احتمال فوت الصّلاة على احتمال إيقاع الصّلاة بالطهارة المائيّة، فإنّ المكلّف حين الخوف يحتمل السِّعة الموجبة للطلب، ويحتمل الضيق الموجب لا يقاع الصّلاة بالطهارة الترابيّة، فرجّح الشارع في حقّه العمل على الثاني، وهو إنّما يدلّ بإطلاقه على الصحّة في الفرض، حتّى على تقدير السِّعة واقعاً، فيدلّ على المشروعيّة في المقام بالأولويّة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بين الصحيح، وبين ما دلَّ على أنّ موضوع المشروعيّة هو عدم الوجدان في الحَدّ، المتوقّف إحرازه على الطلب، يقتضي الالتزام بأنّ موضوع الحكم الواقعي هو عدم الوجدان واقعاً، وسقوط الطلب في صورة الخوف، والأمر بالتيمّم والصّلاة من باب الحكم العقلي الطريقي أو الشرعي الظاهري، لا أنّه موضوعٌ بنفسه للحكم الواقعي، ويُشير إلى ذلك قوله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وليصلِّ في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ترجيح أحد الاحتمالين، لأهميّة متعلّقة من باب الاحتياط، لا يوجب الحكم بالصحّة حتّى مع انكشاف السِّعة، وانعدام احتمال الضيق الذي هو الموضوع لهذا الحكم،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القدرة في الفرض، إنّما يكون ناشئاً عن الاعتقاد الخاطئ، وظاهر الأدلّة غير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القدرة في الفرض تخيّلي لا واقعي، والموضوع لمشروعيّة التيمّم هو عدم القدرة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هو لزوم 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في صورة الخوف، يدلّ على لزوم التيمّم وترك الطلب، وحيثُ أنّ الممتنع شرعاً كالممتنع عقلاً، فهو غَير واجدٍ للماء، فيشرع له التيمّم، وتثبت المشروعيّة في المقام بالأولويّة، وتصحّ صلاته حينئذٍ، فلا يجب عليه الإعادة أو القضاء، وإنْ كان الأحوط ذلك بل لا يُترك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تقدير الحكم بلزوم الإعادة أو القضاء، فإنّما هو فيما إذا لم يعلم بأنّه على فرض الطلب لم يكن يحصل على الماء، وإلّا فلا يجب، فإنّه حينئذٍ يعدّ من صُغريات ما في التنبيه السابع، وقد عرفت أنّ الأقوى هي الصحّة في الفرض</w:t>
      </w:r>
      <w:r>
        <w:rPr>
          <w:rFonts w:eastAsia="Amiri" w:cs="Amiri" w:ascii="Amiri" w:hAnsi="Amiri"/>
          <w:color w:val="111111"/>
          <w:sz w:val="28"/>
          <w:szCs w:val="28"/>
          <w:rtl w:val="true"/>
          <w:lang w:bidi="ar-SA"/>
        </w:rPr>
        <w:t>.</w:t>
      </w:r>
      <w:bookmarkStart w:id="321" w:name="pg11797_256795"/>
    </w:p>
    <w:p>
      <w:pPr>
        <w:pStyle w:val="Heading6"/>
        <w:numPr>
          <w:ilvl w:val="5"/>
          <w:numId w:val="1"/>
        </w:numPr>
        <w:rPr/>
      </w:pPr>
      <w:bookmarkStart w:id="322" w:name="__RefHeading___Toc10391138_73709187"/>
      <w:bookmarkStart w:id="323" w:name="_Toc120"/>
      <w:bookmarkEnd w:id="321"/>
      <w:bookmarkEnd w:id="322"/>
      <w:r>
        <w:rPr>
          <w:rtl w:val="true"/>
        </w:rPr>
        <w:t>لو اعتقد عدم الماء ثمّ تبيّن وجوده</w:t>
      </w:r>
      <w:bookmarkEnd w:id="323"/>
    </w:p>
    <w:p>
      <w:pPr>
        <w:pStyle w:val="BookText"/>
        <w:rPr/>
      </w:pPr>
      <w:r>
        <w:rPr>
          <w:rFonts w:ascii="Amiri" w:hAnsi="Amiri" w:eastAsia="Amiri" w:cs="Amiri"/>
          <w:color w:val="111111"/>
          <w:sz w:val="28"/>
          <w:sz w:val="28"/>
          <w:szCs w:val="28"/>
          <w:rtl w:val="true"/>
          <w:lang w:bidi="ar-SA"/>
        </w:rPr>
        <w:t>وبما ذكرناه ظهر حكم ما لو اعتقد عدم الماء، فترك الطلب، ثمّ تبيّن وجوده، وأنّه لو طلب لحصل عليه، وأنّ الأظهر في هذه الصورة وجوب الإعادة أو القضاء، إذ لا وجه للحكم بالصحّة سوى صدق عدم الوجدان، وقد عرفت عدم صدقه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في توجيه صدقه في المسألة السابقة غَير جارٍ في هذه المسألة،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الناسي؛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وعدم وجوب الإعادة أو القضاء، وهو الذي نُسب إلى علم الهدى</w:t>
      </w:r>
      <w:r>
        <w:rPr>
          <w:rStyle w:val="FootnoteAnchor"/>
          <w:rtl w:val="true"/>
        </w:rPr>
        <w:footnoteReference w:id="732"/>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 أو القضاء، وهو المنسوب إلى شيخ الطائفة</w:t>
      </w:r>
      <w:r>
        <w:rPr>
          <w:rStyle w:val="FootnoteAnchor"/>
          <w:rtl w:val="true"/>
        </w:rPr>
        <w:footnoteReference w:id="734"/>
      </w:r>
      <w:r>
        <w:rPr>
          <w:rFonts w:ascii="Amiri" w:hAnsi="Amiri" w:eastAsia="Amiri" w:cs="Amiri"/>
          <w:color w:val="111111"/>
          <w:sz w:val="28"/>
          <w:sz w:val="28"/>
          <w:szCs w:val="28"/>
          <w:rtl w:val="true"/>
          <w:lang w:bidi="ar-SA"/>
        </w:rPr>
        <w:t>والشهيد</w:t>
      </w:r>
      <w:r>
        <w:rPr>
          <w:rStyle w:val="FootnoteAnchor"/>
          <w:rtl w:val="true"/>
        </w:rPr>
        <w:footnoteReference w:id="735"/>
      </w:r>
      <w:r>
        <w:rPr>
          <w:rFonts w:ascii="Amiri" w:hAnsi="Amiri" w:eastAsia="Amiri" w:cs="Amiri"/>
          <w:color w:val="111111"/>
          <w:sz w:val="28"/>
          <w:sz w:val="28"/>
          <w:szCs w:val="28"/>
          <w:rtl w:val="true"/>
          <w:lang w:bidi="ar-SA"/>
        </w:rPr>
        <w:t>، وتبعهما جماعةٌ من المحقّقين</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القضاء لو تبيّن بعد الوقت، ووجوب الإعادة لو تبيّن في الوقت، وهو الذي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بصدق عدم الوجدان، فتشمله الآية الشريفة، فهو قد أدّى الصلاة الصحيحة المشروعة، فيدلّ حينئذٍ على عدم وجوب القضاء، أو الإعادة ما دلَّ على </w:t>
      </w:r>
    </w:p>
    <w:p>
      <w:pPr>
        <w:pStyle w:val="BookText"/>
        <w:rPr/>
      </w:pPr>
      <w:r>
        <w:rPr>
          <w:rFonts w:ascii="Amiri" w:hAnsi="Amiri" w:eastAsia="Amiri" w:cs="Amiri"/>
          <w:color w:val="111111"/>
          <w:sz w:val="28"/>
          <w:sz w:val="28"/>
          <w:szCs w:val="28"/>
          <w:rtl w:val="true"/>
          <w:lang w:bidi="ar-SA"/>
        </w:rPr>
        <w:t>الأجزاء في أمثال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عدم صدق عدم الوجدان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حقّقناه في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الحديث الشريف رفع الآثار المترتّبة على فعل المكلّف، إذا تعلّق به أحد العناوين المذكورة في الحديث، وأمّا الآثار المترتّبة على الموضوع الخارجي، بلا دخلٍ لفعل المكلّف فيه، فالحديثُ لا يرفع تلك الآثار، وعليه يترتّب عدم ارتفاع نجاسة الملاقي المترتّبة على الملاقاة إذا لاقى يد الإنسان مع النجاسة خطأ أو نسياناً أو عن اضطرار أو إكراه، لأنّ الأثر لم يترتّب على فعل المكلّف، ولا دخل له في ذلك، كما أنّه إذا لم يتعلّق أحد هذه العناوين بفعل المكلّف، بل تعلّق بالموضوع الخارجي لا يكون مورداً للحديث، فلو اُكره على إيجاد الخمر، لا يصحّ التمسّك بالحديث لرفع حُرمة 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إنّما تعلّق النسيان بالموضوع الخارجي، وهو وجود الماء، فالحديث لا يصلح لرفع حكمه، وهي شرطيّة الوضوء معه للصّلاة، مع أنّه على فرض الشمول يختصّ ذلك بما إذا كان النسيان مستوعباً للوقت، وإلّا فطروّه لا يوجب ارتفاع الحكم عن متعلّقه إذ ما طرأ عليه النسيان، وهو الفرد الذي لا حكم له، وما هو متعلّق الحكم وهو الطبيعي لم يطرأ عليه النسيان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الجواب عن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الحديث إنّما يدلّ على رفع الحكم المتعلّق بالمركّب، إذا تعلّق أحد هذه العناوين بأحد الاُمور المعتبرة فيه، إذ الأمر والنهي الضمنيان لا يرتفعان إلّابارتفاع أصل التكليف الذي هو المُنشأ لانتزاع الجزئيّة أو </w:t>
      </w:r>
    </w:p>
    <w:p>
      <w:pPr>
        <w:pStyle w:val="BookText"/>
        <w:rPr/>
      </w:pPr>
      <w:r>
        <w:rPr>
          <w:rFonts w:ascii="Amiri" w:hAnsi="Amiri" w:eastAsia="Amiri" w:cs="Amiri"/>
          <w:color w:val="111111"/>
          <w:sz w:val="28"/>
          <w:sz w:val="28"/>
          <w:szCs w:val="28"/>
          <w:rtl w:val="true"/>
          <w:lang w:bidi="ar-SA"/>
        </w:rPr>
        <w:t>الشرطيّة أو المانعيّة، ولا يدلّ على تعلّق التكليف بالفاقد له، ففي المقام الحديث إنّما يدلّ على عدم وجوب الصّلاة مع الوضوء، لا الوجوب مع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خصوص الصّلاة دلَّ الدليل على ذلك،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لا تدع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تسليم أنّ مقتضى القاعدة عدم وجوب الإعادة،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الشيخ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 في سفر وكان معه ماءٌ فنسيه وتيمّم وصلّى‌، ثمّ ذكر أنّ معه ماء قبل أن يخرج الوقت‌؟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يتوضّأ ويُعيد الصّلاة</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سنده عمّار بن موسى وهو ضعيف، 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سنده عثمان بن عيسى‌،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لا يخلو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الساباطي فهو ثقة على الأقوى‌، إذ لا وجه لدعوى ضعفه سوى كونه فطحيّاً، وهو لا يوجب عدم وثاقته، بعد أن وثّقه جماعة كالشيخ</w:t>
      </w:r>
      <w:r>
        <w:rPr>
          <w:rStyle w:val="FootnoteAnchor"/>
          <w:rtl w:val="true"/>
        </w:rPr>
        <w:footnoteReference w:id="74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أنّ كلّ من شهد بفطحيّته، شهد بوثاقته، مع عدم ثبوت ذلك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ابن عيسى‌، فهو وإن ضعّفه جماعة كالفاضل الجزائري والمحقّق والمصنّف</w:t>
      </w:r>
      <w:r>
        <w:rPr>
          <w:rStyle w:val="FootnoteAnchor"/>
          <w:rtl w:val="true"/>
        </w:rPr>
        <w:footnoteReference w:id="742"/>
      </w:r>
      <w:r>
        <w:rPr>
          <w:rFonts w:ascii="Amiri" w:hAnsi="Amiri" w:eastAsia="Amiri" w:cs="Amiri"/>
          <w:color w:val="111111"/>
          <w:sz w:val="28"/>
          <w:sz w:val="28"/>
          <w:szCs w:val="28"/>
          <w:rtl w:val="true"/>
          <w:lang w:bidi="ar-SA"/>
        </w:rPr>
        <w:t>والأردبيلي</w:t>
      </w:r>
      <w:r>
        <w:rPr>
          <w:rStyle w:val="FootnoteAnchor"/>
          <w:rtl w:val="true"/>
        </w:rPr>
        <w:footnoteReference w:id="743"/>
      </w:r>
      <w:r>
        <w:rPr>
          <w:rFonts w:ascii="Amiri" w:hAnsi="Amiri" w:eastAsia="Amiri" w:cs="Amiri"/>
          <w:color w:val="111111"/>
          <w:sz w:val="28"/>
          <w:sz w:val="28"/>
          <w:szCs w:val="28"/>
          <w:rtl w:val="true"/>
          <w:lang w:bidi="ar-SA"/>
        </w:rPr>
        <w:t xml:space="preserve">، إلّاأنّ الظاهر أنّه موثّقٌ معتمدٌ، كما نصَّ عليه المجلسي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عن المحقّق الشيخ محمّد بن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المتأخّرين، وما نُقل عن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إضماره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أنّ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أبي بصير،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مضمرِه من أجلّاء الأصحاب، وهو لا يروي عن غيرالمعصوم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الإيراد عليه؛ بأنّ الحديث وإنْ اختصّ بالانكشاف في الوقت، ولا يشمل الانكشاف في خارجه، إلّاأنّه قد عرفت أنّ لزوم القضاء ممّا تقتضيه القاعدة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وجوب الإعادة أو القضاء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24" w:name="pg11797_256804"/>
    </w:p>
    <w:p>
      <w:pPr>
        <w:pStyle w:val="Heading6"/>
        <w:numPr>
          <w:ilvl w:val="5"/>
          <w:numId w:val="1"/>
        </w:numPr>
        <w:rPr/>
      </w:pPr>
      <w:bookmarkStart w:id="325" w:name="__RefHeading___Toc10391140_73709187"/>
      <w:bookmarkStart w:id="326" w:name="_Toc121"/>
      <w:bookmarkEnd w:id="324"/>
      <w:bookmarkEnd w:id="325"/>
      <w:r>
        <w:rPr>
          <w:rtl w:val="true"/>
        </w:rPr>
        <w:t>إراقة الماء</w:t>
      </w:r>
      <w:bookmarkEnd w:id="326"/>
    </w:p>
    <w:p>
      <w:pPr>
        <w:pStyle w:val="Heading6"/>
        <w:numPr>
          <w:ilvl w:val="5"/>
          <w:numId w:val="1"/>
        </w:numPr>
        <w:rPr/>
      </w:pPr>
      <w:bookmarkStart w:id="327" w:name="__RefHeading___Toc10391142_73709187"/>
      <w:bookmarkStart w:id="328" w:name="_Toc122"/>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التنبيه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عدم جواز إراقة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للوضوء والغُسل، بعد دخول الوقت، إذا علم بعدم وجود ماءٍ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xml:space="preserve">دعوى ظهور الإجماع عليه، إذ لم يعرف الخلاف فيه، إلّاما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بأولويّته من إيجاب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وبظهور الأدلّة في الاهتمام بالنسبة إلى ذلك، كما يؤمي إليه شراؤه بما يتمكّن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يجبُ الطلب لينكشف الحال، وأنّه هل هو واجدٌ للماء، فلا يكون التيمّم في حقّه مشروعاً، أو غير واجدٍ فيكون مأموراً به، وهذا غير مربوط بالمقام الذي يصدق غير الواجد بعد الإراقة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ما في الثاني، إذ في مورد الأمر بالشّراء يصدق الوجدان، ولأجله أمر به بخلاف المقام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بالطلب والشراء في ذينك الموردين، إنّما يكون لأجل عدم التمكّن من تحصيل الطهارة إلّابهما، وهذا بخلاف المقام، ممّا يمكن تحصيلها بالتيمّم بعد الإراقة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أنْ يكون مدرك المجمعين بعض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الاستدلال له بإطلاق ما دلَّ على وجوب الطهارة المائيّة، فيجبُ حفظ الماء مقدّمةً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الإراقة إنّما توجب تعذّر الطهارة المائيّة من دون أن يلزم منها تفويتُ ما أمر به لأجله وهي الصّلاة، فلا وجه للعصيان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الجواب عنه في التنبيه السابع مفصّلاً، فراجع ما حقّقناه</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يظهر عدم جواز إبطال الوضوء بعد الوقت، إذا علم بعدم وجود الماء لو كان على وضوء، إذ ما دلَّ على وجوب حفظ الماء لأجل الوضوء، يدلّ على عدم جواز نقض ذلك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فالحكم بجواز الثاني دون الأوّل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له إبطاله بالجماع مع عدم التمكّن من الغُسل، كما هو المشهور، بل عن المحقّق</w:t>
      </w:r>
      <w:r>
        <w:rPr>
          <w:rStyle w:val="FootnoteAnchor"/>
          <w:rtl w:val="true"/>
        </w:rPr>
        <w:footnoteReference w:id="747"/>
      </w:r>
      <w:r>
        <w:rPr>
          <w:rFonts w:ascii="Amiri" w:hAnsi="Amiri" w:eastAsia="Amiri" w:cs="Amiri"/>
          <w:color w:val="111111"/>
          <w:sz w:val="28"/>
          <w:sz w:val="28"/>
          <w:szCs w:val="28"/>
          <w:rtl w:val="true"/>
          <w:lang w:bidi="ar-SA"/>
        </w:rPr>
        <w:t>دعوى الإجماع عليه، ويشهد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إسحاق بن عمّار، عن الإمام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مع أهله في السّفر، فلا يجد الماء، يأتي أهله‌؟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يفعل ذلك، إلّاأن يكون شبقاً أو يخاف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بذلك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جواز الجماع حيث لا ماء أصلاً لا للوضوء ولا للغُسل، بحيث كانت وظيفته التيمّم على أيّ حال، فهو إنّما يدلّ على جواز تبديل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الحَدَث الأصغر بالأكبر، وهو غير مربوط بما هو محلّ الكلام من تبديل الطهارة المائيّة بالترابيّة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يجد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مطلق من حيث وجود الماء بقدر الوضوء، إذ الظاهر منه عدمه بمقدارٍ يكفي للغُسل فيعمّ المقام، مع أنّ عدم الاستفصال في الجواب بين كونه متطهّراً أو غير متطهّرٍ يشهد بشموله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السكوني، عن جعفر، عن آبائه عليهم السلام، عن 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هلكتُ‌، جامعتُ أهلي على غير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النبيّ صلى الله عليه و آله بمحملٍ فاستترتُ به، وبماءٍ فاغتسلتُ أنا وهي،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يكفيك الصَّعيد عشر سنين</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يدلّ على ذلك، إذ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جوابه صلى الله عليه و آله، إنّما هو هلاكه من حيث تفويت الصّلاة، لا تفويت الطهارة المائيّة، فقوله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يكفيك الصَّعيد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ردعاً عن ذلك، وأنّه تصحّ الصّلاة مع الطهارة الترابيّة، لا أنّه ردعٌ عن اعتقاد الهلاك، لأجل تفويت الطهارة المائيّة، حتّى يدلّ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هو الصحيح، وبه يخرج عن القواعد المقتضية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كلّه يظهر ضعف ما عن ظاهر المفيد</w:t>
      </w:r>
      <w:r>
        <w:rPr>
          <w:rStyle w:val="FootnoteAnchor"/>
          <w:rtl w:val="true"/>
        </w:rPr>
        <w:footnoteReference w:id="751"/>
      </w:r>
      <w:r>
        <w:rPr>
          <w:rFonts w:ascii="Amiri" w:hAnsi="Amiri" w:eastAsia="Amiri" w:cs="Amiri"/>
          <w:color w:val="111111"/>
          <w:sz w:val="28"/>
          <w:sz w:val="28"/>
          <w:szCs w:val="28"/>
          <w:rtl w:val="true"/>
          <w:lang w:bidi="ar-SA"/>
        </w:rPr>
        <w:t>وابن الجُنيد</w:t>
      </w:r>
      <w:r>
        <w:rPr>
          <w:rStyle w:val="FootnoteAnchor"/>
          <w:rtl w:val="true"/>
        </w:rPr>
        <w:footnoteReference w:id="752"/>
      </w:r>
      <w:r>
        <w:rPr>
          <w:rFonts w:ascii="Amiri" w:hAnsi="Amiri" w:eastAsia="Amiri" w:cs="Amiri"/>
          <w:color w:val="111111"/>
          <w:sz w:val="28"/>
          <w:sz w:val="28"/>
          <w:szCs w:val="28"/>
          <w:rtl w:val="true"/>
          <w:lang w:bidi="ar-SA"/>
        </w:rPr>
        <w:t>من عدم الجواز، حيث استدلّ 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بمرفوع علي بن أحمد، عن الإمام الصادق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مجدورٍ أصابته جنابة‌؟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أجنَب هو فليغتسل، وإنْ كان احتلم فليتيمّم</w:t>
      </w:r>
      <w:r>
        <w:rPr>
          <w:rFonts w:eastAsia="Amiri" w:cs="Amiri" w:ascii="Amiri" w:hAnsi="Amiri"/>
          <w:color w:val="111111"/>
          <w:sz w:val="28"/>
          <w:szCs w:val="28"/>
          <w:rtl w:val="true"/>
          <w:lang w:bidi="ar-SA"/>
        </w:rPr>
        <w:t>»</w:t>
      </w:r>
      <w:r>
        <w:rPr>
          <w:rStyle w:val="FootnoteAnchor"/>
          <w:rtl w:val="true"/>
        </w:rPr>
        <w:footnoteReference w:id="753"/>
      </w:r>
      <w:r>
        <w:rPr>
          <w:rFonts w:ascii="IRNazanin" w:hAnsi="IRNazanin" w:eastAsia="IRNazanin"/>
          <w:color w:val="111111"/>
          <w:sz w:val="28"/>
          <w:sz w:val="28"/>
          <w:szCs w:val="28"/>
          <w:rtl w:val="true"/>
          <w:lang w:bidi="fa-IR"/>
        </w:rPr>
        <w:t>، ونحوه مرفوع</w:t>
      </w:r>
      <w:r>
        <w:rPr>
          <w:rStyle w:val="FootnoteAnchor"/>
          <w:rtl w:val="true"/>
        </w:rPr>
        <w:footnoteReference w:id="754"/>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لزوم الاغتسال وإنْ أصابه ما أصابه، إنّما جُعل عقوبةً لما فعله، ولو كان الإجناب جائزاً لم يكن وجهٌ لجعل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ستعرف من أنّهما ضعيفان للإرسال، وإعراض المشهور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إنّما يدلّان على وجوب الاغتسال على المجنب باختياره، وعدم انتقال فرضه إلى التيمّم، فيما إذا كان الاغتسال مضرّاً، ولعلّ منشأه عدم صحّة التيمّم، فيما إذا تحقّق العجز عن اختيار، بخلاف ما إذا تحقّق بنفسه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شاهد لكون الوجه فيه كونه عقوبة مجعولة لما فعله، كي يدلّان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الأقوى هو جواز الجماع، مع عدم وجود الماء للغسل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29" w:name="pg11797_256812"/>
    </w:p>
    <w:p>
      <w:pPr>
        <w:pStyle w:val="Heading6"/>
        <w:numPr>
          <w:ilvl w:val="5"/>
          <w:numId w:val="1"/>
        </w:numPr>
        <w:rPr/>
      </w:pPr>
      <w:bookmarkStart w:id="330" w:name="__RefHeading___Toc10391144_73709187"/>
      <w:bookmarkStart w:id="331" w:name="_Toc123"/>
      <w:bookmarkEnd w:id="329"/>
      <w:bookmarkEnd w:id="330"/>
      <w:r>
        <w:rPr>
          <w:rtl w:val="true"/>
        </w:rPr>
        <w:t>إراقة الماء قبل الوقت</w:t>
      </w:r>
      <w:bookmarkEnd w:id="331"/>
    </w:p>
    <w:p>
      <w:pPr>
        <w:pStyle w:val="BookText"/>
        <w:rPr/>
      </w:pPr>
      <w:r>
        <w:rPr>
          <w:rFonts w:ascii="Amiri" w:hAnsi="Amiri" w:eastAsia="Amiri" w:cs="Amiri"/>
          <w:color w:val="111111"/>
          <w:sz w:val="28"/>
          <w:sz w:val="28"/>
          <w:szCs w:val="28"/>
          <w:rtl w:val="true"/>
          <w:lang w:bidi="ar-SA"/>
        </w:rPr>
        <w:t xml:space="preserve">ثمّ إنّه هل يجوز إراقة الماء قبل الوقت، مع العلم بعدم وجدان الماء بعد الوقت، كما عن جماعةٍ‌،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قطعاً؟</w:t>
      </w:r>
    </w:p>
    <w:p>
      <w:pPr>
        <w:pStyle w:val="BookText"/>
        <w:rPr/>
      </w:pPr>
      <w:r>
        <w:rPr>
          <w:rFonts w:ascii="Amiri" w:hAnsi="Amiri" w:eastAsia="Amiri" w:cs="Amiri"/>
          <w:color w:val="111111"/>
          <w:sz w:val="28"/>
          <w:sz w:val="28"/>
          <w:szCs w:val="28"/>
          <w:rtl w:val="true"/>
          <w:lang w:bidi="ar-SA"/>
        </w:rPr>
        <w:t>أم لا يجوز، كما عن غير واحدٍ احتماله، وعن الوحيد</w:t>
      </w:r>
      <w:r>
        <w:rPr>
          <w:rStyle w:val="FootnoteAnchor"/>
          <w:rtl w:val="true"/>
        </w:rPr>
        <w:footnoteReference w:id="756"/>
      </w:r>
      <w:r>
        <w:rPr>
          <w:rFonts w:ascii="IRNazanin" w:hAnsi="IRNazanin" w:eastAsia="IRNazanin"/>
          <w:color w:val="111111"/>
          <w:sz w:val="28"/>
          <w:sz w:val="28"/>
          <w:szCs w:val="28"/>
          <w:rtl w:val="true"/>
          <w:lang w:bidi="fa-IR"/>
        </w:rPr>
        <w:t>الجزم به‌؟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العقل إنّما يحكم بوجوب حفظ المقدّمة قبل مجيء زمان الواجب، إذا علم بعدم القدرة عليه بعده، ولذا يجبُ إبقاء الاستطاعة بعد أشهر الحجّ‌، وتحصيل المقدّمات الوجوديّة، كالسفر قبل وقت الحجّ‌، بلا خلافٍ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يظهر من الأدلّة زيادة الاهتمام بالصلاة ومقدّماتها، ورفع موانعها، كما يشعر به النهي عن السّفر إلى أرضٍ لا ماء فيها، وأنّه هلاكُ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حكم العقل بوجوب الإتيان بالمقدّمة، إذا علم بعدم القدرة عليه بعد دخول الوقت، إنّما يكون فيما إذا كانت مصلحة الواجب تامة قبل فعليّة وجوبه، وإنّما لم يؤمر به لعدم القدرة عليه، لا لعدم تماميّة ملاكه، أو كانت القدرة شرطاً عقليّاً للتكليف، وغير دخيلة في ملاك الفعل، أو شرعيّاً وكان الشرط هي القدرة المطلقة، فإنّ العقل في هذه الموارد إنّما يحكم بوجوب تحصيل المقدّمات من أوّل أزمنة الإمكان لتحصيل القدرة على الواجب، لئلّا يفوت الملاك في ظرفه بعد كونه تامّاً لا قصور فيه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القدرة شرطاً شرعيّاً، وكان الشرط هي القدرة في زمان </w:t>
      </w:r>
    </w:p>
    <w:p>
      <w:pPr>
        <w:pStyle w:val="BookText"/>
        <w:rPr/>
      </w:pPr>
      <w:r>
        <w:rPr>
          <w:rFonts w:ascii="Amiri" w:hAnsi="Amiri" w:eastAsia="Amiri" w:cs="Amiri"/>
          <w:color w:val="111111"/>
          <w:sz w:val="28"/>
          <w:sz w:val="28"/>
          <w:szCs w:val="28"/>
          <w:rtl w:val="true"/>
          <w:lang w:bidi="ar-SA"/>
        </w:rPr>
        <w:t>الواجب، فلا يَحكُم العقل بلزوم الإتيان بالمقدّمة، قبل مجيء زمان الواجب، إذ المفروض أنّ الفعل لا يكون ذا ملاكٍ مُلزمٍ إلّابعد القدرة عليه في زمانه، ولا يَحكم العقل بلزوم جعل الفعل ذا ملاكٍ في ظرفه، وإنّما يحكم بحرمة تفويت الملاك المُلزم في حَدّ نفسه، وتمام الكلام في ذلك موكولٌ إلى محلّه في الاُصول</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وفي المقام فإنّ مقتضى الأدلّة كون القدرة على الوضوء أو الغُسل في زمان الواجب، شرطاً شرعيّاً، فإنّه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دعوى الإجماع على جواز إراقة الماء قبل الوقت، وإلى عدم الإشكال ظاهراً عندهم في جواز اجناب المكلّف نفسه قبل الوقت، مع العلم بعدم التمكّن من الغُسل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يستفاد ذلك ممّا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وَ أَيْدِيَكُمْ إِلَى اَلْمَرافِقِ وَ اِمْسَحُوا بِرُؤُسِكُمْ وَ أَرْجُلَكُمْ إِلَى اَلْكَعْبَيْنِ‌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والصّلاة</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 من النصوص التي تُقرّب هذا المضمون</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الشرط هو القدرة بعد الوقت، فلا يجبُ حفظ الماء، ولا إبقاء الوضوء ولا تحصيله قبل الوقت، وإنْ علم بعدم تمكّنه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النهي عنه تحريميّاً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الأظهر جواز إراقة الماء، وإبطال الوضوء قبل الوقت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التفصيل بينهما بالالتزام بحرمة الأوّل، وجواز الثاني، فالظاهر 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وجه له سوى ما نُقل عن المحقّق النائيني قدس سره في مجلس درسه من دعواه ورود رواية صحيحة دالّة على وجوب إبقائه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عدم صحّة هذه الدعوى‌، إذ لم يرد في ذلك رواية صحيحة ولا غير صحيحة، والاُستاذ رفع مقامه نقل عنه الرجوع عن دعواه بعدما طالبوه بها، فالأظهر عدم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أراق الماء بعد الوقت أو قبله، فبما أنّه يصدق عليه عدم الوجدان، فيكون التيمّم في حقّه مشروعاً، فلو تيمّم وصلّى‌، صحّت صلاته، ولا إعادة ولا قضاء عليه، لأنّ دليل المشروعيّة ظاهرٌ في ذلك، هذا فضلاً عن أنّه معدودٌ من صُغريات المسألة الآتية،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صلّى بتيمّمٍ صحيح لا إعادة عليه، بلا 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المفيد</w:t>
      </w:r>
      <w:r>
        <w:rPr>
          <w:rStyle w:val="FootnoteAnchor"/>
          <w:rtl w:val="true"/>
        </w:rPr>
        <w:footnoteReference w:id="761"/>
      </w:r>
      <w:r>
        <w:rPr>
          <w:rFonts w:ascii="Amiri" w:hAnsi="Amiri" w:eastAsia="Amiri" w:cs="Amiri"/>
          <w:color w:val="111111"/>
          <w:sz w:val="28"/>
          <w:sz w:val="28"/>
          <w:szCs w:val="28"/>
          <w:rtl w:val="true"/>
          <w:lang w:bidi="ar-SA"/>
        </w:rPr>
        <w:t>والشهيد</w:t>
      </w:r>
      <w:r>
        <w:rPr>
          <w:rStyle w:val="FootnoteAnchor"/>
          <w:rtl w:val="true"/>
        </w:rPr>
        <w:footnoteReference w:id="762"/>
      </w:r>
      <w:r>
        <w:rPr>
          <w:rFonts w:ascii="Amiri" w:hAnsi="Amiri" w:eastAsia="Amiri" w:cs="Amiri"/>
          <w:color w:val="111111"/>
          <w:sz w:val="28"/>
          <w:sz w:val="28"/>
          <w:szCs w:val="28"/>
          <w:rtl w:val="true"/>
          <w:lang w:bidi="ar-SA"/>
        </w:rPr>
        <w:t>من وجوب الإعادة عند التمكّن ضعيف</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32" w:name="pg11797_256819"/>
    </w:p>
    <w:p>
      <w:pPr>
        <w:pStyle w:val="Heading6"/>
        <w:numPr>
          <w:ilvl w:val="5"/>
          <w:numId w:val="1"/>
        </w:numPr>
        <w:rPr/>
      </w:pPr>
      <w:bookmarkStart w:id="333" w:name="__RefHeading___Toc10391146_73709187"/>
      <w:bookmarkStart w:id="334" w:name="_Toc124"/>
      <w:bookmarkEnd w:id="332"/>
      <w:bookmarkEnd w:id="333"/>
      <w:r>
        <w:rPr>
          <w:rtl w:val="true"/>
        </w:rPr>
        <w:t>سقوط الطلب عند الخوف</w:t>
      </w:r>
      <w:bookmarkEnd w:id="334"/>
    </w:p>
    <w:p>
      <w:pPr>
        <w:pStyle w:val="BookText"/>
        <w:rPr/>
      </w:pPr>
      <w:r>
        <w:rPr>
          <w:rFonts w:ascii="Amiri" w:hAnsi="Amiri" w:eastAsia="Amiri" w:cs="Amiri"/>
          <w:color w:val="111111"/>
          <w:sz w:val="28"/>
          <w:sz w:val="28"/>
          <w:szCs w:val="28"/>
          <w:rtl w:val="true"/>
          <w:lang w:bidi="ar-SA"/>
        </w:rPr>
        <w:t>التنبيه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خاف على نفسه من لِصٍّ أو سَبُعٍ‌، يسقط وجوب الطلب، بلا ريب فيه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 خبرا داود الرِّقي، ويعقوب بن سالم</w:t>
      </w:r>
      <w:r>
        <w:rPr>
          <w:rStyle w:val="FootnoteAnchor"/>
          <w:rtl w:val="true"/>
        </w:rPr>
        <w:footnoteReference w:id="764"/>
      </w:r>
      <w:r>
        <w:rPr>
          <w:rFonts w:ascii="Amiri" w:hAnsi="Amiri" w:eastAsia="Amiri" w:cs="Amiri"/>
          <w:color w:val="111111"/>
          <w:sz w:val="28"/>
          <w:sz w:val="28"/>
          <w:szCs w:val="28"/>
          <w:rtl w:val="true"/>
          <w:lang w:bidi="ar-SA"/>
        </w:rPr>
        <w:t>المتقدّمان في صدر المبحث، اللّذان عرفتَ كونهما موثّقين، مضافاً إلى عمل الأصحاب بهما، وسيجيء في المسوّغ الثالث تقريب اختصاصهما بالخوف على النفس دون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خاف على ماله من لِصٍّ فهل يجب عليه الطلب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الثاني، لعموم ما دلَّ على نفي الحَرَج، فإنّ في تعريض الإنسان نفسه للّصوص غضاضة وحزازة لا تتحمّل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عدم صحّة الإيراد عليه بأنّه ما الفرق بين تعريض المال للّصّ‌، وبذله في الشراء، فقد دلَّ الدليل على وجوب الثاني، فإنّه فرقٌ واضح بين الشراء والتعريض للّصوص عند العقلاء،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التمسّك بعموم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تخصيصه في ما لا يمكن الوصلة إلى الماء إلّامع بذل ثمنٍ خطير، الذي دلَّ الدليل على وجوب البذل، لا يستلزم تخصيصه في المقام، مع أنّك ستعرف أنّه يحتمل عدم صدق الضَّرر في ذلك المورد، فانتظر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فالأظهر سقوط وجوب الطلب إذا خاف على ماله أيضاً</w:t>
      </w:r>
      <w:r>
        <w:rPr>
          <w:rFonts w:eastAsia="Amiri" w:cs="Amiri" w:ascii="Amiri" w:hAnsi="Amiri"/>
          <w:color w:val="111111"/>
          <w:sz w:val="28"/>
          <w:szCs w:val="28"/>
          <w:rtl w:val="true"/>
          <w:lang w:bidi="ar-SA"/>
        </w:rPr>
        <w:t>.</w:t>
      </w:r>
      <w:bookmarkStart w:id="335" w:name="pg11797_256821"/>
    </w:p>
    <w:p>
      <w:pPr>
        <w:pStyle w:val="Heading6"/>
        <w:numPr>
          <w:ilvl w:val="5"/>
          <w:numId w:val="1"/>
        </w:numPr>
        <w:rPr/>
      </w:pPr>
      <w:bookmarkStart w:id="336" w:name="__RefHeading___Toc10391148_73709187"/>
      <w:bookmarkStart w:id="337" w:name="_Toc125"/>
      <w:bookmarkEnd w:id="335"/>
      <w:bookmarkEnd w:id="336"/>
      <w:r>
        <w:rPr>
          <w:rtl w:val="true"/>
        </w:rPr>
        <w:t>في جواز الوضوء بخلط المطلق بما يكفي وعدمه</w:t>
      </w:r>
      <w:bookmarkEnd w:id="337"/>
    </w:p>
    <w:p>
      <w:pPr>
        <w:pStyle w:val="BookText"/>
        <w:rPr/>
      </w:pPr>
      <w:r>
        <w:rPr>
          <w:rFonts w:ascii="Amiri" w:hAnsi="Amiri" w:eastAsia="Amiri" w:cs="Amiri"/>
          <w:color w:val="111111"/>
          <w:sz w:val="28"/>
          <w:sz w:val="28"/>
          <w:szCs w:val="28"/>
          <w:rtl w:val="true"/>
          <w:lang w:bidi="ar-SA"/>
        </w:rPr>
        <w:t>التنبيه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من مزج الماء الذي لا يكفيه لطهارته بما لا يسلبه إطلاق الاسم وتحصل به الكفاية، فهل يجب عليه ذلك كما عن جمعٍ من المتأخّرين منهم المصنّف</w:t>
      </w:r>
      <w:r>
        <w:rPr>
          <w:rStyle w:val="FootnoteAnchor"/>
          <w:rtl w:val="true"/>
        </w:rPr>
        <w:footnoteReference w:id="765"/>
      </w:r>
      <w:r>
        <w:rPr>
          <w:rFonts w:ascii="IRNazanin" w:hAnsi="IRNazanin" w:eastAsia="IRNazanin"/>
          <w:color w:val="111111"/>
          <w:sz w:val="28"/>
          <w:sz w:val="28"/>
          <w:szCs w:val="28"/>
          <w:rtl w:val="true"/>
          <w:lang w:bidi="fa-IR"/>
        </w:rPr>
        <w:t>وأتباعه‌؟</w:t>
      </w:r>
    </w:p>
    <w:p>
      <w:pPr>
        <w:pStyle w:val="BookText"/>
        <w:rPr/>
      </w:pPr>
      <w:r>
        <w:rPr>
          <w:rFonts w:ascii="Amiri" w:hAnsi="Amiri" w:eastAsia="Amiri" w:cs="Amiri"/>
          <w:color w:val="111111"/>
          <w:sz w:val="28"/>
          <w:sz w:val="28"/>
          <w:szCs w:val="28"/>
          <w:rtl w:val="true"/>
          <w:lang w:bidi="ar-SA"/>
        </w:rPr>
        <w:t>أم لا يجب، كما عن جمعٍ من المتقدّمين كالشيخ</w:t>
      </w:r>
      <w:r>
        <w:rPr>
          <w:rStyle w:val="FootnoteAnchor"/>
          <w:rtl w:val="true"/>
        </w:rPr>
        <w:footnoteReference w:id="766"/>
      </w:r>
      <w:r>
        <w:rPr>
          <w:rFonts w:ascii="IRNazanin" w:hAnsi="IRNazanin" w:eastAsia="IRNazanin"/>
          <w:color w:val="111111"/>
          <w:sz w:val="28"/>
          <w:sz w:val="28"/>
          <w:szCs w:val="28"/>
          <w:rtl w:val="true"/>
          <w:lang w:bidi="fa-IR"/>
        </w:rPr>
        <w:t>وأتباعه‌؟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الطهارة المائيّة واجبة مشروطة بوجود الماء، وتحصيل مقدّمة الواجب المشروط غير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الظاهر من الوجدان المأخوذ عدمه موضوعاً لمشروعيّة التيمّم وجود ما يكفي لوضوئه، والمفروض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الطهارة بالماء واجبة مطلقة، ولذا يجب تحصيل الماء عند فقده إنْ أمكن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الوجود المقدور، ويصدق في المقام التمكّن بالمزج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مدرك القول الأوّل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المتَّبع في تشخيص موضوعات الأحكام الشرعيّة التي منها الواجد للماء وغير الواجد له، إنّما هو نظر العرف، وهم لا يعتنون بمثل هذه القدرة الحاصلة بالمعالجات غير المتعارفة، ولعلّ سرّه هو ما ذكره بعض الأعاظم </w:t>
      </w:r>
    </w:p>
    <w:p>
      <w:pPr>
        <w:pStyle w:val="BookText"/>
        <w:rPr/>
      </w:pPr>
      <w:r>
        <w:rPr>
          <w:rFonts w:ascii="Amiri" w:hAnsi="Amiri" w:eastAsia="Amiri" w:cs="Amiri"/>
          <w:color w:val="111111"/>
          <w:sz w:val="28"/>
          <w:sz w:val="28"/>
          <w:szCs w:val="28"/>
          <w:rtl w:val="true"/>
          <w:lang w:bidi="ar-SA"/>
        </w:rPr>
        <w:t>المحقّقين رحمه الله</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صدق الوجدان في صورة الخلط والمزج، إنّما هو لعدم اعتنائهم بالمُستَهلك، وعدم ملحوظيّة الخليط في حدّ ذاته ليكون محكوماً بحكم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يناقض حكمهم بوجوب إيجاده مقدّمةً لامتثال الأمر بالوضوء، فإنّه موقوف على تصوّره، وملاحظة كونه موجوداً مستقلّاً مؤثِّراً في زيادة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هو القول الثاني، وإنْ كان الأوّل أحوط، نعم بعد الخلط لا ريب في وجوب الوضوء به لصدق الوجدان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38" w:name="pg11797_256825"/>
    </w:p>
    <w:p>
      <w:pPr>
        <w:pStyle w:val="BookText"/>
        <w:rPr/>
      </w:pPr>
      <w:bookmarkEnd w:id="338"/>
      <w:r>
        <w:rPr>
          <w:rFonts w:ascii="Amiri" w:hAnsi="Amiri" w:eastAsia="Amiri" w:cs="Amiri"/>
          <w:color w:val="111111"/>
          <w:sz w:val="28"/>
          <w:sz w:val="28"/>
          <w:szCs w:val="28"/>
          <w:rtl w:val="true"/>
          <w:lang w:bidi="ar-SA"/>
        </w:rPr>
        <w:t>ولو كانَ عليه نجاسةٌ ولم يفضل الماءُ عن إزالتها، تيمّم وأزالها به</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10391150_73709187"/>
      <w:bookmarkStart w:id="340" w:name="_Toc126"/>
      <w:bookmarkEnd w:id="339"/>
      <w:r>
        <w:rPr>
          <w:rtl w:val="true"/>
        </w:rPr>
        <w:t>دوران الأمر بين الطهارة المائيّة وإزالة النجاسة</w:t>
      </w:r>
      <w:bookmarkEnd w:id="340"/>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صرّح به الأصحاب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عليه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بدن المصلي أو ثوبه نجساً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يفضل الماء عن إزالتها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لا يكفيه إلّالإزالة النجاسة أو الطهارة المائيّة،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 وأزالها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الحكم بذلك اتّفاقي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بين أهل العلم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الطهارة المائيّة لها بدل وهو التيمّم، بخلاف إزالة النجاسة، فيجب صرفه إليها والتيمّم جمعاً بين الحقّين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 أبي عُبيدة،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ترى الطُهرفي السّفر، وليس معها ما يكفيها لغُسلها، وقد حضرت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معها بقدر ما تغسل به فرجها فتغسله، ثمّ تتيمّم وتُصلّي</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لتقديمه إزالة النجاسة فيه على الوضوء لوجوبه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مراراً من أنّ موارد التنافي بين الحكمين الضمنيّين ليست من موارد التزاحم، ليكون ماله بدلٌ مقدّماً على ما ليس له بدلٌ في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كون ذلك من مرجّحات باب التزاحم محلّ كلامٍ‌، استوفيناه في الجزء الثاني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إليه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جعل للصّلاة مع الطهارة الخَبَثيّة بدلاً، وهو الصّلاة مع النجاسة، أو عارياً على الخلاف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عدم وجوب الوضوء مع شيءٍ من الأغسال، فعدم الأمر به في مورد الخبر لعلّه يكون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يكون التنافي بين دليل لزوم إزالة الخَبَث عن بدن المصلّي أو ثوبه، وبين دليل شرطيّة الطهارة المائيّة للصّلاة، من قبيل تعارض الدليلين لا التزاحم، فيتعيّن الرجوع إلى المرجّحات السنديّة، بناءً على أنّها المرجع في تعارض العامين من وجه، ولا يكونُ شيءٌ من المرجّحات ثابتاً لأحدهما، فلا محالة يُحكم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المرجّحات، هو كون أحدهما مُجمعاً عليه ومشهوراً مع دليل إزالة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المرجّح هو الشهرة الاستناديّة، لا مجرّد تطابق الدليل مع الفتوى،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الأدلّة هو التخيير بين إزالة النجاسة به، والصّلاة مع التيمّم، وبين الوضوء به والصّلاة عارياً، أو مع النجاسة على الخلاف في المسألة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41" w:name="pg11797_256829"/>
    </w:p>
    <w:p>
      <w:pPr>
        <w:pStyle w:val="Heading6"/>
        <w:numPr>
          <w:ilvl w:val="5"/>
          <w:numId w:val="1"/>
        </w:numPr>
        <w:rPr/>
      </w:pPr>
      <w:bookmarkStart w:id="342" w:name="__RefHeading___Toc10391152_73709187"/>
      <w:bookmarkStart w:id="343" w:name="_Toc127"/>
      <w:bookmarkEnd w:id="341"/>
      <w:bookmarkEnd w:id="342"/>
      <w:r>
        <w:rPr>
          <w:rtl w:val="true"/>
        </w:rPr>
        <w:t>التيمّم مع التمكّن من استعمال الماء</w:t>
      </w:r>
      <w:bookmarkEnd w:id="343"/>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التيمّم مع التمكّن من استعمال الماء، إلّافي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الجنازة، حيث لا إشكال ولا كلام في مشروعيّة التيمّم لها، مع التمكّن من استعمال الماء، لو خاف فوت الصّلاة منه، لو أراد أن يتوضّأ أو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تُدركه الجنازة وهو على غير وضوء، فإنْ ذهب يتوضّأ فاتته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ويُصلّي</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الكلام في مشروعيّته لها، مع عدم خوف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 نقلاً وتحصيلاً، هو استحبابه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صريحاً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778"/>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8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8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783"/>
      </w:r>
      <w:r>
        <w:rPr>
          <w:rFonts w:ascii="Amiri" w:hAnsi="Amiri" w:eastAsia="Amiri" w:cs="Amiri"/>
          <w:color w:val="111111"/>
          <w:sz w:val="28"/>
          <w:sz w:val="28"/>
          <w:szCs w:val="28"/>
          <w:rtl w:val="true"/>
          <w:lang w:bidi="ar-SA"/>
        </w:rPr>
        <w:t>، وأبي علي</w:t>
      </w:r>
      <w:r>
        <w:rPr>
          <w:rStyle w:val="FootnoteAnchor"/>
          <w:rtl w:val="true"/>
        </w:rPr>
        <w:footnoteReference w:id="784"/>
      </w:r>
      <w:r>
        <w:rPr>
          <w:rFonts w:ascii="Amiri" w:hAnsi="Amiri" w:eastAsia="Amiri" w:cs="Amiri"/>
          <w:color w:val="111111"/>
          <w:sz w:val="28"/>
          <w:sz w:val="28"/>
          <w:szCs w:val="28"/>
          <w:rtl w:val="true"/>
          <w:lang w:bidi="ar-SA"/>
        </w:rPr>
        <w:t>، وسلّار</w:t>
      </w:r>
      <w:r>
        <w:rPr>
          <w:rStyle w:val="FootnoteAnchor"/>
          <w:rtl w:val="true"/>
        </w:rPr>
        <w:footnoteReference w:id="785"/>
      </w:r>
      <w:r>
        <w:rPr>
          <w:rFonts w:ascii="Amiri" w:hAnsi="Amiri" w:eastAsia="Amiri" w:cs="Amiri"/>
          <w:color w:val="111111"/>
          <w:sz w:val="28"/>
          <w:sz w:val="28"/>
          <w:szCs w:val="28"/>
          <w:rtl w:val="true"/>
          <w:lang w:bidi="ar-SA"/>
        </w:rPr>
        <w:t>، والقاضي</w:t>
      </w:r>
      <w:r>
        <w:rPr>
          <w:rStyle w:val="FootnoteAnchor"/>
          <w:rtl w:val="true"/>
        </w:rPr>
        <w:footnoteReference w:id="786"/>
      </w:r>
      <w:r>
        <w:rPr>
          <w:rFonts w:ascii="Amiri" w:hAnsi="Amiri" w:eastAsia="Amiri" w:cs="Amiri"/>
          <w:color w:val="111111"/>
          <w:sz w:val="28"/>
          <w:sz w:val="28"/>
          <w:szCs w:val="28"/>
          <w:rtl w:val="true"/>
          <w:lang w:bidi="ar-SA"/>
        </w:rPr>
        <w:t>، والراوندي</w:t>
      </w:r>
      <w:r>
        <w:rPr>
          <w:rStyle w:val="FootnoteAnchor"/>
          <w:rtl w:val="true"/>
        </w:rPr>
        <w:footnoteReference w:id="787"/>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المشروعيّة إلّافي صورة خوف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تقويته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سماعة المضمر،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مرّت به جنازة وهو على غير وضوء،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بيده على حائط اللّبن فليتيمّم به</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ضعيف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زُرعة وسماعة واقفيّان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المسؤول عنه في الرواية مجهول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زرعة وسماعة ثقتان، وكونهما كذلك يكفي في حجيّة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خبرهما وإن كانا واقفيين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سماعة أجلُّ شأناً من أن يستفتي من غير المعصوم، ثمّ ينقله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الاستدلال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المنساق إلى الذهن من السؤال فيه بواسطة القرائن الداخليّة والخارجيّة، إنّما هو السؤال عن وظيفته عند خوف فوت المشايعة والصّلاة عليها، فلا وجه للتعدّي عن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وبمرسل حَريز، عمّن أخبره،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الطامث تُصلّي على الجنازة، لأنّه ليس فيها ركوع ولا سجود، والجُنُب يتيمّم ويُصلّي على الجنازة</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ضعيف لإرساله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الحكم لزوميّاً، وكان يشترط في الجنازة الطهارة، كان هذا الإيراد متيناً جدّاً، ولم يمكن الجواب عنه بجبره بعمل الأصحاب، لعدم اعتمادهم عليه، ولكن بما أنّ الحكم استحبابي، فيكفي هذا الخبر لإثباته، بضميمة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ثبوت الاستحباب بها كما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للنوم، على المشهور بين الأصحاب،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أنّه ممّا لا خلاف فيه،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رواه الصدوق والشيخ مرسلاً عن الإمام الصادق عليه السلام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تطهر ثُمّ آوى إلى فراشه باتَ وفراشه كمسجده، فإنْ ذَكر أنّه على غير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وضوء تيمّم من دثاره كائناً ما كان، فإنْ فعل ذلك لم يزَل في صلاةٍ وذِكر اللّه</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بالإرسال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مجبورٌ ضعفه بعمل الأصحاب، مضافاً إلى أنّ الحكم استحبابي يكفي في ثبوته 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بالمُحْدِث بالأصغر الناسي، فالتعدّي إلى غيره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العرف يرون هذه الخصوصيّات مُلغاةً في مثل هذا الحكم، المبتني على التوسعة والتسهيل، كما يشهد له فهم الأصحاب بأجمعهم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يعارضه ما دلَّ على اختصاص شرعيّة التيمّم بغيرالمتمكّن من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رواه أبو بصير، عن الإمام الصادق، عن 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ينام المسلم وهو جُنُب، ولا ينام إلّاعلى طهور، فإنْ لم يجد الماء فليتيمّم بالصعيد</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 أخصّ من ما دلَّ على اختصاص شرعيّة التيمّم بغير المتمكّن من الماء، فيخصَّص به، وهو مقدّمٌ على خبر أبي بصير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بعض أعاظم المحقّقين رحمه الله، من حكومة المُرسَل على خبر أبي بصير، فهي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ما ذكره الأصحاب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44" w:name="pg11797_256839"/>
    </w:p>
    <w:p>
      <w:pPr>
        <w:pStyle w:val="BookText"/>
        <w:rPr/>
      </w:pPr>
      <w:bookmarkEnd w:id="344"/>
      <w:r>
        <w:rPr>
          <w:rFonts w:ascii="Amiri" w:hAnsi="Amiri" w:eastAsia="Amiri" w:cs="Amiri"/>
          <w:color w:val="111111"/>
          <w:sz w:val="28"/>
          <w:sz w:val="28"/>
          <w:szCs w:val="28"/>
          <w:rtl w:val="true"/>
          <w:lang w:bidi="ar-SA"/>
        </w:rPr>
        <w:t>ولا يَصحُّ‌</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0391154_73709187"/>
      <w:bookmarkStart w:id="346" w:name="_Toc128"/>
      <w:bookmarkEnd w:id="345"/>
      <w:r>
        <w:rPr>
          <w:rtl w:val="true"/>
        </w:rPr>
        <w:t>الفصل الثاني في بيان ما يصحّ التيمّم به</w:t>
      </w:r>
      <w:bookmarkEnd w:id="346"/>
    </w:p>
    <w:p>
      <w:pPr>
        <w:pStyle w:val="Heading5"/>
        <w:numPr>
          <w:ilvl w:val="4"/>
          <w:numId w:val="1"/>
        </w:numPr>
        <w:rPr/>
      </w:pPr>
      <w:bookmarkStart w:id="347" w:name="__RefHeading___Toc10391156_73709187"/>
      <w:bookmarkStart w:id="348" w:name="_Toc129"/>
      <w:bookmarkEnd w:id="347"/>
      <w:r>
        <w:rPr>
          <w:rtl w:val="true"/>
        </w:rPr>
        <w:t>اشارة</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إلّابالأرض، بلا خلافٍ فيه بيننا،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التي سنذكرها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سيأتي في بعض المسائل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التيمّم عند الاضطرار، بما لا يصدق عليه اسم الأرض، كغبار الثوب والوَحَل، لو سُلّم عدم صدقها عليهما، مع أنّه محلّ نظر بل منع، كما سيمرّ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الإجماع على عدم الجواز في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يظهرعدم قدح 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Style w:val="FootnoteAnchor"/>
          <w:rtl w:val="true"/>
        </w:rPr>
        <w:footnoteReference w:id="79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80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وغيرها من جواز التيمّم بالثّلج عند الاضطرار، في الإجماع المُدّعى في المقام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ممّا لا 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الكلام والخلاف في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التيمّم بمطلق وجه الأرض،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Style w:val="FootnoteAnchor"/>
          <w:rtl w:val="true"/>
        </w:rPr>
        <w:footnoteReference w:id="80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Style w:val="FootnoteAnchor"/>
          <w:rtl w:val="true"/>
        </w:rPr>
        <w:footnoteReference w:id="804"/>
      </w:r>
      <w:r>
        <w:rPr>
          <w:rFonts w:ascii="IRNazanin" w:hAnsi="IRNazanin" w:eastAsia="IRNazanin"/>
          <w:color w:val="111111"/>
          <w:sz w:val="28"/>
          <w:sz w:val="28"/>
          <w:szCs w:val="28"/>
          <w:rtl w:val="true"/>
          <w:lang w:bidi="fa-IR"/>
        </w:rPr>
        <w:t>، وخلافه</w:t>
      </w:r>
      <w:r>
        <w:rPr>
          <w:rStyle w:val="FootnoteAnchor"/>
          <w:rtl w:val="true"/>
        </w:rPr>
        <w:footnoteReference w:id="80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8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0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8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80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8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81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8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وغيرها؟</w:t>
      </w:r>
    </w:p>
    <w:p>
      <w:pPr>
        <w:pStyle w:val="BookText"/>
        <w:rPr/>
      </w:pPr>
      <w:r>
        <w:rPr>
          <w:rFonts w:ascii="Amiri" w:hAnsi="Amiri" w:eastAsia="Amiri" w:cs="Amiri"/>
          <w:color w:val="111111"/>
          <w:sz w:val="28"/>
          <w:sz w:val="28"/>
          <w:szCs w:val="28"/>
          <w:rtl w:val="true"/>
          <w:lang w:bidi="ar-SA"/>
        </w:rPr>
        <w:t xml:space="preserve">بل المشهور تحصيلاً ونقلاً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17"/>
      </w:r>
      <w:r>
        <w:rPr>
          <w:rFonts w:ascii="IRNazanin" w:hAnsi="IRNazanin" w:eastAsia="IRNazanin"/>
          <w:color w:val="111111"/>
          <w:sz w:val="28"/>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جواز التيمّم بالبطحاء، الذي هو مسيلٌ فيه دقاق الحَصى‌، مع خروجه من مصداق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إلّا بالتراب 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20"/>
      </w:r>
      <w:r>
        <w:rPr>
          <w:rFonts w:ascii="IRNazanin" w:hAnsi="IRNazanin" w:eastAsia="IRNazanin"/>
          <w:color w:val="111111"/>
          <w:sz w:val="28"/>
          <w:sz w:val="28"/>
          <w:szCs w:val="28"/>
          <w:rtl w:val="true"/>
          <w:lang w:bidi="fa-IR"/>
        </w:rPr>
        <w:t>دعوى الإجماع على جوازه بالرمل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بالتُّراب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وعن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وأبي علي، وأبي الصلاح الحلبي</w:t>
      </w:r>
      <w:r>
        <w:rPr>
          <w:rStyle w:val="FootnoteAnchor"/>
          <w:rtl w:val="true"/>
        </w:rPr>
        <w:footnoteReference w:id="822"/>
      </w:r>
      <w:r>
        <w:rPr>
          <w:rFonts w:ascii="Amiri" w:hAnsi="Amiri" w:eastAsia="Amiri" w:cs="Amiri"/>
          <w:color w:val="111111"/>
          <w:sz w:val="28"/>
          <w:sz w:val="28"/>
          <w:szCs w:val="28"/>
          <w:rtl w:val="true"/>
          <w:lang w:bidi="ar-SA"/>
        </w:rPr>
        <w:t>، وابن زُهرة</w:t>
      </w:r>
      <w:r>
        <w:rPr>
          <w:rStyle w:val="FootnoteAnchor"/>
          <w:rtl w:val="true"/>
        </w:rPr>
        <w:footnoteReference w:id="823"/>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يجب التفصيل بين حالتي الاختيار والاضطرار، فيمنع من غير التّراب في حال الاختيار كما عن أكثر الفقهاء، بل عن الوحيد</w:t>
      </w:r>
      <w:r>
        <w:rPr>
          <w:rStyle w:val="FootnoteAnchor"/>
          <w:rtl w:val="true"/>
        </w:rPr>
        <w:footnoteReference w:id="824"/>
      </w:r>
      <w:r>
        <w:rPr>
          <w:rFonts w:ascii="IRNazanin" w:hAnsi="IRNazanin" w:eastAsia="IRNazanin"/>
          <w:color w:val="111111"/>
          <w:sz w:val="28"/>
          <w:sz w:val="28"/>
          <w:szCs w:val="28"/>
          <w:rtl w:val="true"/>
          <w:lang w:bidi="fa-IR"/>
        </w:rPr>
        <w:t>نسبته إلى معظمهم إلّامن شذّ؟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الشروع في الاستدلال لا بأس بالتنبيه على أمرٍ،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الظاهر ولا أقلّ من المحتمل أنّه لا قائل باختصاصٍ ما يصحّ التيمّم به بالتراب، وأنّ الجماعة الذين نُسب إليهم هذا القول مطلقاً، أو في خصوص حال الاختيار، قائلون بالتعميم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المصنّف رحمه الله فلأنّ مراده بالتراب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وجه الأرض، كما يشهد له قوله فيما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بأرض النّورة والحَجَر والجصّ‌، ويكره بالسَّبخة والرّمل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السيّد فعبارته المحكيّة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26"/>
      </w:r>
      <w:r>
        <w:rPr>
          <w:rFonts w:ascii="IRNazanin" w:hAnsi="IRNazanin" w:eastAsia="IRNazanin"/>
          <w:color w:val="111111"/>
          <w:sz w:val="28"/>
          <w:sz w:val="28"/>
          <w:szCs w:val="28"/>
          <w:rtl w:val="true"/>
          <w:lang w:bidi="fa-IR"/>
        </w:rPr>
        <w:t>عن شرح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يجزي في التيمّم إلّاالتّراب الخالص، أي الصافي من مخالطة ما لا يقع عليه اسم الأرض، كالزرنيخ والكُحل، وأنواع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العبارة كما ترى كالصريحة في أنّ مراده بالتراب الخالص، الإحتراز عمّا لا يقع عليه اسم الأرض، لا مثل الحَصى‌، وإلّا كان الأولى التمثيل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يذهب إليه أصحابنا أنّ التيمّم لا يكون إلّابالتراب، وما جرى مجرى التّراب، ما لم يتغيّر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يسلبُ إطلاق اسم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حجّتنا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بعد نقل العبارة المتقدّمة، عن السيّد،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ونحوه 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يبقى وثوقٌ بوجود قائلٍ بعدم جواز التيمّم بغير التّراب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القول بالتفصيل الذي نسبه الوحيد إلى معظم الأصحاب، إلّامن شذّ، فالظاهر أنّ منشأ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تصريح جماعة كثيرة منهم بجواز التيمّم بمطلق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حكمهم بعدم جواز التيمّم بالحَجَر إلّابعد العجز عن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حكمهم ذلك، لبنائهم على اعتبار العَلوق المتعذّر حصوله لدى التيمّم بالحَجَر، وعلى ذلك فدعوى أنّه لا خلاف ظاهراً في جواز التيمّم بمطلق وجه الأرض في محلّها، بل لا يبعد دعوى الإجماع عليه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للمشهور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صَعِيداً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طَيِّباً </w:t>
      </w:r>
      <w:r>
        <w:rPr>
          <w:rStyle w:val="FootnoteAnchor"/>
          <w:rtl w:val="true"/>
        </w:rPr>
        <w:footnoteReference w:id="829"/>
      </w:r>
      <w:r>
        <w:rPr>
          <w:rFonts w:ascii="Amiri" w:hAnsi="Amiri" w:eastAsia="Amiri" w:cs="Amiri"/>
          <w:color w:val="111111"/>
          <w:sz w:val="28"/>
          <w:sz w:val="28"/>
          <w:szCs w:val="28"/>
          <w:rtl w:val="true"/>
          <w:lang w:bidi="ar-SA"/>
        </w:rPr>
        <w:t>إذ الصَّعيد اسمٌ لمطلق وجه الأرض،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جماعةٍ من اللّغويين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المنير</w:t>
      </w:r>
      <w:r>
        <w:rPr>
          <w:rFonts w:eastAsia="Amiri" w:cs="Amiri" w:ascii="Amiri" w:hAnsi="Amiri"/>
          <w:color w:val="111111"/>
          <w:sz w:val="28"/>
          <w:szCs w:val="28"/>
          <w:rtl w:val="true"/>
          <w:lang w:bidi="ar-SA"/>
        </w:rPr>
        <w:t>»</w:t>
      </w:r>
      <w:r>
        <w:rPr>
          <w:rStyle w:val="FootnoteAnchor"/>
          <w:rtl w:val="true"/>
        </w:rPr>
        <w:footnoteReference w:id="8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الصَّعيد وجه الأرض تراباً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8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الصَّعيد التّراب أو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Style w:val="FootnoteAnchor"/>
          <w:rtl w:val="true"/>
        </w:rPr>
        <w:footnoteReference w:id="83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Style w:val="FootnoteAnchor"/>
          <w:rtl w:val="true"/>
        </w:rPr>
        <w:footnoteReference w:id="835"/>
      </w:r>
      <w:r>
        <w:rPr>
          <w:rFonts w:ascii="Amiri" w:hAnsi="Amiri" w:eastAsia="Amiri" w:cs="Amiri"/>
          <w:color w:val="111111"/>
          <w:sz w:val="28"/>
          <w:sz w:val="28"/>
          <w:szCs w:val="28"/>
          <w:rtl w:val="true"/>
          <w:lang w:bidi="ar-SA"/>
        </w:rPr>
        <w:t>، والخليل</w:t>
      </w:r>
      <w:r>
        <w:rPr>
          <w:rStyle w:val="FootnoteAnchor"/>
          <w:rtl w:val="true"/>
        </w:rPr>
        <w:footnoteReference w:id="836"/>
      </w:r>
      <w:r>
        <w:rPr>
          <w:rFonts w:ascii="Amiri" w:hAnsi="Amiri" w:eastAsia="Amiri" w:cs="Amiri"/>
          <w:color w:val="111111"/>
          <w:sz w:val="28"/>
          <w:sz w:val="28"/>
          <w:szCs w:val="28"/>
          <w:rtl w:val="true"/>
          <w:lang w:bidi="ar-SA"/>
        </w:rPr>
        <w:t>وابن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والصَّعيد هو وجه الأرض بالنقل عن فضلاء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8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المشهور بينهم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عن الزّجاج</w:t>
      </w:r>
      <w:r>
        <w:rPr>
          <w:rStyle w:val="FootnoteAnchor"/>
          <w:rtl w:val="true"/>
        </w:rPr>
        <w:footnoteReference w:id="841"/>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خلافاً بين أهل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اللّغة في أنّ الصَّعيد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يوافق مذهب أصحابنا في أنّ التيمّم يجوزُ بالحَجَر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الصَّعيد يتناول الحَجَر كما صرّح به أئمّة اللّغة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8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فسّر كثيرٌ من علماء اللّغة الصَّعيد بوجه الأرض، وادّعى بعضهم الإجماع على ذلك، وأنّه لا يختصّ بالتراب، وكذا جماعة من المفسّرين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فَتُصْبِحَ صَعِيداً زَلَقاً </w:t>
      </w:r>
      <w:r>
        <w:rPr>
          <w:rStyle w:val="FootnoteAnchor"/>
          <w:rtl w:val="true"/>
        </w:rPr>
        <w:footnoteReference w:id="844"/>
      </w:r>
      <w:r>
        <w:rPr>
          <w:rFonts w:ascii="Amiri" w:hAnsi="Amiri" w:eastAsia="Amiri" w:cs="Amiri"/>
          <w:color w:val="111111"/>
          <w:sz w:val="28"/>
          <w:sz w:val="28"/>
          <w:szCs w:val="28"/>
          <w:rtl w:val="true"/>
          <w:lang w:bidi="ar-SA"/>
        </w:rPr>
        <w:t>أي أرضاً ملسة مزلقة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 عليه السلام</w:t>
      </w:r>
      <w:r>
        <w:rPr>
          <w:rStyle w:val="FootnoteAnchor"/>
          <w:rtl w:val="true"/>
        </w:rPr>
        <w:footnoteReference w:id="8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يوم القيامة عُراة حُفاة على صعيدٍ واحد، أي أرض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الصَّعيد الموضع المرتفع، والطيب الموضع الذي ينحدر عنه الماء</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أعاظم المحقّقين رحمه الله</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المتبادر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صَعِيداً طَيِّباً </w:t>
      </w:r>
      <w:r>
        <w:rPr>
          <w:rStyle w:val="FootnoteAnchor"/>
          <w:rtl w:val="true"/>
        </w:rPr>
        <w:footnoteReference w:id="849"/>
      </w:r>
      <w:r>
        <w:rPr>
          <w:rFonts w:ascii="Amiri" w:hAnsi="Amiri" w:eastAsia="Amiri" w:cs="Amiri"/>
          <w:color w:val="111111"/>
          <w:sz w:val="28"/>
          <w:sz w:val="28"/>
          <w:szCs w:val="28"/>
          <w:rtl w:val="true"/>
          <w:lang w:bidi="ar-SA"/>
        </w:rPr>
        <w:t>إرادة القصد إلى صعيدٍ طيّب بالمُضيّ إلى نحوه، 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مجرّد العزم على استعماله، وهذا المعنى لا يناسب إرادة التّراب الذي هو من المنقولات في حَدّ ذاته، بخلاف ما لو اُريد به الأرض أو المكان المرتفع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كلّه ظهر أنّه يدلّ على هذا القول، النصوص الدالّة على جواز التيمّم بالصعيد، كصحيح ابن أبي يعفور، وعنبسة،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البئر، وأنتَ جُنُبٌ فلم تجد دَلْواً ولا شيئاً تغرف به، فتيمّم بالصعيد، فإنّ ربّ الماء هو ربّ الصَّعيد</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صحيحا الحلبي وابن سنان</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للمشهور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Style w:val="FootnoteAnchor"/>
          <w:rtl w:val="true"/>
        </w:rPr>
        <w:footnoteReference w:id="852"/>
      </w:r>
      <w:r>
        <w:rPr>
          <w:rFonts w:ascii="Amiri" w:hAnsi="Amiri" w:eastAsia="Amiri" w:cs="Amiri"/>
          <w:color w:val="111111"/>
          <w:sz w:val="28"/>
          <w:sz w:val="28"/>
          <w:szCs w:val="28"/>
          <w:rtl w:val="true"/>
          <w:lang w:bidi="ar-SA"/>
        </w:rPr>
        <w:t>المرويّ بعدّة طرق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اُعطِيتْ خمساً لم يُعطها أحدٌ قبلي، جُعلت لي الأرضُ مسجداً وطهوراً،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853"/>
      </w:r>
      <w:r>
        <w:rPr>
          <w:rFonts w:ascii="Amiri" w:hAnsi="Amiri" w:eastAsia="Amiri" w:cs="Amiri"/>
          <w:color w:val="111111"/>
          <w:sz w:val="28"/>
          <w:sz w:val="28"/>
          <w:szCs w:val="28"/>
          <w:rtl w:val="true"/>
          <w:lang w:bidi="ar-SA"/>
        </w:rPr>
        <w:t>بسنده عن أبي أمامة،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وطهوراً، وأيّما رجلٍ من اُمّتي أراد الصّلاة ولم يجد ماء، ووجد الأرض، فقد جُعلت له مسجداً 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 بسنده عن ابن عبّاس،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خمساً لم يُعطها أحدٌ قبلي؛ جُعِلَتْ لي الأرض</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مسجداً وطهوراً، ونُصِرتُ بالرّعب، واُحلّت لاُمّتي الغنائم</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أبان بن عثمان، عمّن ذكره،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أعطى محمّداً صلى الله عليه و آله شرائع نوحٍ وإبراهيمَ وموسى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 الأرض مسجداً وطهوراً</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جواز التيمّم بالأرض على الإطلاق، كصحيح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الرجل طهوراً، وكان جُنُباً فليمسح من الأرض وليصلِّ‌</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ونحوه صحيح الحلبي</w:t>
      </w:r>
      <w:r>
        <w:rPr>
          <w:rStyle w:val="FootnoteAnchor"/>
          <w:rtl w:val="true"/>
        </w:rPr>
        <w:footnoteReference w:id="858"/>
      </w:r>
      <w:r>
        <w:rPr>
          <w:rFonts w:ascii="Amiri" w:hAnsi="Amiri" w:eastAsia="Amiri" w:cs="Amiri"/>
          <w:color w:val="111111"/>
          <w:sz w:val="28"/>
          <w:sz w:val="28"/>
          <w:szCs w:val="28"/>
          <w:rtl w:val="true"/>
          <w:lang w:bidi="ar-SA"/>
        </w:rPr>
        <w:t>، وصحيحه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 الماء هو ربّ الأرض</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فاتكَ الماء لم تفتك الأرض</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الواردة في كيفيّة التيمّم، المصرّح فيها بضرب كفّيه صلى الله عليه و آله على الأرض</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تعليم التيمّم لعمّار</w:t>
      </w:r>
      <w:r>
        <w:rPr>
          <w:rStyle w:val="FootnoteAnchor"/>
          <w:rtl w:val="true"/>
        </w:rPr>
        <w:footnoteReference w:id="861"/>
      </w:r>
      <w:r>
        <w:rPr>
          <w:rFonts w:ascii="Amiri" w:hAnsi="Amiri" w:eastAsia="Amiri" w:cs="Amiri"/>
          <w:color w:val="111111"/>
          <w:sz w:val="28"/>
          <w:sz w:val="28"/>
          <w:szCs w:val="28"/>
          <w:rtl w:val="true"/>
          <w:lang w:bidi="ar-SA"/>
        </w:rPr>
        <w:t>، والموثّق المتقدّم</w:t>
      </w:r>
      <w:r>
        <w:rPr>
          <w:rStyle w:val="FootnoteAnchor"/>
          <w:rtl w:val="true"/>
        </w:rPr>
        <w:footnoteReference w:id="862"/>
      </w:r>
      <w:r>
        <w:rPr>
          <w:rFonts w:ascii="Amiri" w:hAnsi="Amiri" w:eastAsia="Amiri" w:cs="Amiri"/>
          <w:color w:val="111111"/>
          <w:sz w:val="28"/>
          <w:sz w:val="28"/>
          <w:szCs w:val="28"/>
          <w:rtl w:val="true"/>
          <w:lang w:bidi="ar-SA"/>
        </w:rPr>
        <w:t>في من مرّت به جنازة، الدالّ على جواز التيمّم بحائط اللّبن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وخبر السكوني، عن جعفر عليه السلام، عن أبيه، عن الإمام أمير المؤمنين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التيمّم بالجِصّ؟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بالرماد؟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ليس يخرج من الأرض</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 الشريفة لما عن الجُوهري</w:t>
      </w:r>
      <w:r>
        <w:rPr>
          <w:rStyle w:val="FootnoteAnchor"/>
          <w:rtl w:val="true"/>
        </w:rPr>
        <w:footnoteReference w:id="864"/>
      </w:r>
      <w:r>
        <w:rPr>
          <w:rFonts w:ascii="IRNazanin" w:hAnsi="IRNazanin" w:eastAsia="IRNazanin"/>
          <w:color w:val="111111"/>
          <w:sz w:val="28"/>
          <w:sz w:val="28"/>
          <w:szCs w:val="28"/>
          <w:rtl w:val="true"/>
          <w:lang w:bidi="fa-IR"/>
        </w:rPr>
        <w:t>، وابن فارس</w:t>
      </w:r>
      <w:r>
        <w:rPr>
          <w:rStyle w:val="FootnoteAnchor"/>
          <w:rtl w:val="true"/>
        </w:rPr>
        <w:footnoteReference w:id="865"/>
      </w:r>
      <w:r>
        <w:rPr>
          <w:rFonts w:ascii="Amiri" w:hAnsi="Amiri" w:eastAsia="Amiri" w:cs="Amiri"/>
          <w:color w:val="111111"/>
          <w:sz w:val="28"/>
          <w:sz w:val="28"/>
          <w:szCs w:val="28"/>
          <w:rtl w:val="true"/>
          <w:lang w:bidi="ar-SA"/>
        </w:rPr>
        <w:t>، وأبي عبيدة</w:t>
      </w:r>
      <w:r>
        <w:rPr>
          <w:rStyle w:val="FootnoteAnchor"/>
          <w:rtl w:val="true"/>
        </w:rPr>
        <w:footnoteReference w:id="866"/>
      </w:r>
      <w:r>
        <w:rPr>
          <w:rFonts w:ascii="Amiri" w:hAnsi="Amiri" w:eastAsia="Amiri" w:cs="Amiri"/>
          <w:color w:val="111111"/>
          <w:sz w:val="28"/>
          <w:sz w:val="28"/>
          <w:szCs w:val="28"/>
          <w:rtl w:val="true"/>
          <w:lang w:bidi="ar-SA"/>
        </w:rPr>
        <w:t>، من تفسير الصَّعيد بالتراب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وبالنبوي المتقدّم المرويّ مُرسلاً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الغوالي</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 xml:space="preserve">عن فخر المحقّقين، ومسنداً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Style w:val="FootnoteAnchor"/>
          <w:rtl w:val="true"/>
        </w:rPr>
        <w:footnoteReference w:id="8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Style w:val="FootnoteAnchor"/>
          <w:rtl w:val="true"/>
        </w:rPr>
        <w:footnoteReference w:id="870"/>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وترابها طهوراً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وبالنبوي المتقدّم،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وطَهوراً أينما كنتُ أتيمّمُ من ترابها</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الآمرة بنفض اليدين</w:t>
      </w:r>
      <w:r>
        <w:rPr>
          <w:rStyle w:val="FootnoteAnchor"/>
          <w:rtl w:val="true"/>
        </w:rPr>
        <w:footnoteReference w:id="872"/>
      </w:r>
      <w:r>
        <w:rPr>
          <w:rFonts w:ascii="Amiri" w:hAnsi="Amiri" w:eastAsia="Amiri" w:cs="Amiri"/>
          <w:color w:val="111111"/>
          <w:sz w:val="28"/>
          <w:sz w:val="28"/>
          <w:szCs w:val="28"/>
          <w:rtl w:val="true"/>
          <w:lang w:bidi="ar-SA"/>
        </w:rPr>
        <w:t>، بدعوى أنّ التيمّم لو لم يكن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مستلزماً للعَلوق، لم يتوجّه رُجحان النفض، فيستكشف من ذلك أنّ المراد بما يتيمّم به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محمّد بن حمران، وجميل ابن درّاج، جميعاً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معاوية بن ميسرة</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رفاعة بن موسى‌،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الأرضُ مبتلّةً ليس فيها ترابٌ ولا ماء، فانظر أجفّ موضعٍ تجده فتيمّم منه</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لو جاز التيمّم بالحَجَر اختياراً لفرض عدمه كالتراب، فإنّه لا يعتبر فيه الجفاف، مع 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حال الاختيار خصوص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زرارة</w:t>
      </w:r>
      <w:r>
        <w:rPr>
          <w:rStyle w:val="FootnoteAnchor"/>
          <w:rtl w:val="true"/>
        </w:rPr>
        <w:footnoteReference w:id="877"/>
      </w:r>
      <w:r>
        <w:rPr>
          <w:rFonts w:ascii="Amiri" w:hAnsi="Amiri" w:eastAsia="Amiri" w:cs="Amiri"/>
          <w:color w:val="111111"/>
          <w:sz w:val="28"/>
          <w:sz w:val="28"/>
          <w:szCs w:val="28"/>
          <w:rtl w:val="true"/>
          <w:lang w:bidi="ar-SA"/>
        </w:rPr>
        <w:t>، عن الإمام الباقر عليه السلام الوارد في بيان ما يَمسح في التيمّم، حيث قال أبو جعفر عليه السلام فيه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وَضَع الوَضوء عمّن لم يجد الماء، أثبت بعض الغُسل مَسْحاً، لأنّه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بِوُجُوهِكُمْ‌ </w:t>
      </w:r>
      <w:r>
        <w:rPr>
          <w:rStyle w:val="FootnoteAnchor"/>
          <w:rtl w:val="true"/>
        </w:rPr>
        <w:footnoteReference w:id="878"/>
      </w:r>
      <w:r>
        <w:rPr>
          <w:rFonts w:ascii="Amiri" w:hAnsi="Amiri" w:eastAsia="Amiri" w:cs="Amiri"/>
          <w:color w:val="111111"/>
          <w:sz w:val="28"/>
          <w:sz w:val="28"/>
          <w:szCs w:val="28"/>
          <w:rtl w:val="true"/>
          <w:lang w:bidi="ar-SA"/>
        </w:rPr>
        <w:t>ثُمّ وَصَل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أَيْدِيكُمْ مِنْهُ‌ أي من ذلك التيمّم، لأنّه علم أنّ ذلك أجمع لم يجر على الوجه، لأنّه يُعلّق من ذلك الصَّعيد ببعض الكفّ ولا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يُعلّق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الأدلّة يُقيّد إطلاق ما دلَّ على جواز التيمّم بالأرض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 هؤلاء اللّغويين لا يصلح لمعارضة ما هو المشهور بينهم، لا سيّما وعن بعض من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بالتراب تفسير التّراب بالأرض، مع أنّ اللّغوي ليس من أهل تعيين المعاني الحقيقيّة، وتمييزها عن المعاني المجازيّة، والكتب المصنّفة في اللّغة لم توضع لذلك، بل اللّغوي إنّما يذكر موارد استعمال اللّفظ واطلاقة على معنى أو 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الصَّعيد هوالتّراب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يدلّ إلّاعلى إطلاقه عليه، وهذا ممّا لا كلام فيه، إذ لا ريب في كونه أحد مصاديقه، فيصحّ إطلاق الصَّعيد عليه، إنّما الكلام في كونه تمام الموضوع له، وهذا لا يدلّ عليه، ويشير إلى ذلك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المُنير</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xml:space="preserve">حيث أنّه بعد ما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بمطلق وجه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الصَّعيد في كلام العرب يُطلَق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التّراب الذي على وجه الأرض، وعلى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قول اللّغوي لا يصلح لمعارضة النصوص، وقد عرفت دلالة بعضها على كون الصَّعيد مطلق وجه الأرض</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ودعوى بعض الأعاظم</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بناءً على ما هو التحقيق من إعمال قواعد التعارض، من الترجيح أو التخيير، مع اختلاف نقل اللّغويين، يتعيّن الاعتماد على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التفسير الأوّل، لأنّه أشهر، ولو بُني على التساوي جاز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مضافاً إلى ما عرفت من عدم كون اللّغوي من أهل تعيين المعاني الحقيقيّة، كي يكون قوله حجّة من باب حجيّة قول أهل الخُبرة، أنّه لو سلّم ذلك لا وجه لإعمال قواعد التعارض من التخيير أو الترجيح، ولاختصاص ما دلَّ على ذلك من النصوص بتعارض الأخبار، ولا يعمّ جميع الحُجج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فالصحيح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فلأنّ‌النبوي المذكور غيرحُجّةٍ‌، لضعف سند ماتضمّنه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المرسلان فللإرسال، وأمّا المسندان فلأنّ جُلّ رواتهما من العامّة، مع أنّه مثبتٌ لا يتنافى مع الإطلاقات المتقدّمة كي يُقيّدها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بمفهومه يدلّ على عدم طهوريّة غير التّراب، فبمفهومه يقيّد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المحقّق رحمه الله</w:t>
      </w:r>
      <w:r>
        <w:rPr>
          <w:rStyle w:val="FootnoteAnchor"/>
          <w:rtl w:val="true"/>
        </w:rPr>
        <w:footnoteReference w:id="88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التمسّك به تمسّكٌ بدلالة الخطاب، أي يتوقّف الاستدلال به على حجيّة مفهوم الوصف واللّقب، ولا نقول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به ليس بمفهوم الخطاب، بل من جهة أنّه لو كان غير التّراب أيضاً طهوراً، كان التقييد به خروجاً عن مقتضى البلاغة الّتي هي مطابقة الكلام لمقتضى الحال، لأنّ ذكر الأرض من غير تقييدٍ، أدخلُ في الامتنان الذى سيق الكلام لبيانه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البرهان جارٍ في جميع الأوصاف، والجواب عنه أنّه يمكن أن يكون القيد مذكوراً لنكتةٍ داعية إلى ذكره، ولأجلها يخرج الكلام عن اللّغويّة،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والمقام أحد تلك الموارد، ولعلّ التعبير بالتراب لشيوع التعبير عن الأرض به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الإشكال على فرض صحّته، واردٌ على كلّ حال، إذ الخصم يعترف بجواز التيمّم بغير التّراب عند الضرورة، وهذا لا يقتضي تخصيص التّراب بالذكر في مثل هذا الخبر، المسوق لبيان طهوريّة الأرض في الجملة، ولذا لم يقيّدها بما إذا فقد الماء، بل يرد الإشكال بعينه على الجملة الأُولى‌، بناءً على أنّ المراد بها مكان الصّلاة، لا موضع السجود كما هو الظاهر، ويشير إليه قوله في ذيل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أدرَكَتْني الصّلاة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تجوز الصّلاة في كلّ مكانٍ ولو لم يكن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حاله ممّاذكرناه، إذ هو أيضاً من قبيل المثبت، فلا ينافى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الآمرة بالنفض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سَلّمنا دلالتها على اعتبار العلوق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ستعرف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الاختصاص بالتراب، لعدم ملازمة العلوق له، بل هو ملائمٌ مع الرَّمل وسحيق الحَجَر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من قبيل المُثبت، فلا يصلح لتقييد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التقريب الأوّل للاستدلال به، أنّ ظاهره اعتبار اليبوسة فيما يتيمّم به، حَجَراً كان أو تراباً، كما عن بعض المحدِّثين البناء عليه، وسيأتي الكلام فيه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للمبتلّة، لا شرطٌ زائد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مضافاً إلى أنّ العلوق لا يُلازم أن يكون ما يتيمّم به تراباً كما عرفت، أنّه لا يمكن الأخذ بظاهر التعليل، للأمر بالنفض في النصوص، مع أنّ التّراب غالباً ما يُعلّق بتمام اليد لا ببعضه، وعلى ذلك فيتعيّن حمله على إرادة تلقين الاستدلال لزرارة في قبال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شيئاً ممّا استدلّ به على عدم جواز التيمّم بغير التّراب، لا يدلّ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القول الثالث فقد 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مقتضى الآية والروايات بعد ردّ بعضها إلى بعض عدم جواز التيمّم بغير التّراب، إلّاأنّه يدلّ على الجواز في غير حال الاختيار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الجمع بين الأدلّة يقتضي تقييد المطلقات في حال الاختيار، بما دلَّ على اعتبار كونه بالتراب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عدم الدليل على اعتبار كونه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ثبت ذلك لا وجه لاعتماد على الإجماع، لعدم كونه تعبّديّاً، بل تكون فتواهم مستندة إلى الأدلّة الدالّة على جواز التيمّم بالأرض، فإذا فرض تقييد إطلاقها بما دلَّ على اعتبار كونه بالتراب، فلا يبقى للاستدلال المزبور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فلأنّه مضافاً إلى ما تقدّم من عدم الدليل على اشتراط كونه بالتراب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ذلك، لا وجه للبناء على التقييد في حالٍ دون اُخرى‌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قاعدة الاشتغال، فلا مورد لها في المقام بعد دلالة الأدلّة على جواز التيمّم بمطلق وجه الأرض مطلقاً، مع أنّه لو سُلّم إجمال الأدلّة، فمع وجود التّراب يُشكّ </w:t>
      </w:r>
    </w:p>
    <w:p>
      <w:pPr>
        <w:pStyle w:val="BookText"/>
        <w:rPr/>
      </w:pPr>
      <w:r>
        <w:rPr>
          <w:rFonts w:ascii="Amiri" w:hAnsi="Amiri" w:eastAsia="Amiri" w:cs="Amiri"/>
          <w:color w:val="111111"/>
          <w:sz w:val="28"/>
          <w:sz w:val="28"/>
          <w:szCs w:val="28"/>
          <w:rtl w:val="true"/>
          <w:lang w:bidi="ar-SA"/>
        </w:rPr>
        <w:t>في اعتبار الخصوصيّة، ومقتضى أصالة البراءة عدم اعتبارها، وأمّا مع تعذّره فيشكّ في وجوب الصّلاة، بناءً على عدم وجوب الصّلاة على فاقد الطهورين، أو في اشتراطها بالتيمّم بغير التّراب، فالمرجع هو أصل البراءة على التقديرين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من مجموع ما ذكرناه، أنّ القول الأوّل هو الأقوى‌، فيجوز التيمّم بمطلق وجه الأرض تراباً كان أو غيره</w:t>
      </w:r>
      <w:r>
        <w:rPr>
          <w:rFonts w:eastAsia="Amiri" w:cs="Amiri" w:ascii="Amiri" w:hAnsi="Amiri"/>
          <w:color w:val="111111"/>
          <w:sz w:val="28"/>
          <w:szCs w:val="28"/>
          <w:rtl w:val="true"/>
          <w:lang w:bidi="ar-SA"/>
        </w:rPr>
        <w:t>.</w:t>
      </w:r>
      <w:bookmarkStart w:id="349" w:name="pg11797_256871"/>
    </w:p>
    <w:p>
      <w:pPr>
        <w:pStyle w:val="BookText"/>
        <w:rPr/>
      </w:pPr>
      <w:bookmarkEnd w:id="349"/>
      <w:r>
        <w:rPr>
          <w:rFonts w:ascii="Amiri" w:hAnsi="Amiri" w:eastAsia="Amiri" w:cs="Amiri"/>
          <w:color w:val="111111"/>
          <w:sz w:val="28"/>
          <w:sz w:val="28"/>
          <w:szCs w:val="28"/>
          <w:rtl w:val="true"/>
          <w:lang w:bidi="ar-SA"/>
        </w:rPr>
        <w:t>ويجوز بأرض النُّورة والجِصّ والحَجَر</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10391158_73709187"/>
      <w:bookmarkStart w:id="351" w:name="_Toc130"/>
      <w:bookmarkEnd w:id="350"/>
      <w:r>
        <w:rPr>
          <w:rtl w:val="true"/>
        </w:rPr>
        <w:t>مسائل</w:t>
      </w:r>
      <w:r>
        <w:rPr>
          <w:rtl w:val="true"/>
        </w:rPr>
        <w:t>:</w:t>
      </w:r>
      <w:bookmarkEnd w:id="351"/>
    </w:p>
    <w:p>
      <w:pPr>
        <w:pStyle w:val="Heading6"/>
        <w:numPr>
          <w:ilvl w:val="5"/>
          <w:numId w:val="1"/>
        </w:numPr>
        <w:rPr/>
      </w:pPr>
      <w:bookmarkStart w:id="352" w:name="__RefHeading___Toc10391160_73709187"/>
      <w:bookmarkStart w:id="353" w:name="_Toc131"/>
      <w:bookmarkEnd w:id="352"/>
      <w:r>
        <w:rPr>
          <w:rtl w:val="true"/>
        </w:rPr>
        <w:t>التيمّم بأرض النُّورة والجِصّ والحَجَر</w:t>
      </w:r>
      <w:bookmarkEnd w:id="35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مسائل ينبغي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بأرض النُّورة والجِصّ والحَجَر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وهاهنا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تقدّم الكلام في جواز التيمّم بمطلق وجه الأرض، حَجَراً كان أو غيره، واستدلّ لعدم جوازه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من الأدلّة التي استدلّ بها على اختصاص ما يصحّ التيمّم به بالتراب، إمّا مطلقاً أو في حال الاختيار، الّتي عرفت ما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باشتراط العَلوق المتعذّر حصوله لدى التيمّم بالحَجَر، ولهذا الوجه نَسبَ بعضٌ عدم جواز التيمّم به إلى أكثر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وبخروجه من مسمّى الأرض بالإستحالة كالمعادن، كما عن ابن الجُنيد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ستعرف في شروط ما يتيمّم به، من عدم اعتبار العَلوق، مع أنّه لو سُلّم اعتباره، فهو لا يلازم عدم جوازه بالأرض ذات الأحجار، لا سيّما وأنّ الغالب عدم خلوّها من الغبار الذي يُعلّق باليد، وبه يظهر ما في النسبة المزبورة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أنّه لا يدلّ على عدم جوازه بالحَجَر المسحوق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الحَجَر يصدقُ عليه الأرض بلا كلام، وصدق المعدن عليه لو سُلّم مع أنّه محلّ نظر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عنه، لأنّ المدار على صدق الأرض، لا عدم صدق المعدن، كما أنّ مناط المنع الخروج عن مسمّى الأرض لا كونه معدناً، فالأظهر جواز التيمّم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بأرض النُّورة والجِصّ قبل الإحراق على المشهور شهرة عظيمة، بل لم يُنقل الخلاف إلّاعن الحِلّي</w:t>
      </w:r>
      <w:r>
        <w:rPr>
          <w:rStyle w:val="FootnoteAnchor"/>
          <w:rtl w:val="true"/>
        </w:rPr>
        <w:footnoteReference w:id="885"/>
      </w:r>
      <w:r>
        <w:rPr>
          <w:rFonts w:ascii="Amiri" w:hAnsi="Amiri" w:eastAsia="Amiri" w:cs="Amiri"/>
          <w:color w:val="111111"/>
          <w:sz w:val="28"/>
          <w:sz w:val="28"/>
          <w:szCs w:val="28"/>
          <w:rtl w:val="true"/>
          <w:lang w:bidi="ar-SA"/>
        </w:rPr>
        <w:t xml:space="preserve">، حيث نُسب إليه إنّه منعَ عنه في النُّورة،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حيث قيّد الجواز فيهما بفقد التّراب، وهما غير مخالفين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ظاهر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منع عنه في النُّورة لا أرضها، والمتبادر منه إرادة ما بعد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الشيخ فالظاهر أنّه استند في هذا التفصيل إلى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من أنّ أرض النُّورة ليست غير الحَجَر، وبناؤه فيه على عدم جواز التيمّم بالحَجَر إلّا بعد فقد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للمشهور صدق الأرض عليهما، وصدق المعدن عليهما لو سُلّم لا ينافي ذلك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الجِصّ والنُّورة بعد الإحراق</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جماعةٍ‌</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التيمّم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نسبته في النُّورة إلى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علم الهدى‌</w:t>
      </w:r>
      <w:r>
        <w:rPr>
          <w:rStyle w:val="FootnoteAnchor"/>
          <w:rtl w:val="true"/>
        </w:rPr>
        <w:footnoteReference w:id="89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9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892"/>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9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894"/>
      </w:r>
      <w:r>
        <w:rPr>
          <w:rFonts w:ascii="Amiri" w:hAnsi="Amiri" w:eastAsia="Amiri" w:cs="Amiri"/>
          <w:color w:val="111111"/>
          <w:sz w:val="28"/>
          <w:sz w:val="28"/>
          <w:szCs w:val="28"/>
          <w:rtl w:val="true"/>
          <w:lang w:bidi="ar-SA"/>
        </w:rPr>
        <w:t>، وجماعة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التيمّم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الشهرة عليه، إذ المشهور بينهم جواز السجود عليهما، وهو يكشفُ عن بنائهم على عدم خروجهما بالإحراق عن كونهما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له صدق الأرض عليهما عرفاً، إذ الإحراق لا يوجبُ خروج الأرض عن حقيقتها، وإنْ شئتَ فاختبر ذلك من اللّحم المشويّ‌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يجري استصحاب جواز التيمّم، كما تمسّك به بعض‌؟</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يجري استصحاب بقاء الموضوع‌؟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لا يجري شيءٌ منهما؟</w:t>
      </w:r>
    </w:p>
    <w:p>
      <w:pPr>
        <w:pStyle w:val="BookText"/>
        <w:rPr/>
      </w:pPr>
      <w:r>
        <w:rPr>
          <w:rFonts w:ascii="Amiri" w:hAnsi="Amiri" w:eastAsia="Amiri" w:cs="Amiri"/>
          <w:color w:val="111111"/>
          <w:sz w:val="28"/>
          <w:sz w:val="28"/>
          <w:szCs w:val="28"/>
          <w:rtl w:val="true"/>
          <w:lang w:bidi="ar-SA"/>
        </w:rPr>
        <w:t>وجوهٌ وأقوال، أقواها الأخير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الاستصحاب الحكمي، فهو لا يجري من جهة الشكّ في بقاء موضوعه، لا لما قيل من كونه من الاستصحاب التعليقي، لعدم كونه منه، إذ المراد من جواز التيمّم هو الجواز الوضعي، لا الجواز بمعنى ترتّب الطهارة عليه، كي يقال إنّه معلّق على وجوده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الاستصحاب الموضوعي، فعدم جريانه إنّما يكون لأجل ما ذكرناه في الجزء الأوّل من هذا الشرح، من عدم جريانه في جميع موارد الشكّ في الاستحالة، لأنّه على فرض الاستحالة يكون ما اُحيل إليه غير ما اُحيل منه، وما كان متّصفاً بالأرضيّة سابقاً هو الثاني، وما اُريد إثباتها له في الزمان الأوّل هو الأوّل، فمع الشكّ فيها لا يجري استصحاب بقاء الأرضيّة، للشكّ في بقاء معروضها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استصحاب بقاء ذلك العنوان بنحو مفاد كان التامّة، يجري إذا ترتّب عليه الأثر، لكنّه لا يُثبت اتّصاف الموجود الخارجي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العمدة ما ذكرناه من عدم خروجها عن حقيقتها بالإحراق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جعفر، عن أبيه،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التيمّم بالجِصّ؟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بالرِّماد؟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ليس يخرجُ من الأرض إنّما يخرج من الشّجر</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w:t>
      </w:r>
      <w:r>
        <w:rPr>
          <w:rStyle w:val="FootnoteAnchor"/>
          <w:rtl w:val="true"/>
        </w:rPr>
        <w:footnoteReference w:id="896"/>
      </w:r>
      <w:r>
        <w:rPr>
          <w:rFonts w:ascii="Amiri" w:hAnsi="Amiri" w:eastAsia="Amiri" w:cs="Amiri"/>
          <w:color w:val="111111"/>
          <w:sz w:val="28"/>
          <w:sz w:val="28"/>
          <w:szCs w:val="28"/>
          <w:rtl w:val="true"/>
          <w:lang w:bidi="ar-SA"/>
        </w:rPr>
        <w:t>مع التفريع فيه بجواز التيمّم بالصَّفا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بضعف السند، واُخرى بإعراض المشهور عنهما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ضعف سند ما عن الراوندي، فهو كذلك، وأمّا خبر السكوني فلا نُسلّم ضعفه، إذ لا وجه له سوى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من أنّ السكوني الوارد اسمه في هذا السند ضعيفٌ‌، وهو كما ترى‌، إذ السكوني وإنْ كان من الألقاب المشتركة بين من يُعتمد عليه وغيره، إلّاأنّه عند الإطلاق يُراد به إسماعيل بن أبي زياد وهو ثقةٌ على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المشهور عنه فمردودة بما عن جماعةٍ من القدماء والمتأخّرين من الالتزام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جواز التيمّم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أوّلاً ظهر أنّ الأظهر جواز التيمّم بالطين المطبوخ كالخزف والآجر، كما يجوز السجود عليه، بل هو المشهور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الأشبه المنع، لأنّه خرج بالطبخ عن اسم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الشيء لا يخرج عن حقيقته بالشوي، على أنّ لازم ذلك عدم جواز السجود عليه، مع أنّه ممّن أفتى بالجواز، اعتذاره عن ذلك بأنّه قد يجوز السجود على ما ليس بأرض كالكاغذ والقرطاس أغرب، إذ الكاغذ والقرطاس قد دلَّ على جواز السجود عليهما نصٌّ خاص، وليس كذلك الطين المطبوخ، فمع عدم صدق الأرض عليه لابدَّ من البناء على عدم جواز السجود عليه، لما دلَّ على عدم جواز السجود على غير الأرض ونباتها، وعدم صدق نباتها عليه واضح</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54" w:name="pg11797_256882"/>
    </w:p>
    <w:p>
      <w:pPr>
        <w:pStyle w:val="Heading6"/>
        <w:numPr>
          <w:ilvl w:val="5"/>
          <w:numId w:val="1"/>
        </w:numPr>
        <w:rPr/>
      </w:pPr>
      <w:bookmarkStart w:id="355" w:name="__RefHeading___Toc10391162_73709187"/>
      <w:bookmarkStart w:id="356" w:name="_Toc132"/>
      <w:bookmarkEnd w:id="354"/>
      <w:bookmarkEnd w:id="355"/>
      <w:r>
        <w:rPr>
          <w:rtl w:val="true"/>
        </w:rPr>
        <w:t>التيمّم على المعادن</w:t>
      </w:r>
      <w:bookmarkEnd w:id="35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التيمّم على المعادن، كما هو المشهور شهرةً عظيمة،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Style w:val="FootnoteAnchor"/>
          <w:rtl w:val="true"/>
        </w:rPr>
        <w:footnoteReference w:id="89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Style w:val="FootnoteAnchor"/>
          <w:rtl w:val="true"/>
        </w:rPr>
        <w:footnoteReference w:id="9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يُنقل الخلاف إلّاعن ابن أبي عقيل</w:t>
      </w:r>
      <w:r>
        <w:rPr>
          <w:rStyle w:val="FootnoteAnchor"/>
          <w:rtl w:val="true"/>
        </w:rPr>
        <w:footnoteReference w:id="902"/>
      </w:r>
      <w:r>
        <w:rPr>
          <w:rFonts w:ascii="Amiri" w:hAnsi="Amiri" w:eastAsia="Amiri" w:cs="Amiri"/>
          <w:color w:val="111111"/>
          <w:sz w:val="28"/>
          <w:sz w:val="28"/>
          <w:szCs w:val="28"/>
          <w:rtl w:val="true"/>
          <w:lang w:bidi="ar-SA"/>
        </w:rPr>
        <w:t>حيث أنّه جوّز التيمّم بالأرض، وبكلّ ما كان من جنسها كالكُحل والزرنيخ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إنّما دلّت على جواز التيمّم بالأرض، وهي لا تصدق على المعادن، فلا يجوز التيمّم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المناط عدم صدق الأرض، فلو فرضنا صدقها على معدنٍ خاص، كبعض أنحاءالطين، جاز التيمّم به، لعدم الدليل على مانعيّة المعدنيّة، فالقول بعدم جواز التيمّم على المعدن، وإنْ صدق عليه اسم الأرض، 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وجهه إطلاق معاقد الإجماعات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المدّعى في المقام، ليس إجماعاً تعبّديّاً، لتمسّك المُجمعين في حكمهم بذلك إلى خروج المعدن عن اسم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لما اختاره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التعليل، لعدم جواز التيمّم بالرماد في خبر السكوني،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يخرجُ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بضعف سند الخبر، واُخرى بأنّه لا يفهم من التعليل إلّاالمنع من كلّ ما لم يخرج من الأرض، وأمّا الجواز بكلّ ما خرج منها فلا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أنّه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إنكار لحجّية مفهوم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الجواب عنه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الخروج في العلّة تبدّل الأرض إلى غيرها، لا ما هو الظاهر من لفظ الخروج، كما يشهد 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يخرجُ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يشمل المعادن والنباتات، فمفهومه أجنبيٌ عمّا استدلّ 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يدلّ على أنّ كلّ ما كان أصله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فعلاً ممّا لايصدق عليه اسم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التيمّم به، كالرّماد الذي استحيل إليه التّراب أو الحجارة، فإنْ كان إجماعٌ على عدم الجواز يرفع به اليد عن المفهوم، وإلّا فيؤخذ به كما أفتى بالجواز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في المثال، وعلى كلّ تقدير لا ربط له بما بنى عليه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ما بنى عليه المشهور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57" w:name="pg11797_256886"/>
    </w:p>
    <w:p>
      <w:pPr>
        <w:pStyle w:val="BookText"/>
        <w:rPr/>
      </w:pPr>
      <w:bookmarkEnd w:id="357"/>
      <w:r>
        <w:rPr>
          <w:rFonts w:ascii="Amiri" w:hAnsi="Amiri" w:eastAsia="Amiri" w:cs="Amiri"/>
          <w:color w:val="111111"/>
          <w:sz w:val="28"/>
          <w:sz w:val="28"/>
          <w:szCs w:val="28"/>
          <w:rtl w:val="true"/>
          <w:lang w:bidi="ar-SA"/>
        </w:rPr>
        <w:t>ويُكْره بالسَّبخة والرَّمل</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10391164_73709187"/>
      <w:bookmarkStart w:id="359" w:name="_Toc133"/>
      <w:bookmarkEnd w:id="358"/>
      <w:r>
        <w:rPr>
          <w:rtl w:val="true"/>
        </w:rPr>
        <w:t>يُكْره بالسَّبخة والرَّمل</w:t>
      </w:r>
      <w:bookmarkEnd w:id="35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أرض مالحة،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وهو مذهب فقهائنا أجمع، عدا ابن الجُنيد، فإنّه منع من السَّبخ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لجواز التيمّم بهما، ما تقدّم من الأدلّة الدالّة على جواز التيمّم بمطلق وجه الأرض، بعد وقوع اسم الأرض عليهما، ومنه يظهر ضعف ما عن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كراهيته، فلم أقف لها على دليلٍ‌، كما صرّح به الأساطين، وقاعدة التسامح قد مرّ اختصاصها بباب المستحبّات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الكراهة، إلّاأنّه ينبغي ترك التيمّم بهما، مع التمكّن من غيرهما، كما لا يخفى وجهه</w:t>
      </w:r>
      <w:r>
        <w:rPr>
          <w:rFonts w:eastAsia="Amiri" w:cs="Amiri" w:ascii="Amiri" w:hAnsi="Amiri"/>
          <w:color w:val="111111"/>
          <w:sz w:val="28"/>
          <w:szCs w:val="28"/>
          <w:rtl w:val="true"/>
          <w:lang w:bidi="ar-SA"/>
        </w:rPr>
        <w:t>.</w:t>
      </w:r>
      <w:bookmarkStart w:id="360" w:name="pg11797_256888"/>
    </w:p>
    <w:p>
      <w:pPr>
        <w:pStyle w:val="BookText"/>
        <w:rPr/>
      </w:pPr>
      <w:bookmarkEnd w:id="360"/>
      <w:r>
        <w:rPr>
          <w:rFonts w:ascii="Amiri" w:hAnsi="Amiri" w:eastAsia="Amiri" w:cs="Amiri"/>
          <w:color w:val="111111"/>
          <w:sz w:val="28"/>
          <w:sz w:val="28"/>
          <w:szCs w:val="28"/>
          <w:rtl w:val="true"/>
          <w:lang w:bidi="ar-SA"/>
        </w:rPr>
        <w:t>وَلو لَم يَجِدْ،</w:t>
      </w:r>
    </w:p>
    <w:p>
      <w:pPr>
        <w:pStyle w:val="Heading6"/>
        <w:numPr>
          <w:ilvl w:val="5"/>
          <w:numId w:val="1"/>
        </w:numPr>
        <w:rPr/>
      </w:pPr>
      <w:bookmarkStart w:id="361" w:name="__RefHeading___Toc10391166_73709187"/>
      <w:bookmarkStart w:id="362" w:name="_Toc134"/>
      <w:bookmarkEnd w:id="361"/>
      <w:r>
        <w:rPr>
          <w:rtl w:val="true"/>
        </w:rPr>
        <w:t>ما يصحّ التيمّم به عند فَقْد الأرض</w:t>
      </w:r>
      <w:bookmarkEnd w:id="362"/>
    </w:p>
    <w:p>
      <w:pPr>
        <w:pStyle w:val="Heading6"/>
        <w:numPr>
          <w:ilvl w:val="5"/>
          <w:numId w:val="1"/>
        </w:numPr>
        <w:rPr/>
      </w:pPr>
      <w:bookmarkStart w:id="363" w:name="__RefHeading___Toc10391168_73709187"/>
      <w:bookmarkStart w:id="364" w:name="_Toc135"/>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يتيمّم به من وجه الأرض، يتيمّم بغبار الثوب، أو اللَّبد، أو عُرف الدابّة ونحوها ممّا يجتمع فيه الغبار عادةً‌،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مذهب علمائنا، وقريب منه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الغبار لوجه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فقد الوَحَل في جواز التيمّم بالغبار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الاستشكال في تقديم الغبار على الوَحَل، بحسب الروايات، مع اعترافه بأنّ الأصحاب قاطعون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أصابه الثّلج، فلينظر لبد سَرْجه فيتيمّم من غباره أو شيء مغبّر، وإنْ كان في حالٍ لا يجد إلّاالطين، فلا بأس أن يتيمّم منه</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المواقف إنْ لم يكن على وضوء، كيف يصنع، ولا يقدر على النزول‌؟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من لبده أو سَرْجه أو معرفة دابّته، فإنّ فيها غباراً، ويُصلّي</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رفاعة،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ثلج فلينظر لبد سَرْجه فليتيمّم من غباره أو شيء مغبر، وإنْ كان في حالٍ لا يجد إلّاالطين فلا بأس أن يتيمّم منه</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حالٍ لا تقدر إلّاعلى الطين فتيمّم به، فإنّ اللّه أولى بالعُذر، إذا لم يكن معك ثوب جافٍ أو لِبدٌ تقدر أن تنفضه وتتيمّم به</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اُريد به الغبار الكثير الذي لو نَفَض ما فيه الغبار يصدق عليه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إليه الاستدلال المذكور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الجعفريّة</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 xml:space="preserve">لهذا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إلّاأنّه خارجٌ عن محلّ الكلام، فإنّ مورد الكلام هو التيمّم بالغبار لا بالتراب، وإلّا فلا دليل عليه بعد عدم صدق الصَّعيد عليه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الوَحَل، كما يشهد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خبر زرارة الآتي، فيكون مقدّماً على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عليه عُرفاً، والمراد من التعليل في الخبر أنّ أصله الصَّعيد، كما يشهد له قوله عليه السلام في مرسل علي بن 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صعيدٌ طيّبٌ وماءٌ طهور</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استشكاله في تقديم الغبار على الوَحَل، إنّ غير خبر أبي بصير من نصوص الباب لا دلالة فيها على ذلك، إذ بعضها واردٌ في المواقف الّتي لا يمكن من النزول إلى الأرض فيها، وبعضها مختصٌّ بحال الثّلج المانعة من الوصول إلى الأرض، وأمّا الخبر المذكور فضعيفُ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 السلام في صحيح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يجيب فيه الإمام عليه السلام عن حكم مَن هو عاجزٌ عن الوضوء والتيمّم لوجود الثّلج، حيث يأمره بالتيمّم بالغبار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 حالٍ لا يجدُ إلّاالطين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كالصريح في تقديم الغبار على الوَحَل، فإنّه يدلّ على أنّ طهوريّة الطين إنّما تكون بعد فَقْد ما يتيمّم به وعند الاضطرار، والقدر المتيقّن من إطلاقه هو صورة فَقْد الغبار، المجعول كونه طهوراً في أوّل الصحيح، فمقتضى مفهومه عدم جواز التيمّم به مع وجود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أغلب النصوص الواردة في حال الثّلج، تدلّ على هذا الأمر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أبي بصير لا يعدّ ضعيفاً من ناحية السَّند، لأنّ جميع رواته ثقات إماميّون، بل بعضهم من الأجلّاء والعظماء عندنا، كما يظهر لمن راجع سنده، فما في جملةٍ من الكتب من توصيفه بالصحّة 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 ولا أقلّ من المحتمل أن يكون المراد من نفضه في الصحيح، تحصيل التّراب منه بجمع غباره، على وجهٍ يتمكّن من التيمّم بالتراب، ولا إشكال في تقدّم ذلك على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الضمير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رجوعه إلى ما مع المريد للصّلاة لا إلى التّراب،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فهذا الاحتمال خلاف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توجيه توقّفه تقديم الغبار على الطين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نصوص التقديم معارضة بخبر زرارة، 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الأجمة ليس فيها ماءٌ وفيها طين ما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فإنّه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راكبٌ ولا يمكنه النزول من خوفٍ‌، وليس هو على وضوء؟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خاف على نفسه من سَبُعٍ أو غيره، وخاف فوات الوقت، فليتيمّم، يضرب بيده على اللّبد أو البرذعة ويتيمّم ويصلّي</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علي بن مطر،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الرَّجل لا يُصيب الماء ولا التّراب يتيمّم بالطين‌؟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صعيدٌ طيّب وماءٌ طهور</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ضعيفان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طريقه أحمد بن هلال، الصوفي المتصنّع، الذي ورد فيه ذمٌّ كثيرٌ من سيّدنا أبي محمّد العسكري عليه السلام، ورجع من التشيّع إلى النَّصب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الوَحَل 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فللإرسال، مع أنّ خبر زرارة إنّما يدلّ على تأخر مرتبة التيمّم باللّبد أو البرذعة عن التيمّم بالطين، لا على تأخر مرتبة التيمّم بما فيه الغبار عن الطين، كما لا يخفى، فهو يدلّ على كون المراتب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والمرسل مطلقٌ يقيّد بما إذا لم يتمكّن من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التعارض، لابدَّ من الرجوع إلى المرجّحات، والترجيح مع تلك النصوص من وجوه غير خفيّة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انه إنْ لم يجد وجه الأرض، يتيمّم بغبار الثوب أو باللّبد، أو بعُرف الدابّة ونحوها ممّا فيه غبار، كما أنّه لو لم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الوَحَل تيمّم به</w:t>
      </w:r>
      <w:r>
        <w:rPr>
          <w:rFonts w:eastAsia="Amiri" w:cs="Amiri" w:ascii="Amiri" w:hAnsi="Amiri"/>
          <w:color w:val="111111"/>
          <w:sz w:val="28"/>
          <w:szCs w:val="28"/>
          <w:rtl w:val="true"/>
          <w:lang w:bidi="ar-SA"/>
        </w:rPr>
        <w:t>).</w:t>
      </w:r>
      <w:bookmarkStart w:id="365" w:name="pg11797_256899"/>
    </w:p>
    <w:p>
      <w:pPr>
        <w:pStyle w:val="Heading6"/>
        <w:numPr>
          <w:ilvl w:val="5"/>
          <w:numId w:val="1"/>
        </w:numPr>
        <w:rPr/>
      </w:pPr>
      <w:bookmarkStart w:id="366" w:name="__RefHeading___Toc10391170_73709187"/>
      <w:bookmarkStart w:id="367" w:name="_Toc136"/>
      <w:bookmarkEnd w:id="365"/>
      <w:bookmarkEnd w:id="366"/>
      <w:r>
        <w:rPr>
          <w:rtl w:val="true"/>
        </w:rPr>
        <w:t>تنبيهات باب التيمّم</w:t>
      </w:r>
      <w:bookmarkEnd w:id="36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صحّة التيمّم بما فيه الغبار، صدق عنوان التيمّم على الغبار نفسه، لا مجرّد التيمّم على ما فيه الغبار، للأمر بذلك، وبالتيمّم بالمغبّر في النصوص المتقدّمة، وهما لا يصدقان إلّامع كون الغبار محسوساً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أبي بصير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معكَ ثوبٌ جافٌ أو لبدٌ تقدر على أن تنفضه وتتيمّم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عرفت من رجوع الضمير إلى الثوب أو اللّبد، فإنّه يدلّ على لزوم نفضه مقدّمةً للتيمّم، ولا وجه له سوى ظهور الغبار الكامن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بكفاية ضرب اليد على ذي الغبار، إمّا مطلقاً، أو بشرط انتشار الغبار منه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النصوص تضمّن الأمر بضرب اليد على اللّبد ونحوه، ومقتضى إطلاقه عدم اعتبار وجود الغبار، فضلاً عن كونه بارزاً، ولا تنافي ذلك النصوص الآمرة بالتيمّم بالغبار كي يقيّد إطلاقه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إنّ‌الخبرالمطلق ليس إلّاخبر زرارة المتقدّم، الذي عرفت أنّه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صحيح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فيها غباراً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بمفهومه على عدم صحّة التيمّم بما ليس فيه غبار، فيقيّد به إطلاق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هذا الصحيح، الاكتفاء بالتيمّم بما فيه الغبار، وإنْ لم يكن بارزاً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يقيّد إطلاقه بالأمر بالنفض في صحيح أبي بصير، الظاهر في شرطيّته </w:t>
      </w:r>
    </w:p>
    <w:p>
      <w:pPr>
        <w:pStyle w:val="BookText"/>
        <w:rPr/>
      </w:pPr>
      <w:r>
        <w:rPr>
          <w:rFonts w:ascii="Amiri" w:hAnsi="Amiri" w:eastAsia="Amiri" w:cs="Amiri"/>
          <w:color w:val="111111"/>
          <w:sz w:val="28"/>
          <w:sz w:val="28"/>
          <w:szCs w:val="28"/>
          <w:rtl w:val="true"/>
          <w:lang w:bidi="ar-SA"/>
        </w:rPr>
        <w:t>للتيمّم بما فيه الغبار، والظاهر منه ليس شرطيّته من حيث هو، بل لكونه مقدّمةً لبروز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هذا الحكم بغبار ثوبه، ولَبد سرجه، وعُرف دابّته، بلا خلافٍ‌، والتعبير بذلك في الكتب الفقهيّة إنّما هو لتبعيّة النص، والتعبير في النصوص إنّما يكون لإنحصار ما فيه الغبار مع المسافر بهذه الاُمور، ويشهد للتعميم، قوله عليه السلام في صحيح رفاعة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مغبّر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فيها غباراً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 في 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شيءٍ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ومقتضي إطلاقها التخيير بين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جماعةٍ من تقديم بعض المصاديق على بعض،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النصوص عدم اعتبار تقديم ما هو الأكثر غباراً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بقاعدة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مغروسية القاعدة في الذّهن توجب صرف الإطلاقات إلى ماتقتضيه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ثبوتها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بدوي يزول بأدنى تأمّل، لا سيّما بملاحظة اختلاف المذكورات في النصوص في كميّة الغبار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القوم في كيفيّة التيمّم بالطين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 صريح الحِلّي</w:t>
      </w:r>
      <w:r>
        <w:rPr>
          <w:rStyle w:val="FootnoteAnchor"/>
          <w:rtl w:val="true"/>
        </w:rPr>
        <w:footnoteReference w:id="922"/>
      </w:r>
      <w:r>
        <w:rPr>
          <w:rFonts w:ascii="Amiri" w:hAnsi="Amiri" w:eastAsia="Amiri" w:cs="Amiri"/>
          <w:color w:val="111111"/>
          <w:sz w:val="28"/>
          <w:sz w:val="28"/>
          <w:szCs w:val="28"/>
          <w:rtl w:val="true"/>
          <w:lang w:bidi="ar-SA"/>
        </w:rPr>
        <w:t xml:space="preserve">وغيره،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وغيرها</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يضرب يديه عليه، ويمسح بهما جبهته وظاهر 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يضع يديه ثمّ يرفعهما فيمسح إحداهما بالاُخرى‌، حتّى لا تبقى فيهما نداوة، ثمّ يمسح بهما جبهته ثمّ ظاهر 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في كتبه</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يضع يديه في الطين، ثمّ يفركه ويتيمّم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يديه على الوَحَل قليلاً ويتركه عليهما حتّى ييبس ثمّ ينفضه عن اليد ويتيمّم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إطلاق النصوص الواردة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مقتضي الإطلاق المقامي، اعتبار ما يعتبر في التيمّم بالصعيد في التيمّم به، وحيث أنّه يعتبر فيه المسح باليدين، فيعتبر في التيمّم بذلك أيضاً المتوقّف على إزالة الطين، وإلّا فيكون المسح بالحائل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أفاده الشيخ المفيد هو الأقوى، وإليه يرجع ما عن كتب الشيخ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على المتدبّر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بالطين إنّما يجوز إذا لم يمكن تجفيفه، وإلّا فيتعيّن عليه ذلك، وأمّا التيمّم بالصعيد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فيه، فإنّ التيمّم بالصعيد واجبٌ مطلق، يجب تحصيله إنْ أمكن ما لم يلزم ضررٌ أو حرج، وقوله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المراد به أنّه مادّته وأصله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 عليه السلام في جملةٍ من نصوص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 إلّاالطين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من ليس عنده إلّاالطين يتيمّم به، ومقتضى إطلاقه عدم اعتبار تحصيل الصَّعيد وإنْ أمكن، فإنّه من المقدّمات الوجوبيّة لا الوجوديّة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التمكّن منه، كما عرفت في أوّل هذا المبحث</w:t>
      </w:r>
      <w:r>
        <w:rPr>
          <w:rFonts w:eastAsia="Amiri" w:cs="Amiri" w:ascii="Amiri" w:hAnsi="Amiri"/>
          <w:color w:val="111111"/>
          <w:sz w:val="28"/>
          <w:szCs w:val="28"/>
          <w:rtl w:val="true"/>
          <w:lang w:bidi="ar-SA"/>
        </w:rPr>
        <w:t xml:space="preserve">. </w:t>
      </w:r>
      <w:bookmarkStart w:id="368" w:name="pg11797_256908"/>
    </w:p>
    <w:p>
      <w:pPr>
        <w:pStyle w:val="Heading6"/>
        <w:numPr>
          <w:ilvl w:val="5"/>
          <w:numId w:val="1"/>
        </w:numPr>
        <w:rPr/>
      </w:pPr>
      <w:bookmarkStart w:id="369" w:name="__RefHeading___Toc10391172_73709187"/>
      <w:bookmarkStart w:id="370" w:name="_Toc137"/>
      <w:bookmarkEnd w:id="368"/>
      <w:bookmarkEnd w:id="369"/>
      <w:r>
        <w:rPr>
          <w:rtl w:val="true"/>
        </w:rPr>
        <w:t>فاقد الطهورين</w:t>
      </w:r>
      <w:bookmarkEnd w:id="370"/>
    </w:p>
    <w:p>
      <w:pPr>
        <w:pStyle w:val="Heading6"/>
        <w:numPr>
          <w:ilvl w:val="5"/>
          <w:numId w:val="1"/>
        </w:numPr>
        <w:rPr/>
      </w:pPr>
      <w:bookmarkStart w:id="371" w:name="__RefHeading___Toc10391174_73709187"/>
      <w:bookmarkStart w:id="372" w:name="_Toc138"/>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يتعلّق بفاقد الطهورين، والكلام فيها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انحصار ما يتطهّر به ولو اضطراراً بالاُمور المذكورة، فمع فقدها يكون فاقد الطهورين، من غير فرقٍ بين أن يجد الثّلج أو الماء الجامد أو لا يجدهما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فاقد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أكثر الأصحاب، وهو أنّه إنْ أمكن الاغتسال أو التوضّي بالثّلج أو الماء الجامد، مع جريان الماء على الأعضاء وجب، ويكون مقدّماً على التيمّم بمراتبه، وإلّا فلا أمر باستعماله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928"/>
      </w:r>
      <w:r>
        <w:rPr>
          <w:rFonts w:ascii="IRNazanin" w:hAnsi="IRNazanin" w:eastAsia="IRNazanin"/>
          <w:color w:val="111111"/>
          <w:sz w:val="28"/>
          <w:sz w:val="28"/>
          <w:szCs w:val="28"/>
          <w:rtl w:val="true"/>
          <w:lang w:bidi="fa-IR"/>
        </w:rPr>
        <w:t xml:space="preserve">، ومحتمل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وهو تقديم التيمّم على الاغتسال بالثّلج، وإن حصل مسمّى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 ونَسبه إلى كتابي الأخبار، وهو تقديم إمساس نداوة الثّلج، وإنْ لم يحصل مُسمّى الغُسل به على التيمّم بالتراب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الشيخين في بعض كتبهما</w:t>
      </w:r>
      <w:r>
        <w:rPr>
          <w:rStyle w:val="FootnoteAnchor"/>
          <w:rtl w:val="true"/>
        </w:rPr>
        <w:footnoteReference w:id="932"/>
      </w:r>
      <w:r>
        <w:rPr>
          <w:rFonts w:ascii="Amiri" w:hAnsi="Amiri" w:eastAsia="Amiri" w:cs="Amiri"/>
          <w:color w:val="111111"/>
          <w:sz w:val="28"/>
          <w:sz w:val="28"/>
          <w:szCs w:val="28"/>
          <w:rtl w:val="true"/>
          <w:lang w:bidi="ar-SA"/>
        </w:rPr>
        <w:t>، وابني حمزة</w:t>
      </w:r>
      <w:r>
        <w:rPr>
          <w:rStyle w:val="FootnoteAnchor"/>
          <w:rtl w:val="true"/>
        </w:rPr>
        <w:footnoteReference w:id="933"/>
      </w:r>
      <w:r>
        <w:rPr>
          <w:rFonts w:ascii="Amiri" w:hAnsi="Amiri" w:eastAsia="Amiri" w:cs="Amiri"/>
          <w:color w:val="111111"/>
          <w:sz w:val="28"/>
          <w:sz w:val="28"/>
          <w:szCs w:val="28"/>
          <w:rtl w:val="true"/>
          <w:lang w:bidi="ar-SA"/>
        </w:rPr>
        <w:t>وسعيد</w:t>
      </w:r>
      <w:r>
        <w:rPr>
          <w:rStyle w:val="FootnoteAnchor"/>
          <w:rtl w:val="true"/>
        </w:rPr>
        <w:footnoteReference w:id="93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9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3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937"/>
      </w:r>
      <w:r>
        <w:rPr>
          <w:rFonts w:ascii="Amiri" w:hAnsi="Amiri" w:eastAsia="Amiri" w:cs="Amiri"/>
          <w:color w:val="111111"/>
          <w:sz w:val="28"/>
          <w:sz w:val="28"/>
          <w:szCs w:val="28"/>
          <w:rtl w:val="true"/>
          <w:lang w:bidi="ar-SA"/>
        </w:rPr>
        <w:t>وغيرها، وهو وجوب مسح أعضاء الطهارة بندواة الثّلج مطلقاً، غاية الأمر إنْ بلغت النداوة حَدّاً يجري على العضو المغسول، بحيث يُسمّى غُسلاً فهو مقدّمٌ على التيمّم، وإلّا فالتيمّم بالتراب مقدّم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Style w:val="FootnoteAnchor"/>
          <w:rtl w:val="true"/>
        </w:rPr>
        <w:footnoteReference w:id="9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939"/>
      </w:r>
      <w:r>
        <w:rPr>
          <w:rFonts w:ascii="Amiri" w:hAnsi="Amiri" w:eastAsia="Amiri" w:cs="Amiri"/>
          <w:color w:val="111111"/>
          <w:sz w:val="28"/>
          <w:sz w:val="28"/>
          <w:szCs w:val="28"/>
          <w:rtl w:val="true"/>
          <w:lang w:bidi="ar-SA"/>
        </w:rPr>
        <w:t>، وظاهر الكتاب</w:t>
      </w:r>
      <w:r>
        <w:rPr>
          <w:rStyle w:val="FootnoteAnchor"/>
          <w:rtl w:val="true"/>
        </w:rPr>
        <w:footnoteReference w:id="940"/>
      </w:r>
      <w:r>
        <w:rPr>
          <w:rFonts w:ascii="Amiri" w:hAnsi="Amiri" w:eastAsia="Amiri" w:cs="Amiri"/>
          <w:color w:val="111111"/>
          <w:sz w:val="28"/>
          <w:sz w:val="28"/>
          <w:szCs w:val="28"/>
          <w:rtl w:val="true"/>
          <w:lang w:bidi="ar-SA"/>
        </w:rPr>
        <w:t>من أنّه إنْ فَقَد الوَحَل يتيمّم بالثّلج أو الماء الجامد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الوجه في الاختلاف، الاختلاف في ما يستفاد من النصوص، فلابدَّ من الرجوع إليها، ومن جملة النصوص المستدلّ بها في المقام، نصوص</w:t>
      </w:r>
      <w:r>
        <w:rPr>
          <w:rStyle w:val="FootnoteAnchor"/>
          <w:rtl w:val="true"/>
        </w:rPr>
        <w:footnoteReference w:id="941"/>
      </w:r>
      <w:r>
        <w:rPr>
          <w:rFonts w:ascii="Amiri" w:hAnsi="Amiri" w:eastAsia="Amiri" w:cs="Amiri"/>
          <w:color w:val="111111"/>
          <w:sz w:val="28"/>
          <w:sz w:val="28"/>
          <w:szCs w:val="28"/>
          <w:rtl w:val="true"/>
          <w:lang w:bidi="ar-SA"/>
        </w:rPr>
        <w:t>التشبيه بحال الدهن، بدعوى أنّها تدلّ على عدم اعتبار جريان الماء في الوضوء، فهي من شواهد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الجزء الأوّل من هذا الشرح في مبحث الوضوء،</w:t>
      </w:r>
      <w:r>
        <w:rPr>
          <w:rStyle w:val="FootnoteAnchor"/>
          <w:rtl w:val="true"/>
        </w:rPr>
        <w:footnoteReference w:id="942"/>
      </w:r>
      <w:r>
        <w:rPr>
          <w:rFonts w:ascii="Amiri" w:hAnsi="Amiri" w:eastAsia="Amiri" w:cs="Amiri"/>
          <w:color w:val="111111"/>
          <w:sz w:val="28"/>
          <w:sz w:val="28"/>
          <w:szCs w:val="28"/>
          <w:rtl w:val="true"/>
          <w:lang w:bidi="ar-SA"/>
        </w:rPr>
        <w:t>من أنّ الجمع بينها وبين ما دلَّ على اعتبار الجريان، يقتضي أن يقال إنّها سيقت لبيان عدم اعتبار الماء الكثير، وأنّه يكفي ما يوجب جريان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 لبيان أقلّ أفراد مُسمّى الغُسل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في المسألة السابقة، من صحيحة رفاعة وغيرها، وظاهرها عدم جواز استعمال الثّلج مع التمكّن من التيمّم بالغبار أو الطين، ومقتضى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إطلاقها عدم الفرق بين ما إذا بَلَغت النّدواة حَدّاً تجري على العضو أم لا، فهي تدلّ على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الجريان، وإنْ سُلّم عدم شمول إطلاق الكتاب والسُنّة الآمرين باستعمال الماء له، بدعوى أنّ المتبادر منهما إرادة استعمال ما كان ماءً حال الاستعمال، لا ما انقلب إليه بالاستعمال، إلّاأنّ جملةً من النصوص ظاهرة في أنّه عند التمكّن من الوضوء أو الاغتسال حينئذٍ، يتعيّن ذلك، فيقيّد بها إطلاق هذه النصوص، ويُحمل على صورة لزوم الحَرَج من استعماله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أجنَبَ في سفرٍ ولم يجد إلّاالثّلج أو ماءً جامداً؟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الضرورة، يتيمّم ولا أرى أن يعود إلى هذه الأرض التي تُوبِقُ دينه</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به للقول الخامس، بدعوى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يجد ماءً ولا تراباً، وأنّ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التيمّم بالثّلج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به أيضاً للقول الثاني، بدعوى أنّ المراد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وجدان الماء والتّراب،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جميع الأعضاء، جرى الماء أم لم يجرِ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الماء، واُريد بالتيمّم معناه المصطلح، وهو قصد الصَّعيد، ولا ينافيه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لإمكان أن يكون ذلك لفوات الطهارة المائيّة، أو الطهارة من الخَبَث</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يُجنب في السّفر لا يجد إلّاالثّلج‌؟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بالثّلج أو ماء النهر</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945"/>
      </w:r>
      <w:r>
        <w:rPr>
          <w:rFonts w:ascii="IRNazanin" w:hAnsi="IRNazanin" w:eastAsia="IRNazanin"/>
          <w:color w:val="111111"/>
          <w:sz w:val="28"/>
          <w:sz w:val="28"/>
          <w:szCs w:val="28"/>
          <w:rtl w:val="true"/>
          <w:lang w:bidi="fa-IR"/>
        </w:rPr>
        <w:t>للقول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بالثّلج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الإجتزاء بالمماسّة، بل ظاهره اعتبار الجريان لأخذه في مفهوم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الاغتسال إذا عُلّق بشيء، اقتضى جريان ذلك الشيء على العضو، أمّا حقيقة الماء فنمنع ذلك، وعليه فظاهر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لزوم إجراء الثّلج على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الغُسل حقيقة في الغَسل بالماء لا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به للقول الثاني، فهو يتوقّف على إرادة عدم وجدان ما يتطهّر به مطلقاً،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 إلّاالثّلج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نظرٍ بل منع، إذ الظاهر منه عدم وجدان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معاوية بن 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وأنا عنده،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يصيبنا الدّمق والثّلج، ونريد ان نتوضّأ ولا نجد إلّاماءً جامداً، فكيف أتوضّأ، أدلكُ به جلدي‌؟ قال عليه السلام نعم</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47"/>
      </w:r>
      <w:r>
        <w:rPr>
          <w:rFonts w:ascii="IRNazanin" w:hAnsi="IRNazanin" w:eastAsia="IRNazanin"/>
          <w:color w:val="111111"/>
          <w:sz w:val="28"/>
          <w:sz w:val="28"/>
          <w:szCs w:val="28"/>
          <w:rtl w:val="true"/>
          <w:lang w:bidi="fa-IR"/>
        </w:rPr>
        <w:t>للقول الثالث</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محط السؤال والجواب، هو قيام الماء الجامد مقام الماء المطلق، وأنّه أيضاً يُستعمل في الوضوء، فيدلّ على عدم اعتبار كون المستعمل ماءٌ حين الاستعمال، ويكفي ما لو انقلب إليه بالاستعمال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الشروط المعتبرة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الوضوء، فهذا الخبر ساكتٌ عنها، فيرجع فيها إلى ما دلَّ على اعتبارها في الوضوء، ومنها إجراء الماء، مع أنّه لو سُلّم إطلاقه وشموله لصورة عدم الجريان، فيقيّد بما دلَّ على اعتباره في الوضوء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الجُنُب أو على غير وضوءٍ‌، لا يكون معه ماءٌ‌، وهو يصيبُ ثلجاً وصعيداً، 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أيتيمّم أم يمسح بالثّلج وجهه‌؟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 إذا بلَّ رأسه وجسده أفضل، فإنْ لم يقدر على أن يغتسل به فليتيمّم</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خبره الآخر</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بهما أيضاً للقول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إلّاأنّه يقيّد إطلاقه بقوله عليه السلام في ذيلهما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يقدِر على أن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لأخذ الجريان في مفهوم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صدره التخيير بين التيمّم والغُسل أو الوضوء، فلو كان المراد ما ذُكرت لما كان وجهٌ للتخيير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إرادة التعيين من الأفضليّة، كما يشهد له قوله في الذيل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يقدر على أن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القول بالتخيير، من جهة غلبة كون الوضوء أو الغَسل في الفرض حَرَجيّاً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ثبوت التخيير في موارد الحَرَج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 هذه النصوص شيءٌ سوى الأمر بالوضوء أو الغُسل بالثّلج، إذا بلغت النّداوة حَدّاً تجري على العضو المغسول، بحيث يُسمّى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مقدّم على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استدلّ للقول الرابع، بقاعدة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ثبتت كان مقتضاها 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ثابتة بنفسها كما أشرنا إليه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ثبوتها، فإنّما هو في الأجزاء الخارجيّة دون التحليليّة، فلا يصحّ أن يقال إنّه عند التمكّن كان يجبُ‌، بل مواضع الوضوء بالماء وإجرائه عليها، فلو تعسّر الثاني لا يسقط وجوب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للقائلين بالتيمّم بالثّلج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وباستصحاب بقاء التكليف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لا تَدَعُ بحال</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البراءة عن وجوب التيمّم به، تكون حاكمة على قاعدة الاحتياط والاستصحاب، والخبر لا يقتضي التيمّم بالثّلج، كما لا يقتضي التيمّم بالمطعوم عند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من مجموع ما ذكرناه، أنّ للتيمّم ثلاث مراتب، ومع فَقْد الجميع يكون فاقد الطهورين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73" w:name="pg11797_256921"/>
    </w:p>
    <w:p>
      <w:pPr>
        <w:pStyle w:val="Heading6"/>
        <w:numPr>
          <w:ilvl w:val="5"/>
          <w:numId w:val="1"/>
        </w:numPr>
        <w:rPr/>
      </w:pPr>
      <w:bookmarkStart w:id="374" w:name="__RefHeading___Toc10391176_73709187"/>
      <w:bookmarkStart w:id="375" w:name="_Toc139"/>
      <w:bookmarkEnd w:id="373"/>
      <w:bookmarkEnd w:id="374"/>
      <w:r>
        <w:rPr>
          <w:rtl w:val="true"/>
        </w:rPr>
        <w:t>حكم فاقد الطهورين</w:t>
      </w:r>
      <w:bookmarkEnd w:id="375"/>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الأداء فاقداً، والقضاء مع أحد الطهورين إنْ 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xml:space="preserve">إلى القيل،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لم نعرف قائله، وعن بعضٍ نسبته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الأداء خاصّة، وهو المنسوب إلى جدّ السيّد</w:t>
      </w:r>
      <w:r>
        <w:rPr>
          <w:rStyle w:val="FootnoteAnchor"/>
          <w:rtl w:val="true"/>
        </w:rPr>
        <w:footnoteReference w:id="954"/>
      </w:r>
      <w:r>
        <w:rPr>
          <w:rFonts w:ascii="Amiri" w:hAnsi="Amiri" w:eastAsia="Amiri" w:cs="Amiri"/>
          <w:color w:val="111111"/>
          <w:sz w:val="28"/>
          <w:sz w:val="28"/>
          <w:szCs w:val="28"/>
          <w:rtl w:val="true"/>
          <w:lang w:bidi="ar-SA"/>
        </w:rPr>
        <w:t>، ومالَ إليه المُحدِّث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الأداء ووجوب القضاء، وهو المشهور بين الأصحاب،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 الأداء فهو مذهب الأصحاب لا نعلم فيه مخالفاًصريحاً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9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الأداء والقضاء عليه، و هوالذى اختاره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9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959"/>
      </w:r>
      <w:r>
        <w:rPr>
          <w:rFonts w:ascii="Amiri" w:hAnsi="Amiri" w:eastAsia="Amiri" w:cs="Amiri"/>
          <w:color w:val="111111"/>
          <w:sz w:val="28"/>
          <w:sz w:val="28"/>
          <w:szCs w:val="28"/>
          <w:rtl w:val="true"/>
          <w:lang w:bidi="ar-SA"/>
        </w:rPr>
        <w:t>، والمصنّف في جملةٍ من كتبه</w:t>
      </w:r>
      <w:r>
        <w:rPr>
          <w:rStyle w:val="FootnoteAnchor"/>
          <w:rtl w:val="true"/>
        </w:rPr>
        <w:footnoteReference w:id="960"/>
      </w:r>
      <w:r>
        <w:rPr>
          <w:rFonts w:ascii="Amiri" w:hAnsi="Amiri" w:eastAsia="Amiri" w:cs="Amiri"/>
          <w:color w:val="111111"/>
          <w:sz w:val="28"/>
          <w:sz w:val="28"/>
          <w:szCs w:val="28"/>
          <w:rtl w:val="true"/>
          <w:lang w:bidi="ar-SA"/>
        </w:rPr>
        <w:t>، والمحقّق الثاني</w:t>
      </w:r>
      <w:r>
        <w:rPr>
          <w:rStyle w:val="FootnoteAnchor"/>
          <w:rtl w:val="true"/>
        </w:rPr>
        <w:footnoteReference w:id="961"/>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الأداء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القضاء وسقوطه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لسقوط الأداء، قوله عليه السلام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إلّابطهور</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فإنّه يدلّ على أنّ الصّلاة لا تتحقّق بدون الطهارة، ومقتضاه العجز عن الصّلاة في هذا المورد، فلا أمر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لوجوب الأداء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الصّلاة لا تسقط بحال للإجماع 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ولقول الإمام الباقر عليه السلام، في صحيح زرارة، الوارد في النفساء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تَدَعُ الصّلاة على حال</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مافي مرسل يونس الطويل، فإنّ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تَدَع الصّلاة بحالٍ‌</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وبقاعدة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الطهارة من شروط الصحّة لا الوجوب، فهي كغيرها من الساتر والقبلة وباقي شروط الصحّة إنّما تجب مع إمكانها، وإلّا لكانت الصّلاة من قبيل الواجب المقيّد كالحجّ‌، والأصوليّون على خلافه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وباستصحاب بقاء وجوب ذات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الجميع نظر، إذ ما دلَّ على عدم سقوط الصّلاة بحال، لا يصلحُ أن يكون دليلاً لوجوب الصّلاة في المقام، لا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من أنّه قد يراد ما يعمّ القضاء، فإنّه خلاف الظاهر، ولا لما ذكره بعض الأعاظم</w:t>
      </w:r>
      <w:r>
        <w:rPr>
          <w:rStyle w:val="FootnoteAnchor"/>
          <w:rtl w:val="true"/>
        </w:rPr>
        <w:footnoteReference w:id="966"/>
      </w:r>
      <w:r>
        <w:rPr>
          <w:rFonts w:ascii="Amiri" w:hAnsi="Amiri" w:eastAsia="Amiri" w:cs="Amiri"/>
          <w:color w:val="111111"/>
          <w:sz w:val="28"/>
          <w:sz w:val="28"/>
          <w:szCs w:val="28"/>
          <w:rtl w:val="true"/>
          <w:lang w:bidi="ar-SA"/>
        </w:rPr>
        <w:t>من اختصاص الخبرين بموردهما، فإنّه إنْ تمَّ فيهما لا يتمّ في الإجماع، مع أنّه لا يتمّ فيهما أيضاً للعلم بعدم الخصوصيّة، كما يشهد له استدلال الفقهاء بهما في غير موردهما، بل لأنّ صحيح زرارة حاكمٌ على هذه الأدلّة، فإنّه يدلّ على نفي حقيقة الصّلاة بدون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غير مرّةٍ أنّها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الأوّليّة سقوط الواجب بتعذّر كلّ قيدٍ من قيوده، إلّاأنّه لأجل الدليل غير الشامل للمقام، حكمنا بعدم سقوط الصّلاة بتعذّر بعض أجزائها وشروطها غير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تعذّرها، فوجوب الصّلاة ساقطٌ، وليس لازم ذلك كون الطهارة من شروط الوجوب، فإنّ مقتضى دليل اعتبارها بطلان الصّلاة بدونها، والباطلُ لا يُؤمر به، والصحيح خارج عن تحت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 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جرى فإنّما هو فيما إذا طرأ الفقدان، ولا مورد له فيما إذا كان مقارناً لأوّل الوقت لعدم اليقين بالثبوت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المحقّق النائيني رحمه الله</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بين الموردين بدعوى أنّ جريان الاستصحاب في الأحكام الكليّة لا يتوقّف على فعليّة الموضوع خارجاً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منشأ الشكّ في بقاء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كان هو احتمال النسخ، فيجري استصحاب عدمه، وبقاء الحكم بلا دخلٍ للموضوع الخارجي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الشكّ في حدّ الحكم الفعلي، الموجب للشكّ في سعة الحكم وضيقه، كما إذا شكّ في أنّ حرمة وطء الحائض هل ترتفع بارتفاع الحيض أم لا ترتفع إلّابالاغتسال، فبناءً على جريان الاستصحاب في الأحكام الكليّة، لا يتوقّف جريانه على فعليّة الموضوع، بل المُفتي يفرض المرأة حائضاً ثبتت حرمة وطئها، وشكّ في ارتفاعها بالانقطاع، فيُجري الاستصحاب ويفتي ببقاء الحرمة إلى حين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هذين الموردين يجري الاستصحاب من جهة تماميّة اركان الاستصحاب، وهو العلم بالحدوث والشكّ في البقاء، وهذا بخلاف المقام ممّا لا علم بالحدوث، فإنّ جعل وجوب الصّلاة لهذا الشخص غير معلوم، وثبوت وجوبها لغيره أو له في غير هذه الحالة، لا يصحّح جريان الاستصحاب، كما لا يخفى، 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إنْ اُريد بالاستصحاب، استصحاب التكليف الجامع بين الضمني والاستقلالي، الثابت للأجزاء غير القيد المتعذّر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القسم الثالث من استصحاب الكلّي، ولا نقول به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اُريد به استصحاب التكليف الاستقلالي الثابت للمركّب قبل التعذّر، إذا لم يكن المتعذّر من القيود المقومة، بأنْ يُقال إنّ المركّب الفاقد للقيد المتعذّر الذي هو متّحدٌ مع الواجد له عرفاً، كان مأموراً به قبل التعذّر فيستصحب بقائه، أو استصحاب التكليف الضمني المتعلّق بكلّ واحدٍ من الأجزاء قبل التعذّر، بدعوى أنّه بتعلّق التكليف بالمركّب ينبسط الأمر على الأجزاء بالأمر، فبعد ارتفاع تعلّقه، </w:t>
      </w:r>
    </w:p>
    <w:p>
      <w:pPr>
        <w:pStyle w:val="BookText"/>
        <w:rPr/>
      </w:pPr>
      <w:r>
        <w:rPr>
          <w:rFonts w:ascii="Amiri" w:hAnsi="Amiri" w:eastAsia="Amiri" w:cs="Amiri"/>
          <w:color w:val="111111"/>
          <w:sz w:val="28"/>
          <w:sz w:val="28"/>
          <w:szCs w:val="28"/>
          <w:rtl w:val="true"/>
          <w:lang w:bidi="ar-SA"/>
        </w:rPr>
        <w:t>وانبساطه عن الجزء المتعذّر يشكّ فى ارتفاع انبساطه علي سائر الأجزاء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 من عدم جريان الاستصحاب في الأحكام، إذا كان الشكّ فيها من جهة الجهل بكيفيّة الجعل، لكونه محكوماً لاستصحاب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يرفع احتمال الوجوب، فإنّ الظاهر منه اعتبار الطهارة في جميع مراتب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الأقوى سقوط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لوجوب القضاء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بعموم</w:t>
      </w:r>
      <w:r>
        <w:rPr>
          <w:rStyle w:val="FootnoteAnchor"/>
          <w:rtl w:val="true"/>
        </w:rPr>
        <w:footnoteReference w:id="968"/>
      </w:r>
      <w:r>
        <w:rPr>
          <w:rFonts w:ascii="Amiri" w:hAnsi="Amiri" w:eastAsia="Amiri" w:cs="Amiri"/>
          <w:color w:val="111111"/>
          <w:sz w:val="28"/>
          <w:sz w:val="28"/>
          <w:szCs w:val="28"/>
          <w:rtl w:val="true"/>
          <w:lang w:bidi="ar-SA"/>
        </w:rPr>
        <w:t>ما دلَّ على قضاء ما فات، لكفاية وجود الملاك في صدق الفوت، وهو حاصلٌ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المستفاد من مجموع الأخبار الواردة في القضاء، أنّ وجوب قضاء الفرائض على من لم يأت بها في وقتها، كان من الاُمور المعهودة لديهم، بل يستفاد منها أنّ الأمر المتعلّق بالصلاة في أوقاتها من قبيل تعدّد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في موارد ثبوت التكليف وعدم امتثاله، يصدق الفوت، كما أنّه يصدق في صورة وجود الملاك الملزم، وإنْ لم يثبت التكليف، كالنائم والسّاهي المستَكشف من النصوص الدالّة على وجوب القضاء عليهما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يكن التكليف ثابتاً، ولم يَحرز وجود الملاك كما في المقام، فإنّه يحتمل أنْ لا تكون الصّلاة للمُحْدِث غير المتمكّن من تحصيل الطهارة ذاتِ ملاكٍ ملزم، بل تكون كالصلاة للحائض، فلا يكون صدق الفوت على الترك حينئذٍ معلوماً،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للتمسّك بتلك الأدلّة، إلّابناءً على جواز التمسّك بالعام في الشبهات الموضوعيّة،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 فاقد الطهورين على النّائم والسّاهي، قياسٌ مع الفارق، لورود النص فيهما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المستفاد منها وإنْ كان ما ذُكر من أنّ وجوب القضاء كان من الاُمور المعهودة لديهم، لكن لا يستفاد منها أنّ موضوعه ترك الصّلاة في وقتها مطلقاً، وإنْ لم يكن تكليفٌ بها، ولم يَحرز وجود الملاك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فتلك المغروسيّة والمعهوديّة لا تكفي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استفادة أنّ التكليف بالصلاة في أوقاتها، من قبيل تعدّد المطلوب، فعُهدة إثباتها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عدم وجوب القضاء عليه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الأقوى هو القول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بوجوب تحصيل ما يتيمّم به إذا لم يكن عنده، وهو في الجملة ممّا لا كلام فيه، لأنّ وجوب الطهارة ليس مشروطاً بوجود ما تحصل به عنده، كي لا يجبُ تحصيله، بل وجوبها مطلق، ومقتضاه وجوب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لو كان الشراء مستلزماً لبذل مالٍ مُعتدّ به، فقد استدلّ لوجوبه في هذا الفرض، إذا لم يكن مُضرّاً بحاله، مع أنّ مقتضى عموم ما دلَّ على نفي الضَّرر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المستفاد من قوله عليه السلام في بعض تلك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يشتري به مال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أهميّة الطهارة مطلقاً بالنسبة إلى الضَّرر، لا خصوص المائيّة منها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أدلّة التنزيل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إطلاق له من جهة المائيّة والترابيّة، واستفادة حكم الترابيّة منه بتنقيح المناط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تلك النصوص في مقام بيان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من ليس عنده الماء، ولكن يتمكّن من تحصيله بالشراء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الشراء إنْ كان بثمن المثل، فيجبُ ولا يشمله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بأكثر منه، فلا يجب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 وراجع ما ذكرناه في تلك المسألة</w:t>
      </w:r>
      <w:r>
        <w:rPr>
          <w:rFonts w:eastAsia="Amiri" w:cs="Amiri" w:ascii="Amiri" w:hAnsi="Amiri"/>
          <w:color w:val="111111"/>
          <w:sz w:val="28"/>
          <w:szCs w:val="28"/>
          <w:rtl w:val="true"/>
          <w:lang w:bidi="ar-SA"/>
        </w:rPr>
        <w:t>.</w:t>
      </w:r>
      <w:bookmarkStart w:id="376" w:name="pg11797_256935"/>
    </w:p>
    <w:p>
      <w:pPr>
        <w:pStyle w:val="Heading6"/>
        <w:numPr>
          <w:ilvl w:val="5"/>
          <w:numId w:val="1"/>
        </w:numPr>
        <w:rPr/>
      </w:pPr>
      <w:bookmarkStart w:id="377" w:name="__RefHeading___Toc10391178_73709187"/>
      <w:bookmarkStart w:id="378" w:name="_Toc140"/>
      <w:bookmarkEnd w:id="376"/>
      <w:bookmarkEnd w:id="377"/>
      <w:r>
        <w:rPr>
          <w:rtl w:val="true"/>
        </w:rPr>
        <w:t>شروط ما يتيمّم به</w:t>
      </w:r>
      <w:bookmarkEnd w:id="378"/>
    </w:p>
    <w:p>
      <w:pPr>
        <w:pStyle w:val="Heading6"/>
        <w:numPr>
          <w:ilvl w:val="5"/>
          <w:numId w:val="1"/>
        </w:numPr>
        <w:rPr/>
      </w:pPr>
      <w:bookmarkStart w:id="379" w:name="__RefHeading___Toc10391180_73709187"/>
      <w:bookmarkStart w:id="380" w:name="_Toc141"/>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ما يتيمّم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اُمور</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10391182_73709187"/>
      <w:bookmarkStart w:id="382" w:name="_Toc142"/>
      <w:bookmarkEnd w:id="381"/>
      <w:r>
        <w:rPr>
          <w:rtl w:val="true"/>
        </w:rPr>
        <w:t>اليبوسة مع الإمكان</w:t>
      </w:r>
      <w:bookmarkEnd w:id="382"/>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اليبوسة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صحيح رفاعة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أجفّ موضعٍ تجده فتيمّم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ظاهره تقديم الأجفّ على غيره، وحيثُ أنّه يدلّ على جواز التيمّم بالأرض المبتلّة، فهو يدلّ على اعتبار الجفاف مع الإمكان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صحّة الاستدلال به على جواز التيمّم بالأرض النديّة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بعض الأعاظم</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يحمل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مبتلّةٌ ليس فيها ماءٌ ولا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الطين الذي هو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جهة جعل الطين في نفس هذا الصحيح المرتبة الثالثة لما يتيمّم به، لا مورد لهذا الحمل، كما لا يخفى‌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اعتبار الأجفيّة في الأرض المبتلّة لا مطلقاً، فلا يدلّ على اعتبار الجفاف بقولٍ مطلق</w:t>
      </w:r>
      <w:r>
        <w:rPr>
          <w:rFonts w:eastAsia="Amiri" w:cs="Amiri" w:ascii="Amiri" w:hAnsi="Amiri"/>
          <w:color w:val="111111"/>
          <w:sz w:val="28"/>
          <w:szCs w:val="28"/>
          <w:rtl w:val="true"/>
          <w:lang w:bidi="ar-SA"/>
        </w:rPr>
        <w:t xml:space="preserve">. </w:t>
      </w:r>
      <w:bookmarkStart w:id="383" w:name="pg11797_256938"/>
    </w:p>
    <w:p>
      <w:pPr>
        <w:pStyle w:val="BookText"/>
        <w:rPr/>
      </w:pPr>
      <w:bookmarkEnd w:id="38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تقديم الجاف على غيره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الجفاف مع التمكّن منه، إلّاأنّه لأجل عدم إفتاء الأساطين به يتعيّن التوقّف في الفتوى، فالأحوط لزوماً مراعاتها</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10391184_73709187"/>
      <w:bookmarkStart w:id="385" w:name="_Toc143"/>
      <w:bookmarkEnd w:id="384"/>
      <w:r>
        <w:rPr>
          <w:rtl w:val="true"/>
        </w:rPr>
        <w:t>أن يكون طاهراً</w:t>
      </w:r>
      <w:bookmarkEnd w:id="385"/>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اعتبار أن يكون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7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97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بالقاعدة المرتكزة من أنّ فاقد الشيء لا يُعطيه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وبانصراف الأدلّة إليه، ولو بقرينة القاعدة، إذ هي توجب دلالة الكلام على اعتبار الطهارة في المطهّر، كما توجب دلالته على نجاسة المنجّس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النجس لا يعقل أن يكون مطهّراً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صَعِيداً طَيِّباً </w:t>
      </w:r>
      <w:r>
        <w:rPr>
          <w:rStyle w:val="FootnoteAnchor"/>
          <w:rtl w:val="true"/>
        </w:rPr>
        <w:footnoteReference w:id="977"/>
      </w:r>
      <w:r>
        <w:rPr>
          <w:rFonts w:ascii="Amiri" w:hAnsi="Amiri" w:eastAsia="Amiri" w:cs="Amiri"/>
          <w:color w:val="111111"/>
          <w:sz w:val="28"/>
          <w:sz w:val="28"/>
          <w:szCs w:val="28"/>
          <w:rtl w:val="true"/>
          <w:lang w:bidi="ar-SA"/>
        </w:rPr>
        <w:t>لدخول الطهارة في مفهوم الطيب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الطاهر، كما عن غير واحدٍ تفسيره به، بل عن المحقّق الثاني</w:t>
      </w:r>
      <w:r>
        <w:rPr>
          <w:rStyle w:val="FootnoteAnchor"/>
          <w:rtl w:val="true"/>
        </w:rPr>
        <w:footnoteReference w:id="978"/>
      </w:r>
      <w:r>
        <w:rPr>
          <w:rFonts w:ascii="Amiri" w:hAnsi="Amiri" w:eastAsia="Amiri" w:cs="Amiri"/>
          <w:color w:val="111111"/>
          <w:sz w:val="28"/>
          <w:sz w:val="28"/>
          <w:szCs w:val="28"/>
          <w:rtl w:val="true"/>
          <w:lang w:bidi="ar-SA"/>
        </w:rPr>
        <w:t>نسبته إلى المفسّرين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بالمكان الذي ينحدر عنه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الأخبار المستفيضة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الطهور هو الطاهر المطهر، فإذا عرضتها النجاسة لا تُوصف بالطهوريّة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أدلّة التنزيل</w:t>
      </w:r>
      <w:r>
        <w:rPr>
          <w:rStyle w:val="FootnoteAnchor"/>
          <w:rtl w:val="true"/>
        </w:rPr>
        <w:footnoteReference w:id="980"/>
      </w:r>
      <w:r>
        <w:rPr>
          <w:rFonts w:ascii="Amiri" w:hAnsi="Amiri" w:eastAsia="Amiri" w:cs="Amiri"/>
          <w:color w:val="111111"/>
          <w:sz w:val="28"/>
          <w:sz w:val="28"/>
          <w:szCs w:val="28"/>
          <w:rtl w:val="true"/>
          <w:lang w:bidi="ar-SA"/>
        </w:rPr>
        <w:t>بضميمة ما دلَّ على اعتبار الطهارة في الماء الذي يتطهّر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أنّه لا مورد للرجوع إلى المرتكزات العرفيّة في مثل هذا الحكم التعبّدي المحض، الذي لا سبيل للعرف إلى فهم ملاكه وحكمته، وليس ممّا عليه بنائهم، كما يشهد له أنّ الماء والتّراب لا يكونان طاهرين من الحَدَث، ومع ذلك يعطيان الطهارة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تمّت فلا ربط لها بالمقام، إذ مفاد تلك القاعدة عدم كون فاقد الشيء معطياً له، لا شيء آخر، وفي المقام الأرض تكون فاقدة للطهارة الخَبَثيّة، فلا تدلّ القاعدة على عدم كونها معطية للطهارة الحَدَثية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ما فيه ممّا ذكرناه في الأوّل، إذ لو سُلّم الانصراف بدواً بملاحظة القاعدة، لا ريب في كونه زائلاً بأدنى تأمّلٍ والتفات، ومثل هذا الانصراف لا يصلح أن يكون مقيّداً للإطلاق</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إلى الأوّل فيردّ عليه بمثل ما تقدّم، وإنْ اُريد به غيره، فهو غير تامٍّ‌، لعدم حكم العقل بامتناع مطهّريّة النجس، بل الماء القليل 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مطهّراً، مع أنّه في آن مطهريّته يكون محكوماً بالنجاسة بالملاقاة مع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على ما صرّح به اللّغويون</w:t>
      </w:r>
      <w:r>
        <w:rPr>
          <w:rStyle w:val="FootnoteAnchor"/>
          <w:rtl w:val="true"/>
        </w:rPr>
        <w:footnoteReference w:id="981"/>
      </w:r>
      <w:r>
        <w:rPr>
          <w:rFonts w:ascii="Amiri" w:hAnsi="Amiri" w:eastAsia="Amiri" w:cs="Amiri"/>
          <w:color w:val="111111"/>
          <w:sz w:val="28"/>
          <w:sz w:val="28"/>
          <w:szCs w:val="28"/>
          <w:rtl w:val="true"/>
          <w:lang w:bidi="ar-SA"/>
        </w:rPr>
        <w:t>هو ضدّ الخبيث، وما يكون خيره كثيراً، والحلال، وما يُنبت،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اَلطَّيِّبُ يَخْرُجُ نَباتُهُ بِإِذْنِ رَبِّهِ‌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الجامع بين هذه المعاني، هو الثاني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ليست الطهارة إحدى معانيه لغةً‌، وتفسير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احتمال أن يكون تفسيرهم لأجل تسالمهم على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بنحوٍ يُقدّم على قول اللّغوين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المرويّ عن معاني الأخبار فهو لا يدلّ عليه، إذ لا تلازم بين كون المحلّ ممّا ينحدر عنه الماء، وكونه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ما تقدّم في أوّل الجزء الأوّل من هذا الشرح من أنّ كون الطهور بمعنى الطاهر المطهّر، محلّ تأمّلٍ‌، بل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معناه ذلك، لا يدلّ النبوي إلّاعلى ثبوت هذين الحكمين له، وأمّا كون أحدهما شرطاً للآخر فهو أجنبيٌ عن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يستفاد من أخبار التيمّم مساواته للطهارة المائيّة في جميع الأحكام إلّاما خرج بالدليل، حتّى مثل هذه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هذاالحكم هو الإجماع القطعي، ويؤيّده إطلاق أدلّة التنزيل، وما عن المفسّرين من تفسير الطيب بالطهارة، فلا ينبغي التوقّف في الحكم، فتأمّل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86" w:name="pg11797_256943"/>
    </w:p>
    <w:p>
      <w:pPr>
        <w:pStyle w:val="Heading6"/>
        <w:numPr>
          <w:ilvl w:val="5"/>
          <w:numId w:val="1"/>
        </w:numPr>
        <w:rPr/>
      </w:pPr>
      <w:bookmarkStart w:id="387" w:name="__RefHeading___Toc10391186_73709187"/>
      <w:bookmarkStart w:id="388" w:name="_Toc144"/>
      <w:bookmarkEnd w:id="386"/>
      <w:bookmarkEnd w:id="387"/>
      <w:r>
        <w:rPr>
          <w:rtl w:val="true"/>
        </w:rPr>
        <w:t>اعتبار الإباحة</w:t>
      </w:r>
      <w:bookmarkEnd w:id="388"/>
    </w:p>
    <w:p>
      <w:pPr>
        <w:pStyle w:val="Heading6"/>
        <w:numPr>
          <w:ilvl w:val="5"/>
          <w:numId w:val="1"/>
        </w:numPr>
        <w:rPr/>
      </w:pPr>
      <w:bookmarkStart w:id="389" w:name="__RefHeading___Toc10391188_73709187"/>
      <w:bookmarkStart w:id="390" w:name="_Toc145"/>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باعتبار إباحة ما يتيمّم به، وإباحة مكانه، والفضاء الذي يتيمّم فيه، ومكان المتيمّم، فهاهنا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إباحة ما يتيمّم به، كما هو المشهور، بل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وهو ممّا لا إشكال فيه، بناءً على كون الضّرب مأخوذاً في ماهيّة التيمّم، فإنّه حينئذٍ يكون الضّرب تصرّفاً في مال الغير، فينطبق عليه عنوان الغصبيّة، فيتّحد المأمور به والمنهيّ عنه وجوداً، ولا مناص في أمثال المقام من القول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كون الضّرب من مقدّماته التوصّليّة، فقد يشكل في بطلان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ينحصر ما يتيمّم به به، واُخرى لا ينحصر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التزاحم بين وجوب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إمرار اليد المضروبة على الأرض على الجبهة واليدين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الضّرب، فبما أنّ من مرجّحات باب التزاحم، كون أحدهما ممّا له البدل، وأيضاً من مرجّحات ذلك الباب تقدّم أحد المتزاحمين على الآخر، فيقدّم في المقام ما دلَّ على حرمة الغصب، فيسقط الأمر بالتيمّم، وينتقل الفرض إلى المرتبة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خالف النهي، فضَرَب يديه على الأرض، بناءً على عدم اعتبار نيّة القُربة فيه على فرض كونه من المقدّمات التوصّليّة للتيمّم، يصحّ تيمّمه، بل يجبُ حينئذٍ، للقدرة عليه بعده عقلاً وشرعاً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وجه الصحّة، ووجوب التيمّم في صورة عدم الانحصار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إباحة مكانه كما صرّح به جماعةٌ‌، وملخّص القول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الضّرب عليه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موجباً للتصرّف في ذلك المكان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كما لو كان التّراب في ظرف عميق مملوءٍ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فيه، فإنّ الضّرب حينئذٍ لا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الضّرب حينئذٍ عملٌ واحدٌ ينطبق عليه كلا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المأمور به وهو التيمّم، والعنوان المنهيّ عنه وهو التصرّف في مال الغير، فيكون حكمه حينئذٍ حكم ما لو كان نفس التّراب مغصوباً، فيجري فيه ما ذكرناه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بعضهم باعتبار إباحة الفضاء الذي يتيمّم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غصب الفضاء موجبٌ لحرمة حركة اليد المعتبرة في مَسح الأعضاء، لأنّها 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النحو من التصرّف في مال الغير، لا دليل على حرمته، لانصراف الأدلّة عنه، لأنّه لا يعدّ عرفاً تصرّفاً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ذلك، يكون المحرم من مقدّمات التيمّم لا نفسه، كما لا يخفى‌، فيدخل في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فالمتّجه التفصيل بين صورة الانحصار فيبطل، وعدمه فيصحّ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حكم المسألة الرابعة، وهي ما لو كان مكان المتيمّم غصباً، فإنّ الأظهر هو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صورة إمكان التيمّم من دون أن يتصرّف في ذلك المكان فيصحّ‌، ولو جلس في ذلك المكان وتيمّم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صورة عدم إمكانه فيبطل، لسقوط أمره</w:t>
      </w:r>
      <w:r>
        <w:rPr>
          <w:rFonts w:eastAsia="Amiri" w:cs="Amiri" w:ascii="Amiri" w:hAnsi="Amiri"/>
          <w:color w:val="111111"/>
          <w:sz w:val="28"/>
          <w:szCs w:val="28"/>
          <w:rtl w:val="true"/>
          <w:lang w:bidi="ar-SA"/>
        </w:rPr>
        <w:t xml:space="preserve">. </w:t>
      </w:r>
      <w:bookmarkStart w:id="391" w:name="pg11797_256948"/>
    </w:p>
    <w:p>
      <w:pPr>
        <w:pStyle w:val="BookText"/>
        <w:rPr/>
      </w:pPr>
      <w:bookmarkEnd w:id="391"/>
      <w:r>
        <w:rPr>
          <w:rFonts w:ascii="Amiri" w:hAnsi="Amiri" w:eastAsia="Amiri" w:cs="Amiri"/>
          <w:color w:val="111111"/>
          <w:sz w:val="28"/>
          <w:sz w:val="28"/>
          <w:szCs w:val="28"/>
          <w:rtl w:val="true"/>
          <w:lang w:bidi="ar-SA"/>
        </w:rPr>
        <w:t>ولا يجري الترتّب في أمثال المقام ممّا هو مشروطٌ بالقدرة شرعاً، كما حقّقناه في الاُصول</w:t>
      </w:r>
      <w:r>
        <w:rPr>
          <w:rFonts w:eastAsia="Amiri" w:cs="Amiri" w:ascii="Amiri" w:hAnsi="Amiri"/>
          <w:color w:val="111111"/>
          <w:sz w:val="28"/>
          <w:szCs w:val="28"/>
          <w:rtl w:val="true"/>
          <w:lang w:bidi="ar-SA"/>
        </w:rPr>
        <w:t>.</w:t>
      </w:r>
      <w:r>
        <w:rPr>
          <w:rStyle w:val="FootnoteAnchor"/>
          <w:rtl w:val="true"/>
        </w:rPr>
        <w:footnoteReference w:id="984"/>
      </w:r>
    </w:p>
    <w:p>
      <w:pPr>
        <w:pStyle w:val="Heading6"/>
        <w:numPr>
          <w:ilvl w:val="5"/>
          <w:numId w:val="1"/>
        </w:numPr>
        <w:rPr/>
      </w:pPr>
      <w:bookmarkStart w:id="392" w:name="__RefHeading___Toc10391190_73709187"/>
      <w:bookmarkStart w:id="393" w:name="_Toc146"/>
      <w:bookmarkEnd w:id="392"/>
      <w:r>
        <w:rPr>
          <w:rtl w:val="true"/>
        </w:rPr>
        <w:t>فروع باب التيمّم</w:t>
      </w:r>
      <w:bookmarkEnd w:id="393"/>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المحقّقين</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بطلان التيمّم على التّراب المغصوب، بناءً على دخل الضّرب في ماهيّة التيمّم، بين صورتي العلم والعمد، والجهل أو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القول بالامتناع، وتقديم جانب النهي، يخرج المجمع عن حيّز الأمر، ويكون متمحّضاً في الحرمة، ومعه لا وجه للاجتزاء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ضعف ما ذَكره بعض المعاصرين</w:t>
      </w:r>
      <w:r>
        <w:rPr>
          <w:rStyle w:val="FootnoteAnchor"/>
          <w:rtl w:val="true"/>
        </w:rPr>
        <w:footnoteReference w:id="986"/>
      </w:r>
      <w:r>
        <w:rPr>
          <w:rFonts w:ascii="Amiri" w:hAnsi="Amiri" w:eastAsia="Amiri" w:cs="Amiri"/>
          <w:color w:val="111111"/>
          <w:sz w:val="28"/>
          <w:sz w:val="28"/>
          <w:szCs w:val="28"/>
          <w:rtl w:val="true"/>
          <w:lang w:bidi="ar-SA"/>
        </w:rPr>
        <w:t>وجهاً للصحّة في صورتي الجهل والنسيان، من أنّهما عُذران عقلاً في جواز مخالفة الحرمة، فلا يترتّب عليها عقابٌ‌، ومع العُذر لا يكون مُبعّداً، فلا مانع من كونه مقرّباً، لأنّ المانع عن كونه مبعّداً، وجه الضعف أنّ المانع هو تمحّض المجمع في كونه منهيّاً عنه، غير مأمورٍ به، وهو موجودٌ في الصورتين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ذكر إنّما يتمّ في صورة الجهل غير المانع عن فعليّة الحكم الواقعي، ولا يتمّ في صورة النسيان، إذ في تلك الصورة تكون الحرمة مرتفعة بحديث الرفع، وعليه فلا مانع من كونه مأموراً به، لأنّ المانع هو كونه منهيّاً عنه، فبعد ارتفاعه يرتفع اعتبار كونه مباحاً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النسيان إنّما يوجبُ سقوط الحرمة، وأمّا الملاك المقتضي للنهي فهو باقٍ على حاله، فلا محالة يقع التنافي بينه وبين ملاك الأمر، وحيث أنّ المفروض غلبة ملاك النهي، فلا يمكن التقرّب بما يشتمل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الملاك الذي لا يؤثّر في المبغوضيّة الفعليّة، ومعه يكون الفعل مورداً للترخيص، لا يمكن أن يكون مانعاً عن تعلّق الأمر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ذكرناه في محلّه من أنّه بعد سقوط التكليف لا طريق لنا إلى كشف وجود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هي الصحّة في صورة النسيان، وتلحق بها صورتي الاكراه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ترابان أحدهما نجسٌ‌، يتيمّم بهما، للعلم الإجمالي بوجوب التيمّم بالطاهر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بل يتركهما، وينتقل الفرض إلى المرتبة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الوضوء بالمائين المعلوم نجاسة أحدهما ممنوعٌ‌، كما في الخبر</w:t>
      </w:r>
      <w:r>
        <w:rPr>
          <w:rStyle w:val="FootnoteAnchor"/>
          <w:rtl w:val="true"/>
        </w:rPr>
        <w:footnoteReference w:id="987"/>
      </w:r>
      <w:r>
        <w:rPr>
          <w:rFonts w:ascii="Amiri" w:hAnsi="Amiri" w:eastAsia="Amiri" w:cs="Amiri"/>
          <w:color w:val="111111"/>
          <w:sz w:val="28"/>
          <w:sz w:val="28"/>
          <w:szCs w:val="28"/>
          <w:rtl w:val="true"/>
          <w:lang w:bidi="ar-SA"/>
        </w:rPr>
        <w:t>، فمقتضى إطلاق أدلّة التنزيل، ثبوت هذا الحكم للتيمّم بالترابين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بينهما، حيث أنّ الوضوء بالمشتبهين يستلزمُ نجاسة البدن، بخلاف التيمّم بهما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محلّه من عدم الابتلاء بها، لتعارض استصحاب النجاسة الثابتة للأعضاء حين الملاقاة مع النجس منهما، مع استصحاب الطهارة الثابتة لها حين التوضّي بالطاهر، إذا غَسل مواضع الوضوء بعد التوضّي بالأوّل بالماء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فيتساقطان، ويرجع إلى أصالة الطهارة، ولأجل ذلك بنينا على أنّ مقتضى القاعدة هو الوضوء بهما، وإنّما منعنا عنه لمكان النصّ‌، وبما أنّه مختصٌّ بالوضوء بالقليل، ففيما إذا كان المائان كُرّين، أو كان أحدهما كُرّاً، جاز له أن يتوضّأ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التنزيل لا نظر لها إلى مثل هذا الحكم، لا سيّما مع كونه مترتّباً على بعض أقسام الوضوء، وهو الوضوء بالماء القليل دون الجميع،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النائيني رحمه الله</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التمكّن من التيمّم بغيرهما، لا يجوز التيمّم بهما، ومع عدم الإمكان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عدم جواز الامتثال الإجمالي، مع التمكّن من الامتثال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المبنى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الجزء الأوّل من هذا الشرح، فيما لو اشتبه الثوب النّجس بالطاهر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جواز التيمّم بهما حتّى مع التمكّن من التيمّم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المباح بالمغصوب اجتُنِبَ عنهما، ومع الانحصار ينتقل الفرض إلى المرتبة اللّاحقة، للعلم الإجمالي بوجوب الاجتناب عن أحدهما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التيمّم بالأرض إنّما يجبُ عند الوجدان، فلو كان فاقداً لها، ينتقل الفرض إلى المرتبة اللّاحقة، والفقدان كما يتحقّق فيما إذا لم يكن المكلّف متمكّناً من استعمالها وجداناً لعدم وجدانها، أو شرعاً لحرمته، فإنّه كذلك يتحقّق فيما إذا كان الاستعمال ممنوعاً بحكم العقل لاحتمال الضَّرر، وهو العقاب كما في المقام، فإنّه لأجل العلم الإجمالي بغصبيّة أحدهما لا يجري الأصل في شيء منهما، فكلٌّ‌ً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منهما موردٌ لقاعدة وجوب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ماء وتراب، وعلم بنجاسة أحدهما، وكان الطهور منحصراً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المحقّق النائيني</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 بالماء والاكتفاء به، لعدم تنجيز هذا العلم الإجمالي، وجريان أصالة الطهارة في الماء بلا معارض، بدعوى أنّ تنجيز العلم الإجمالي متوقّف على كونه منشأً للعلم بالتكليف الفعلي، على كلّ تقدير، وهذا غيرُ ثابتٍ في المقام، إذ على تقدير كون النجس هو التّراب لا يترتّب عليه شيء، لأنّ عدم جواز التيمّم حينئذٍ من جهة التمكّن من الوضوء بالماء الطاهر لا لنجاسة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النجاسة المعلومة لم تؤثّر في عدم جواز التيمّم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تقدير كون النجس هو الماء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كونه هو التّراب، فلأنّ عدم جواز التيمّم حينئذٍ مستندٌ إلى وجود الماء الطاهر، لا إلى نجاسة التّراب، وعلى ذلك فتجري أصالة الطهارة في الماء بلا معارض، وبها يرتفع موضوع جواز التيمّم، وهو عدم التمكّن من الماء</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إذا لم يكن للتراب أثرٌ آخر غير جواز التيمّم، كما إذا كان التّراب في مكانٍ مرتفع لا يمكن السّجود عليه، أو كان مملوكاً للغير لم يأذن في ذلك، ولا يتمّ فيما كان الابتلاء به من غير تلك الجهة أيضاً، وكان له أثرٌ آخر كالسجود عليه، فإنّه حينئذٍ تتعارض أصالة الطهارة في الماء مع أصالة الطهارة في التّرابة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فتتساقطان، وعليه فيجب عليه الجمع بين الوضوء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حكم ما لو علم بغصبيّة أحدهما، فإنّه إنْ لم يكن للتراب أثرٌ سوى جواز التيمّم به، فالعلم الإجمالي بغصبيّة أحدهما لا يوجب عدم جريان أصالة الحِلّ في الماء، فتجري ويترتّب عليها جواز الوضوء ووجوبه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موردٌ لأصالة الاحتياط لا الحِلّ‌، بناءً على ما اشتهر من أصالة الاحتياط في الأبواب الثلاثة التي منها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ثابتة بنحو الكليّة الشاملة لما إذا لم يكن أصلٌ موضوعي مقتض للحرمة وللاحتياط، وإنْ كان له أثرٌ آخر غير جواز التيمّم يجري الأصل في كلٍّ منهما في نفسه، ويتعارضان فيتساقطان، ويُحكم بكون المكلّف فاقد للطهورين من جهة أنّ كُلّاً من الماء والتّراب ممنوعُ الاستعمال بحكم العقل، لاحتمال الضَّرر وهو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الفرق بين ما لو عَلم غصبيّة أحدهما، وبين ما لو علم بنجاسته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حكمنا في الفرض الأوّل بكونه فاقد الطهورين، وفي الثاني بوجوب الجمع بين الوضوء والتيمّم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الأوّل يحرم التصرّف في المغصوب، وفي الثاني لا يحرم ذلك تكليفاً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نجاسة أحدهما، وكانت وظيفته الجمع بين الوضوء والتيمّم، وجب عليه تقديم التيمّم، إذ لو قدّم الوضوء عَلم بعدم مشروعيّة التيمّم، بناءً على اعتبار طهارة الأعضاء في التيمّم لنجاسة التّراب، أو لنجاسة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شرطيّة طهارة الأعضاء ساقطة عند الاضطرار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التيمّم الفاقد لهذا الشرط محكومٌ بالصحّة، إذا لم يكن الفقدان بجعل المكلّف نفسه عاجزاً عن تحصيله كما في المقام، فإنّ له تقديم التيمّم على </w:t>
      </w:r>
    </w:p>
    <w:p>
      <w:pPr>
        <w:pStyle w:val="BookText"/>
        <w:rPr/>
      </w:pPr>
      <w:r>
        <w:rPr>
          <w:rFonts w:ascii="Amiri" w:hAnsi="Amiri" w:eastAsia="Amiri" w:cs="Amiri"/>
          <w:color w:val="111111"/>
          <w:sz w:val="28"/>
          <w:sz w:val="28"/>
          <w:szCs w:val="28"/>
          <w:rtl w:val="true"/>
          <w:lang w:bidi="ar-SA"/>
        </w:rPr>
        <w:t>الوضوء، فلا يبتلي بذلك، مع أنّ إيقاع النفس اختياراً إلى الاضطرار بترك الشرط لا يجوز، فلو فرض صحّة التيمّم يكون التقديم واجباً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لزوم مسح الأعضاء عن الغبار، لو قدّم التيمّم، لئلّا يحصل العلم بنجاسة الماء، إمّا لكونه نجساً أو لتنجّسه بملاقاة الأعضاء، ولئلّا يبتلي بنجاسة الأعضاء، إمّا لنجاسة الماء أو لنجاسة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 في مكان مغصوب، هل يجوز له أن يتيمّم فيه أم لا؟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الأوّل، لأنّ التيمّم لا يكون تصرّفاً زائداً على ما اضطرّ إليه من الغصب، وحيثُ أنّ الاضطرار أوجب رفع الحرمة، فيرتفع المانع من شمول دليل الأمر بالتيمّم لهذا الفرد، فيشمله إطلاق دليله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 إنّما أوجب رفع الحرمة، فدليل حرمة الغصب خصّص في مدلوله المطابقي، وأمّا بالنسبة إلى مدلوله الالتزامي، وهو عدم وجوب متعلّق النهي، فهو باقٍ على حجيّته، لعدم ورود التخصيص عليه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الالتزاميّة كما تكون تابعة للدلالة المطابقيّة وجوداً، فإنّها تكون تابعة لها في الحجّية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 إنّما أوجب رفع الحكم، وأمّا الملاك فلا دليل على رفعه، وهو يمنعُ من اتّصاف الفعل بالمحبوبيّة والتقرّب به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الذي لا يؤثّر في الحرمة والمبغوضيّة الفعليّة، لا يصلح أن يكون مانعاً عن إيجاب الفعل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إنّما يتمّ بالنسبة إلى الفضاء، ولا يتمّ بالنسبة إلى الأرض، فان الضّرب على الأرض تصرّفٌ فيها زائد على التصرّف في الفضاء، فلا يجوزه </w:t>
      </w:r>
    </w:p>
    <w:p>
      <w:pPr>
        <w:pStyle w:val="BookText"/>
        <w:rPr/>
      </w:pPr>
      <w:r>
        <w:rPr>
          <w:rFonts w:ascii="IRNazanin" w:hAnsi="IRNazanin" w:eastAsia="IRNazanin"/>
          <w:color w:val="111111"/>
          <w:sz w:val="28"/>
          <w:sz w:val="28"/>
          <w:szCs w:val="28"/>
          <w:rtl w:val="true"/>
          <w:lang w:bidi="fa-IR"/>
        </w:rPr>
        <w:t>الاضطرار إلى شُغل الفضاء بالجسم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المكلّف إذا كان مضطرّاً إلى المكث في المحلّ المغصوب، لا يفرق الحال بين أن يقف فيه أو ينام أو يصلّي أو غير ذلك من الحالات، ولا يعدّ النوم مثلاً بالقياس إلى الوقوف تصرّفاً زائداً، والسِّر فيه أنّ الجسم يشغل مقداراً معيّناً من الحيّز بقدر حجمه، بأيّ نحوٍ وضعه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الأظهر جواز التيمّم فيه</w:t>
      </w:r>
      <w:r>
        <w:rPr>
          <w:rFonts w:eastAsia="Amiri" w:cs="Amiri" w:ascii="Amiri" w:hAnsi="Amiri"/>
          <w:color w:val="111111"/>
          <w:sz w:val="28"/>
          <w:szCs w:val="28"/>
          <w:rtl w:val="true"/>
          <w:lang w:bidi="ar-SA"/>
        </w:rPr>
        <w:t>.</w:t>
      </w:r>
      <w:bookmarkStart w:id="394" w:name="pg11797_256962"/>
    </w:p>
    <w:p>
      <w:pPr>
        <w:pStyle w:val="Heading6"/>
        <w:numPr>
          <w:ilvl w:val="5"/>
          <w:numId w:val="1"/>
        </w:numPr>
        <w:rPr/>
      </w:pPr>
      <w:bookmarkStart w:id="395" w:name="__RefHeading___Toc10391192_73709187"/>
      <w:bookmarkStart w:id="396" w:name="_Toc147"/>
      <w:bookmarkEnd w:id="394"/>
      <w:bookmarkEnd w:id="395"/>
      <w:r>
        <w:rPr>
          <w:rtl w:val="true"/>
        </w:rPr>
        <w:t>عدم اعتبار العَلوق</w:t>
      </w:r>
      <w:bookmarkEnd w:id="396"/>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منهم ابن الجُنيد</w:t>
      </w:r>
      <w:r>
        <w:rPr>
          <w:rStyle w:val="FootnoteAnchor"/>
          <w:rtl w:val="true"/>
        </w:rPr>
        <w:footnoteReference w:id="990"/>
      </w:r>
      <w:r>
        <w:rPr>
          <w:rFonts w:ascii="Amiri" w:hAnsi="Amiri" w:eastAsia="Amiri" w:cs="Amiri"/>
          <w:color w:val="111111"/>
          <w:sz w:val="28"/>
          <w:sz w:val="28"/>
          <w:szCs w:val="28"/>
          <w:rtl w:val="true"/>
          <w:lang w:bidi="ar-SA"/>
        </w:rPr>
        <w:t>، والسيّد</w:t>
      </w:r>
      <w:r>
        <w:rPr>
          <w:rStyle w:val="FootnoteAnchor"/>
          <w:rtl w:val="true"/>
        </w:rPr>
        <w:footnoteReference w:id="9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والمحقّق البهائي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والمحدّث الكاشاني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والبحراني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والبهبهاني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يعتبر أن يُعلّق مِنْ ما يتيمّم به شيءٌ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نُسب ذلك إلى أكثر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الأصحاب نقلاً مستفيضاً وتحصيلاً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اعتباره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 xml:space="preserve">، 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باُمور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بِوُجُوهِكُمْ وَ أَيْدِيكُمْ مِنْهُ‌ </w:t>
      </w:r>
      <w:r>
        <w:rPr>
          <w:rStyle w:val="FootnoteAnchor"/>
          <w:rtl w:val="true"/>
        </w:rPr>
        <w:footnoteReference w:id="995"/>
      </w:r>
      <w:r>
        <w:rPr>
          <w:rFonts w:ascii="Amiri" w:hAnsi="Amiri" w:eastAsia="Amiri" w:cs="Amiri"/>
          <w:color w:val="111111"/>
          <w:sz w:val="28"/>
          <w:sz w:val="28"/>
          <w:szCs w:val="28"/>
          <w:rtl w:val="true"/>
          <w:lang w:bidi="ar-SA"/>
        </w:rPr>
        <w:t xml:space="preserve">، بدعوى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التبعيض، كما يظهر من ملاحظة نظائر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يفهم أحدٌ من العرب من قول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مسحتُرأسي من الدهن أو من الماءأو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معنى التبعيض، وعدم ذكرلفظه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التيمّم</w:t>
      </w:r>
      <w:r>
        <w:rPr>
          <w:rStyle w:val="FootnoteAnchor"/>
          <w:rtl w:val="true"/>
        </w:rPr>
        <w:footnoteReference w:id="997"/>
      </w:r>
      <w:r>
        <w:rPr>
          <w:rFonts w:ascii="Amiri" w:hAnsi="Amiri" w:eastAsia="Amiri" w:cs="Amiri"/>
          <w:color w:val="111111"/>
          <w:sz w:val="28"/>
          <w:sz w:val="28"/>
          <w:szCs w:val="28"/>
          <w:rtl w:val="true"/>
          <w:lang w:bidi="ar-SA"/>
        </w:rPr>
        <w:t>في سورة النساء، لا ينافي ذلك، فان القرآن يقيّد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عن جماعةٍ من النحويين المنع من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حُمل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التبعيض، لزم زيادتها، فإنّه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كان يستفادُ منه إلّاذلك، لتعذّر إرادتها كلّها، مع أنّ معنى الآية حينئذٍ يكون هو لزوم مسح الصَّعيد بالوجه واليدين، وهو لا يعتبرُ نصّاً وإجماعاً، لا سيّما وأنّ رجحان النفض مورد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 إنّ الأجزاء الصغار الباقية على اليد بعد النفض، كافية في صدق كون المسح ببعض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صدق الصَّعيد والتّراب على الغبار الباقي على اليد كما لا يخفى‌، وعليه فيتعيّن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الإبتداء، فيكون المعنى حينئذٍ أنّه يعتبر أن يكون ابتداءُ المسح من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المسح بأثر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وَضَع الوضوء عمّن لم يجد الماء، أثبت بعض الغُسل مَسْحَاً، لأنّه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بِوُجُوهِكُمْ‌ ، ثمّ وَصَل بها وَ أَيْدِيكُمْ مِنْهُ‌ ، أي من ذلك التيمّم، لأنّه علم أنّ ذلك أجمع لا يجري على الوجه، لأنّه يعلق من ذلك الصَّعيد ببعض الكفّ‌، ولا يُعلّق ببعضها</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بموردين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بدعوى أنّ المراد به ما يتيمّم به، وأنّ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عليه السلام في مقام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علم أنّ ذلك أجمع لا يجري على الوجه، لأنّه يُعلّق من ذلك الصَّعيد ببعض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في مقام الجواب عن الاستدلال بالآية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 علّةٌ يدور الحكم مدارها، للزم اعتبار العلوق ببعض الكفّ‌، بحيث لا يكفي العلوق بتمام الكفّ‌، وهذا ممّا لم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مناص عن حمله على كونه حِكمة جارية مجرى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في كيفيّة الاستدلال بالآية الشريفة، وصحيح زرارة، والجواب عنهما، يظهر تقريب الاستدلال بما في بعض الصِّحاح، كصحيح الحلبي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فليتمسّح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نصوص</w:t>
      </w:r>
      <w:r>
        <w:rPr>
          <w:rStyle w:val="FootnoteAnchor"/>
          <w:rtl w:val="true"/>
        </w:rPr>
        <w:footnoteReference w:id="999"/>
      </w:r>
      <w:r>
        <w:rPr>
          <w:rFonts w:ascii="Amiri" w:hAnsi="Amiri" w:eastAsia="Amiri" w:cs="Amiri"/>
          <w:color w:val="111111"/>
          <w:sz w:val="28"/>
          <w:sz w:val="28"/>
          <w:szCs w:val="28"/>
          <w:rtl w:val="true"/>
          <w:lang w:bidi="ar-SA"/>
        </w:rPr>
        <w:t>النفض من دون تقييده بما إذا اتّفق العَلوق، فإنّ لازمة قابليّة كلّ تيمّمٍ صحيحٍ‌، لأنّ يقع فيه هذا الأمر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النفض بما أنّه مستحبٌّ‌، فغاية ما يمكن إثباته بهذه النصوص استحباب العلوق، لا اعتباره،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ما دلَّ على</w:t>
      </w:r>
      <w:r>
        <w:rPr>
          <w:rStyle w:val="FootnoteAnchor"/>
          <w:rtl w:val="true"/>
        </w:rPr>
        <w:footnoteReference w:id="1000"/>
      </w:r>
      <w:r>
        <w:rPr>
          <w:rFonts w:ascii="Amiri" w:hAnsi="Amiri" w:eastAsia="Amiri" w:cs="Amiri"/>
          <w:color w:val="111111"/>
          <w:sz w:val="28"/>
          <w:sz w:val="28"/>
          <w:szCs w:val="28"/>
          <w:rtl w:val="true"/>
          <w:lang w:bidi="ar-SA"/>
        </w:rPr>
        <w:t>طهوريّة التّراب، وتنزيله منزلة الماء</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 طهوريّته أمرٌ تعبّدي صِرفٌ متلقّاة من الشارع، وتنزيله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منزلة الماء في تلك لا يستدعي اعتبار مباشرته للجسد كالماء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عدم اعتبار مباشرته له نصّاً وإجماعاً حتّى من القائلين باعتبار العلوق، فإنّه لا خلاف بينهم في رجحان النفض، المستلزم لعدم بقاء الصَّعيد في الكفّ وإنْ بقى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أنّ شيئاً ممّا استدلّ به على اعتبار العلوق لا يدلّ عليه، فالأظهر عدم اعتباره للأصل وإطلاق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من الاستدلال لعدم الاعتبار، بأنّ النبيّ صلى الله عليه و آله نفض يديه من التّراب، ولو كان بقاؤه معتبراً لما نَفَض يديه، ولأنّه تعريضٌلإزالته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 إذ يمكن أن يُعتبر العلوق، لا لكونه مستلزماً لمباشرة الصَّعيد للجسد، بل لجهةٍ اُخرى مجهولة لنا كملاك مطهّريّة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العلوق، كما تشهد له نصوص النفض بالتقريب المتقدّم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97" w:name="pg11797_256971"/>
    </w:p>
    <w:p>
      <w:pPr>
        <w:pStyle w:val="BookText"/>
        <w:rPr/>
      </w:pPr>
      <w:bookmarkEnd w:id="397"/>
      <w:r>
        <w:rPr>
          <w:rFonts w:ascii="Amiri" w:hAnsi="Amiri" w:eastAsia="Amiri" w:cs="Amiri"/>
          <w:color w:val="111111"/>
          <w:sz w:val="28"/>
          <w:sz w:val="28"/>
          <w:szCs w:val="28"/>
          <w:rtl w:val="true"/>
          <w:lang w:bidi="ar-SA"/>
        </w:rPr>
        <w:t>وكيفيّته أن يَضرِب بيديه على الأرض</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0391194_73709187"/>
      <w:bookmarkStart w:id="399" w:name="_Toc148"/>
      <w:bookmarkEnd w:id="398"/>
      <w:r>
        <w:rPr>
          <w:rtl w:val="true"/>
        </w:rPr>
        <w:t>كيفيّة التيمّم</w:t>
      </w:r>
      <w:bookmarkEnd w:id="399"/>
    </w:p>
    <w:p>
      <w:pPr>
        <w:pStyle w:val="Heading6"/>
        <w:numPr>
          <w:ilvl w:val="5"/>
          <w:numId w:val="1"/>
        </w:numPr>
        <w:rPr/>
      </w:pPr>
      <w:bookmarkStart w:id="400" w:name="__RefHeading___Toc10391196_73709187"/>
      <w:bookmarkStart w:id="401" w:name="_Toc149"/>
      <w:bookmarkEnd w:id="400"/>
      <w:r>
        <w:rPr>
          <w:rtl w:val="true"/>
        </w:rPr>
        <w:t>اشارة</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وكيفيّته أن يَضْرِب بيديه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ومنصوصاً، وإنّما الكلام والخلاف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الضَّرب كما عن المشهور، أم يكتفى بالوضع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02"/>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0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0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0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الإرشاد</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والمحقّق الأردبيلي</w:t>
      </w:r>
      <w:r>
        <w:rPr>
          <w:rStyle w:val="FootnoteAnchor"/>
          <w:rtl w:val="true"/>
        </w:rPr>
        <w:footnoteReference w:id="1008"/>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الاختلاف، اختلاف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جملةٍ منها الأمر بالضّرب، كما في صحيح زرارة، حيث قال له الإمام الباقر عليه السلام بعد أن سأله عن كيفيّة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ضربٌ واحد للوضوء والغُسل من الجنابة، تضرب بيديك مرّتين</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المرادي، عن الصادق عليه السلام في التيمّم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 بكفّيك على الأرض مرّتين، ثمّ تنفضهما، وتمسح بهماوجهك وذراعيك</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جملةٍ منها ما يظهر منه الاكتفاء بمطلق الوضع، وعمدتها النصوص الواردة في مقام بيان التيمّم، بنقل قضيّة عمّار وفعل النبيّ صلى الله عليه و آله، كصحيح زرارة،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الأرض، فوضعهماعلى الصَّعيد</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داود بن النعمان،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 يديه على الأرض ثمّ رفعهما</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أبي أيّوب الخزّاز،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 يده على المسح ثمّ رفعها</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وتنقيح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كانا متباينين، وكان الضّرب المماسّة مع الدفع والاعتماد، والوضع المماسّة بغير دفع واعتماد، فيتعيّن الالتزام بالثاني، إذ الجمع بين الطائفتين يقتضي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الالتزام بكفاية القدر المشترك بين المفهومين، من دون اعتبار شيء من الخصوصيّتين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الجمع في المقام غَير تامّ‌، إذ الظاهر أنّ الأخبار الحاكية لفعل النبيّ صلى الله عليه و آله في قضيّة عمّار، إنّما هي إخبارٌ عن واقعة شخصيّة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تلك الأخبار إنّما يستند إليها من جهة أنّ نقل المعصوم فعل النبيّ صلى الله عليه و آله إنّما يكون بياناً للحكم الشرعي، وعليه فهو إنّما يحكي الخصوصيّات الدخيلة في الحكم دون غيرها، ولذا نلتزم بأنّ كلّ خصوصيّةٍ من الخصوصيّات التي ينقلها المعصوم، دخيلة في الحكم، ويجب مراعاتها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فبما أنّه عليه السلام في مقام نقل فعله صلى الله عليه و آله عبّر تارةً بوضع يديه على الصَّعيد، واُخرى بضربهما عليه، فيُستكشف من ذلك عدم دخل شيءٍ من الخصوصيّتين، وأنّه عليه السلام في مقام النقل يقصد إلى بيان القدر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إنْ كانت النسبة بين المفهومين عموماً مطلقاً،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مفهوماً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فيتعيّن الالتزام بالأوّل،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الواردة في المقام، لا سبيل إلى حمل مطلقها عليمقيّدها، لكونهما من قبيل 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المقيّد لاشتماله على الأمر بالخاصّ‌، الظاهر في كونه إرشاداً إلى اعتبار الخصوصيّة في صحّة التيمّم، لا مناص عن الحمل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على فرض كون النسبة بين الطائفتين عموماً من وجه، بدعوى أنّ المتبادر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فيه شدّة واعتماد 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ذلك يتصادقان في بعض المصاديق، التي تتحقّق بها أوّل مراتب الضّرب، لا مناص عن الالتزام بهذا القول، لأنّ ظهور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مطلق الوضع، أضعفُ من ظهور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الضّرب،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المستفاد من كلمات اللّغويين، والمتفاهم العرفي أخصيّة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فالأقوى هو القول الأوّل، وهو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اضطرّ بأن تمكّن من الوضع دون الضّرب، فالظاهركفاية الوضع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لقاعدة الميسور، لما عرفت مراراً من أنّها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ما دلَّ على الوضع، مع عدم المقيّد هنا، لظهور اختصاص أدلّة الضّرب بالاختيار لمنع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إطلاق دليل الضّرب، ثبوت اعتبار الضّرب في جميع حالات الأمر بالتيمّم، ولازمه سقوط الأمر به عند الاضطرار، وعدم التمكّن من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عن غير واحدٍ من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الضّرب بإحدى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ونصوصاً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Style w:val="FootnoteAnchor"/>
          <w:rtl w:val="true"/>
        </w:rPr>
        <w:footnoteReference w:id="1016"/>
      </w:r>
      <w:r>
        <w:rPr>
          <w:rFonts w:ascii="Amiri" w:hAnsi="Amiri" w:eastAsia="Amiri" w:cs="Amiri"/>
          <w:color w:val="111111"/>
          <w:sz w:val="28"/>
          <w:sz w:val="28"/>
          <w:szCs w:val="28"/>
          <w:rtl w:val="true"/>
          <w:lang w:bidi="ar-SA"/>
        </w:rPr>
        <w:t>المتواترة الآمرة بضرب اليدين، وحكاية ذلك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الاجتزاءبالمسح بكفٍّواحدة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المقدّس الأردبيلي</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الاجتزاء بضربةٍ واحدة، واستدلّلذلك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بموثّق زرارة، عن الإمام الباقر عليه السلام، عن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بيده على الأرض، ثمّ رفعها فنفضها، ثمّ مَسَح بها جبينه وكفّيه مرّةً واحدة</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وخبره الآخر عنه عليه السلام،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بيديه على الأرض، ثمّ ضَرَب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إحداهما على الاُخرى، ثمّ مَسَح بجبينه، ثمّ مَسَح كفّيه، كلّ واحدة على الاُخرى‌، فمسَح اليسرى على اليمنى‌، واليمنى على اليسرى‌</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أيّوب</w:t>
      </w:r>
      <w:r>
        <w:rPr>
          <w:rStyle w:val="FootnoteAnchor"/>
          <w:rtl w:val="true"/>
        </w:rPr>
        <w:footnoteReference w:id="1022"/>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الأولين ظاهران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في ذيلهما من مسح الكفّين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الجنس، الصادق على القليل والكثير من اليد لا الفرد، وعليه يُحمل الأخير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هل يعتبر أن يكون دفعةً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نسبته إلى ظاهر الأصحاب، أم يكفي الضّرب بهما على التعاقب‌؟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الأوّل، لأنّ المتبادر إلى الذّهن من النصوص الآمرة بضرب الكفّين، إرادة ضربهما معاً، وكذلك النصوص</w:t>
      </w:r>
      <w:r>
        <w:rPr>
          <w:rStyle w:val="FootnoteAnchor"/>
          <w:rtl w:val="true"/>
        </w:rPr>
        <w:footnoteReference w:id="1024"/>
      </w:r>
      <w:r>
        <w:rPr>
          <w:rFonts w:ascii="Amiri" w:hAnsi="Amiri" w:eastAsia="Amiri" w:cs="Amiri"/>
          <w:color w:val="111111"/>
          <w:sz w:val="28"/>
          <w:sz w:val="28"/>
          <w:szCs w:val="28"/>
          <w:rtl w:val="true"/>
          <w:lang w:bidi="ar-SA"/>
        </w:rPr>
        <w:t>الحاكية لفعله صلى الله عليه و آله،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بيديه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الضربة والضربتين، فالظاهر كونها أجنبيّة عن المقام، فإنّ المتبادر منها إرادة ما يقابل التعدّد لا 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باعتبار كون الضّرب أو الوضع بباطن الكفّين، وأنّه لا يكفي الضّرب بظاهرهما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المحقّقين</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وفاقي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المعهود من الضَّرب والوضع،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عليه عمل المسلمين في الأعصار والأمصار من دون شكّ كما عن بعض المحقّقين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وإلى الإجماع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w:t>
      </w:r>
      <w:r>
        <w:rPr>
          <w:rStyle w:val="FootnoteAnchor"/>
          <w:rtl w:val="true"/>
        </w:rPr>
        <w:footnoteReference w:id="1027"/>
      </w:r>
      <w:r>
        <w:rPr>
          <w:rFonts w:ascii="Amiri" w:hAnsi="Amiri" w:eastAsia="Amiri" w:cs="Amiri"/>
          <w:color w:val="111111"/>
          <w:sz w:val="28"/>
          <w:sz w:val="28"/>
          <w:szCs w:val="28"/>
          <w:rtl w:val="true"/>
          <w:lang w:bidi="ar-SA"/>
        </w:rPr>
        <w:t>أحمد بن محمّد بن أبي نصر، عن عبد اللّه بن بكير، عن زرارة،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 على الأرض، ثمّ ضَرَب إحداهما على الاُخرى‌، ثمّ مسح جبينه، ثمّ مسح بكفّيه كلّ واحدةٍ على ظهر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منه كون الماسح هو بطن كلّ كفٍّ‌، وهو الذي يضرب على الصَّعيد،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بقرينة مناسبة الحكم والموضوع، يمكن استفادة ذلك من نصوص الكفّ‌، إذ الظاهر منها إذا أنّه اُسند إليها ما يناسب الباطن كالأكل والمسح ممّا جرت العادة بحصوله من الباطن، إرادته دون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تعذّر الباطن فيهما، ينتقل إلى الظاهر، لإطلاق نصوص الكفّ‌، وأدلّة التقييد مختصّة بحال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يدلّ على لزوم كون المسح بالباطن عند الاختيار، من جهة نقل تيممّه صلى الله عليه و آله، ولا إطلاق له كي يشمل حال التعذّر كما لا يخفى‌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انصراف الإطلاقات إلى الباطن، إنّما هو مع الإمكان، 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مطلقاً، فان المتعارف في حقّ العاجز، الضّرب بظاهر الكفّين، فهذا الترتيب عرفيٌ ينطبق عليه الإطلاق، من دون أن يكون اللّفظ مستعملاً في أكثر من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الباطن في إحداهما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يكتفي بالظاهر فيهما؟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يقتصر على الضّرب بباطن إحداهما؟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يتعيّن الضّرب بباطن إحداهما، وظاهر الاُخرى‌؟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ما دلَّ على اعتبار كون الضّرب بباطن الكفّين بصورة الإمكان فيهما، ففي غيرها يرجع إلى إطلاق نصوص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الظاهر من ناحية المناسبات المغروسة في الأذهان، كون كلٍّ من الكفّين موضوعاً مستقلّاً، يعتبر أنْ يكون الضّرب في كلّ واحدة بالباطن، فتعذّر الضّرب بباطن إحداهما لا يوجبُ تبديل التكليف في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الإطلاقات كما أنّها تنصرف إلى الباطن فيهما مع الإمكان بالتقريب المتقدّم، كذلك تنصرف إلى الباطن في إحداهما لو تعذّر في الاُخرى كما مرّ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فالأقوى هو الوجه الثالث</w:t>
      </w:r>
      <w:r>
        <w:rPr>
          <w:rFonts w:eastAsia="Amiri" w:cs="Amiri" w:ascii="Amiri" w:hAnsi="Amiri"/>
          <w:color w:val="111111"/>
          <w:sz w:val="28"/>
          <w:szCs w:val="28"/>
          <w:rtl w:val="true"/>
          <w:lang w:bidi="ar-SA"/>
        </w:rPr>
        <w:t>.</w:t>
      </w:r>
      <w:bookmarkStart w:id="402" w:name="pg11797_256985"/>
    </w:p>
    <w:p>
      <w:pPr>
        <w:pStyle w:val="BookText"/>
        <w:rPr/>
      </w:pPr>
      <w:bookmarkEnd w:id="402"/>
      <w:r>
        <w:rPr>
          <w:rFonts w:ascii="Amiri" w:hAnsi="Amiri" w:eastAsia="Amiri" w:cs="Amiri"/>
          <w:color w:val="111111"/>
          <w:sz w:val="28"/>
          <w:sz w:val="28"/>
          <w:szCs w:val="28"/>
          <w:rtl w:val="true"/>
          <w:lang w:bidi="ar-SA"/>
        </w:rPr>
        <w:t>ناوياً</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10391198_73709187"/>
      <w:bookmarkStart w:id="404" w:name="_Toc150"/>
      <w:bookmarkEnd w:id="403"/>
      <w:r>
        <w:rPr>
          <w:rtl w:val="true"/>
        </w:rPr>
        <w:t>في اعتبار النيّة</w:t>
      </w:r>
      <w:bookmarkEnd w:id="404"/>
    </w:p>
    <w:p>
      <w:pPr>
        <w:pStyle w:val="BookText"/>
        <w:rPr/>
      </w:pPr>
      <w:r>
        <w:rPr>
          <w:rFonts w:ascii="Amiri" w:hAnsi="Amiri" w:eastAsia="Amiri" w:cs="Amiri"/>
          <w:color w:val="111111"/>
          <w:sz w:val="28"/>
          <w:sz w:val="28"/>
          <w:szCs w:val="28"/>
          <w:rtl w:val="true"/>
          <w:lang w:bidi="ar-SA"/>
        </w:rPr>
        <w:t xml:space="preserve">ثمّ إنّه يعتبر أن يكون التيمّم في حال كون المتيمّم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علماء الإسلام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أنّ الفعل غير الصادر عن الاختيار، لا يُتّصف بالحُسن ولا القُبح، فلايتعلّق به الأمر ولا النهي، فنفس تعلّق الأمر يدلّ‌على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بل باجماع 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القربة، للإجماع على كونها من العبادات، وتقتضيها مرتكزات المتشرّعة، وإطلاق أدلّة البدليّة، بضميمة ما دلَّ على عباديّة الوضوء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اعتبار نيّة القربة في العبادات لعلّه من الضروريّات، وتشير إليه نصوص</w:t>
      </w:r>
      <w:r>
        <w:rPr>
          <w:rStyle w:val="FootnoteAnchor"/>
          <w:rtl w:val="true"/>
        </w:rPr>
        <w:footnoteReference w:id="1029"/>
      </w:r>
      <w:r>
        <w:rPr>
          <w:rFonts w:ascii="Amiri" w:hAnsi="Amiri" w:eastAsia="Amiri" w:cs="Amiri"/>
          <w:color w:val="111111"/>
          <w:sz w:val="28"/>
          <w:sz w:val="28"/>
          <w:szCs w:val="28"/>
          <w:rtl w:val="true"/>
          <w:lang w:bidi="ar-SA"/>
        </w:rPr>
        <w:t>كثيرة، تقدّم بعضها في مبحث الوضوء</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والكلام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تعتبر أن تكون نيّة القربة مقارنة لضرب اليدين، كما هو المشهور؟</w:t>
      </w:r>
    </w:p>
    <w:p>
      <w:pPr>
        <w:pStyle w:val="BookText"/>
        <w:rPr/>
      </w:pPr>
      <w:r>
        <w:rPr>
          <w:rFonts w:ascii="Amiri" w:hAnsi="Amiri" w:eastAsia="Amiri" w:cs="Amiri"/>
          <w:color w:val="111111"/>
          <w:sz w:val="28"/>
          <w:sz w:val="28"/>
          <w:szCs w:val="28"/>
          <w:rtl w:val="true"/>
          <w:lang w:bidi="ar-SA"/>
        </w:rPr>
        <w:t xml:space="preserve">أم تكفي مقارنتها لمسح الجبهة، كما احتمله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التصريح به‌؟ قولان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أنّ منشأ هذا الخلاف النزاع في أنّ ضرب اليدين من أجزاء التيمّم، أم من شروطه‌؟ </w:t>
      </w:r>
    </w:p>
    <w:p>
      <w:pPr>
        <w:pStyle w:val="BookText"/>
        <w:rPr/>
      </w:pPr>
      <w:r>
        <w:rPr>
          <w:rFonts w:ascii="Amiri" w:hAnsi="Amiri" w:eastAsia="Amiri" w:cs="Amiri"/>
          <w:color w:val="111111"/>
          <w:sz w:val="28"/>
          <w:sz w:val="28"/>
          <w:szCs w:val="28"/>
          <w:rtl w:val="true"/>
          <w:lang w:bidi="ar-SA"/>
        </w:rPr>
        <w:t>إذ على الأوّل تعتبر مقارنة النيّة له، إذ يشهد لعباديّته، ما دلَّ على عباديّة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 يعتبر ذلك، لعدم الدليل على اعتبارها، فيرجع إلى أصالة التوصّليّة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جزءٌ أم شرط؟</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كونه شرطاً، هل هو من العباديّات أم من التوصّليّات‌؟</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بظاهر الآية الشريفة</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زرارة، عن أحدهما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خاف على نفسه من سَبُعٍ أو غيره، أو خاف فوت الوقت فليتيمّم، يضرب يده على اللّبد أو البرذعة ويتيمّم ويصلّي</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حقيقة التيمّم، وكونه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بعض المعاصرين</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ممّا يقتضي ظاهرها عدم الوجوب، فإذا دلَّت النصوص على وجوبه وجزئيّته، وجب التصرّف في ظاهر الآية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صَعِيداً طَيِّباً </w:t>
      </w:r>
      <w:r>
        <w:rPr>
          <w:rStyle w:val="FootnoteAnchor"/>
          <w:rtl w:val="true"/>
        </w:rPr>
        <w:footnoteReference w:id="1036"/>
      </w:r>
      <w:r>
        <w:rPr>
          <w:rFonts w:ascii="Amiri" w:hAnsi="Amiri" w:eastAsia="Amiri" w:cs="Amiri"/>
          <w:color w:val="111111"/>
          <w:sz w:val="28"/>
          <w:sz w:val="28"/>
          <w:szCs w:val="28"/>
          <w:rtl w:val="true"/>
          <w:lang w:bidi="ar-SA"/>
        </w:rPr>
        <w:t>أي من الصَّعيد، فيدلّ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 كون المسح ناشئاً من الصَّعيد، فهي تدلّ على اعتبار ممّاسة الماسح مع الصَّعيد قبل المسح، وعليه فيكون ما دلَّ على اعتبار الضّرب مثلاً مُبيّناً للآية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الآية الشريفة جزئيّته للأمر بالتيمّم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 في صدر المبحث، أنّ المراد به هو القصد إلى التّراب للمسح على الوجه واليدين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الأمر دخالة ما تعلّق به في المأمور به لا دخالة التقيّد به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إجمال الآية الشريفة من هذه الجهة، فمقتضى الأصل وإنْ كان هي الشرطيّة لاعتبار التقيّد فيه على التقدير، والشكّ في دخالة الضّرب بنفسه، إلّا أنّه إنّما يتمّ مع عدم الدليل على الجزئيّة، وستعرف ما يدلّ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فالتيمّم فيه وإنْ استعمل في ما عدا الضّرب، إلّاأنّ الاستعمال أعمٌّ من الحقيقة، وأصالة الحقيقة إنّما يرجع إليها لتعيّن المراد لا لإظهار كيفيّة الاستعمال مع معلوميّة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بظاهر النصوص البيانيّة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لولا الجزئيّة، لزم جواز تلقّيه الريح بجهته المُجمع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الفعل أعمّ من الجزئيّة والشرطيّة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فلأنّوجوب الضّرب ممّا لاكلام فيه، إنّماالكلام في الجزئيّة والشرطيّة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يستدلّ للجزئيّة، مضافاً إلى الآية الشريفة كما عرفت، بالأمر به في بعض نصوص الباب، كقوله عليه السلام في خبر زرارة، عن مولانا الباقر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 بكفّيك الأرض</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غيره</w:t>
      </w:r>
      <w:r>
        <w:rPr>
          <w:rStyle w:val="FootnoteAnchor"/>
          <w:rtl w:val="true"/>
        </w:rPr>
        <w:footnoteReference w:id="10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في أنّ ما تعلّق به بنفسه، دخيلٌ فى المأمور به، لا التقيّد به خاصّة، كما لايخفي‌، وما في بعضها كصحيح الكندي من التصريح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ضربةٌ للوجه وضربةٌ للكفّين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صحيح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ممّا ذكرنا، أنّ الأقوى جزئيّته، فاعتبار نيّة القربة فيه أيضاً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أيضاً اعتبارها فيه، بناءً على شرطيّته أيضاً، وذلك لأنّ الظاهر من خبر الكندي المتقدّم، اعتبار صدور كلّ ضربةٍ بداعي مسحة واحدة، أي ضربة لمسح الوجه، وضربة لمسح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إتيان المقدّمة بداعي التوّصل بها إلى ذي المقدّمة، يوجبُ صيرورة المقدّمة عبادة، إذ لا يعتبر في العباديّة سوى العمل بالوظيفة، واستناد الفعل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المراد به، أنّ الأمر بضربتين إنّما يكون لأجل اعتبار كون المسحتين عن ضربتين، كلّ مسحةٍ عن ضربة، فلا يدلّ على اعتبار قصد التوّصل إلى المسح في كلّ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الظاهر،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اعتبار مقارنة نيّة القُربة لضرب اليدين مطلقاً، سواءٌ أكان الضّرب جزءً أم شرطاً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الكلام في أنّه هل تعتبر نيّة رفع الحَدَث أو الاستباحة أو هما معاً،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لا يعتبر شيء منهما على القول بكونه رافعاً للحَدَث‌؟ وأنّه هل تعتبر نيّة الاستباحة خاصّة أم لا تعتبر، بناءً على القول بعدم رافعيّته‌؟ هو الكلام في اعتبار ذلك في الوضوء، طابق النعل بالنعل، فلا نُعيد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عدم اعتبار نيّة شيء منهما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لا تعتبر نيّة البدليّة، لعدم تعدّد حقيقة التيمّم، بل هي حقيقة واحدة غير مختلفة بالذّات والعنوان، كي يتوقّف تحقّق كلّ منهما على قصد البدليّة، ولا يكون قصدها مأخوذاً فيه، لعدم الدليل عليه، من غير فرقٍ في ذلك بين ما لو قلنا بأنّ التيمّم الذي بدلٌ عن الغسل، والتيمّم الذي يكون بدلاً عن الوضوء مختلفان في الكيفيّة، من حيث عدد الضربات، وبين ما لو قلنا بأنّهما متّحدان، لعدم الاختلاف بينهما على التقديرين من حيث العنوان،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وَيَنفُضُهما،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وينفضهما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نسبته إلى علمائنا، للأخبار الكثيرة المتقدّمة في المباحث السابقة الآمرة بالنفض، وظاهرها وإنْ كان هو الوجوب، إلّاأنّها محمولة على الاستحباب، لعدم الخلاف في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الإجماع على عدم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النفض لا يصدق إلّافيما عُلّق باليد شيءٌ من أجزاء الأرض ممّا يزال بالنفض، فلا يستحبّ مع عدم العلوق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ما يعمّ ضرب إحدى اليدين على الاُخرى وتصافقهما، لقوله عليه السلام في صحيح زرارة، الحاكي لفعله صلى الله عليه و آله</w:t>
      </w:r>
      <w:r>
        <w:rPr>
          <w:rStyle w:val="FootnoteAnchor"/>
          <w:rtl w:val="true"/>
        </w:rPr>
        <w:footnoteReference w:id="10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ضرب إحداهما على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حكى هذا الفعل في سائر النصوص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الكاشف عن اتّحاد المراد من العبارتين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05" w:name="pg11797_256998"/>
    </w:p>
    <w:p>
      <w:pPr>
        <w:pStyle w:val="BookText"/>
        <w:rPr/>
      </w:pPr>
      <w:bookmarkEnd w:id="405"/>
      <w:r>
        <w:rPr>
          <w:rFonts w:ascii="Amiri" w:hAnsi="Amiri" w:eastAsia="Amiri" w:cs="Amiri"/>
          <w:color w:val="111111"/>
          <w:sz w:val="28"/>
          <w:sz w:val="28"/>
          <w:szCs w:val="28"/>
          <w:rtl w:val="true"/>
          <w:lang w:bidi="ar-SA"/>
        </w:rPr>
        <w:t>ويَمسَحُ بهما وجهه</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10391200_73709187"/>
      <w:bookmarkStart w:id="407" w:name="_Toc151"/>
      <w:bookmarkEnd w:id="406"/>
      <w:r>
        <w:rPr>
          <w:rtl w:val="true"/>
        </w:rPr>
        <w:t>مَسحُ الوجه</w:t>
      </w:r>
      <w:bookmarkEnd w:id="407"/>
    </w:p>
    <w:p>
      <w:pPr>
        <w:pStyle w:val="Heading6"/>
        <w:numPr>
          <w:ilvl w:val="5"/>
          <w:numId w:val="1"/>
        </w:numPr>
        <w:rPr/>
      </w:pPr>
      <w:bookmarkStart w:id="408" w:name="__RefHeading___Toc10391202_73709187"/>
      <w:bookmarkStart w:id="409" w:name="_Toc152"/>
      <w:bookmarkEnd w:id="408"/>
      <w:r>
        <w:rPr>
          <w:rtl w:val="true"/>
        </w:rPr>
        <w:t>اشارة</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ويمسح بهما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 بل هو محلّ الوفاق بين المسلمين، وإنّما الكلام في موردين</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10391204_73709187"/>
      <w:bookmarkStart w:id="411" w:name="_Toc153"/>
      <w:bookmarkEnd w:id="410"/>
      <w:r>
        <w:rPr>
          <w:rtl w:val="true"/>
        </w:rPr>
        <w:t>حَدّ الممسوح</w:t>
      </w:r>
      <w:bookmarkEnd w:id="411"/>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الممسوح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فالمنسوبُ إلى عليّ بن بابويه في رسالته</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استيعاب الوجه، وإنْ كان في النسبة 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ولده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الإقتصارعلى الجبينين، مع زيادة الحاجبين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المشهور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مسح الجبهة خاصّة، وستعرف ما في هذه النسبة أيضاً، وأنّ المشهور بينهم اعتبار مسح الجبهة والجبينين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مسح الوجه وبعضه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بجملةٍ من نصوص التيمّم البيانيّة قولاً وفعلاً، والتي تبلغ عشرة، وفيها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تلك النصوص، وإنْ كان ذلك، إلّاأنّه لابدَّ من رفع اليد عنه، وحملها على إرادة البعض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عدم وجوب مسح تمام الوجه، وعليّ بن بابويه لا يعدّ مخالفاً لذلك، كما يشهد له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w:t>
      </w:r>
      <w:r>
        <w:rPr>
          <w:rStyle w:val="FootnoteAnchor"/>
          <w:rtl w:val="true"/>
        </w:rPr>
        <w:footnoteReference w:id="1048"/>
      </w:r>
      <w:r>
        <w:rPr>
          <w:rFonts w:ascii="Amiri" w:hAnsi="Amiri" w:eastAsia="Amiri" w:cs="Amiri"/>
          <w:color w:val="111111"/>
          <w:sz w:val="28"/>
          <w:sz w:val="28"/>
          <w:szCs w:val="28"/>
          <w:rtl w:val="true"/>
          <w:lang w:bidi="ar-SA"/>
        </w:rPr>
        <w:t xml:space="preserve">نسبته إلى دين الإماميّة، وأنّه مضى على ما مضى عليه المشايخ، فإنّ ذلك من جهة اعتقاد الصدوق أنّ والده رئيس الإماميّة، أقوى شاهد على أنّ مذهبه عدم وجوب مسح تمام الوجه، وإنّما عبّر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لما في النصوص، كما هو عادة القدماء، لا سيّما طريقته في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الآية الشريفة على إرادة البعض من الوجه، المعتبر مسحه لمكان الباء، فإنّها إذا دخلت على المتعدّي تبعّضه كما اختاره أهل العربيّة، مع أنّها لو لم تُحمل عليه، لزم الالتزام بزيادتها، وهي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تصريح الإمام الباقر عليه السلام في صحيح زرارة، الوارد في تفسير الآية الشريفة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نصوصيّة جملةٍ من النصوص البيانيّة، المتضمّنة أنّه صلى الله عليه و آله مسح جبينيه وجبهته، في عدم وجوب مسح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يبقى دليلٌ على مسح تمام الوجه كي يقال إنّ الجواب الحقّ العمل بالخبرين، فيكون مخيّراً بين مسح الوجه أو بعضه،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له بجملةٍ من النصوص البيانيّة المقتصرة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ظاهرة في اعتبار مسحهما بالخصوص</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للإجماع على وجوب مسح الجبهة تحصيلاً ونقلاً مستفيضاً، بل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متواتراً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50"/>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0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 xml:space="preserve">أنّه ضروري الدِّين، يتعيّن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الجبهة، أو على ما يعمّها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ومخالفة الصدوق وحده لا تضرّ بالإجماع، مع أنّ الظاهر عدم مخالفته مع القوم في ذلك، وإنّما عبّر بالجبين لتبعيّة النصوص، كما يشهد له أنّه لم يحك أحدٌ عنه خلافاً في ذلك، فوجوب مسح الجبهة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زرارة،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عن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بيده الأرض، ثمّ رفعها فنفضها، ثمّ مسح بها جبهته ووجهه</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والشاهد على عدم الاستدلال به وجَعْله مؤيّداً أنّه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w:t>
      </w:r>
      <w:r>
        <w:rPr>
          <w:rStyle w:val="FootnoteAnchor"/>
          <w:rtl w:val="true"/>
        </w:rPr>
        <w:footnoteReference w:id="10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فيدور الأمر بين وجوب مسح الجبينين أيضاً وعدمه، وقد عرفت نسبة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55"/>
      </w:r>
      <w:r>
        <w:rPr>
          <w:rFonts w:ascii="IRNazanin" w:hAnsi="IRNazanin" w:eastAsia="IRNazanin"/>
          <w:color w:val="111111"/>
          <w:sz w:val="28"/>
          <w:sz w:val="28"/>
          <w:szCs w:val="28"/>
          <w:rtl w:val="true"/>
          <w:lang w:bidi="fa-IR"/>
        </w:rPr>
        <w:t>عدمه إلى المشهور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صحّة هذه النسبة، بل المشهور على وجوبه،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دين الإماميّة تارةً‌، وأنّه مضى عليه مشايخنا اُخرى</w:t>
      </w:r>
      <w:r>
        <w:rPr>
          <w:rStyle w:val="FootnoteAnchor"/>
          <w:rtl w:val="true"/>
        </w:rPr>
        <w:footnoteReference w:id="1056"/>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لا نزاع فيه بين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قَصاص الشّعر إلى طرف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الذي غَرّه تعبير جماعة بالوجه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قَصاص الشَّعر إلى طرف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 وعن المفيد</w:t>
      </w:r>
      <w:r>
        <w:rPr>
          <w:rStyle w:val="FootnoteAnchor"/>
          <w:rtl w:val="true"/>
        </w:rPr>
        <w:footnoteReference w:id="1058"/>
      </w:r>
      <w:r>
        <w:rPr>
          <w:rFonts w:ascii="Amiri" w:hAnsi="Amiri" w:eastAsia="Amiri" w:cs="Amiri"/>
          <w:color w:val="111111"/>
          <w:sz w:val="28"/>
          <w:sz w:val="28"/>
          <w:szCs w:val="28"/>
          <w:rtl w:val="true"/>
          <w:lang w:bidi="ar-SA"/>
        </w:rPr>
        <w:t>، والسيّد</w:t>
      </w:r>
      <w:r>
        <w:rPr>
          <w:rStyle w:val="FootnoteAnchor"/>
          <w:rtl w:val="true"/>
        </w:rPr>
        <w:footnoteReference w:id="1059"/>
      </w:r>
      <w:r>
        <w:rPr>
          <w:rFonts w:ascii="Amiri" w:hAnsi="Amiri" w:eastAsia="Amiri" w:cs="Amiri"/>
          <w:color w:val="111111"/>
          <w:sz w:val="28"/>
          <w:sz w:val="28"/>
          <w:szCs w:val="28"/>
          <w:rtl w:val="true"/>
          <w:lang w:bidi="ar-SA"/>
        </w:rPr>
        <w:t>، والحلبي</w:t>
      </w:r>
      <w:r>
        <w:rPr>
          <w:rStyle w:val="FootnoteAnchor"/>
          <w:rtl w:val="true"/>
        </w:rPr>
        <w:footnoteReference w:id="1060"/>
      </w:r>
      <w:r>
        <w:rPr>
          <w:rFonts w:ascii="Amiri" w:hAnsi="Amiri" w:eastAsia="Amiri" w:cs="Amiri"/>
          <w:color w:val="111111"/>
          <w:sz w:val="28"/>
          <w:sz w:val="28"/>
          <w:szCs w:val="28"/>
          <w:rtl w:val="true"/>
          <w:lang w:bidi="ar-SA"/>
        </w:rPr>
        <w:t>، والشيخ</w:t>
      </w:r>
      <w:r>
        <w:rPr>
          <w:rStyle w:val="FootnoteAnchor"/>
          <w:rtl w:val="true"/>
        </w:rPr>
        <w:footnoteReference w:id="1061"/>
      </w:r>
      <w:r>
        <w:rPr>
          <w:rFonts w:ascii="Amiri" w:hAnsi="Amiri" w:eastAsia="Amiri" w:cs="Amiri"/>
          <w:color w:val="111111"/>
          <w:sz w:val="28"/>
          <w:sz w:val="28"/>
          <w:szCs w:val="28"/>
          <w:rtl w:val="true"/>
          <w:lang w:bidi="ar-SA"/>
        </w:rPr>
        <w:t>، وابن إدريس</w:t>
      </w:r>
      <w:r>
        <w:rPr>
          <w:rStyle w:val="FootnoteAnchor"/>
          <w:rtl w:val="true"/>
        </w:rPr>
        <w:footnoteReference w:id="1062"/>
      </w:r>
      <w:r>
        <w:rPr>
          <w:rFonts w:ascii="Amiri" w:hAnsi="Amiri" w:eastAsia="Amiri" w:cs="Amiri"/>
          <w:color w:val="111111"/>
          <w:sz w:val="28"/>
          <w:sz w:val="28"/>
          <w:szCs w:val="28"/>
          <w:rtl w:val="true"/>
          <w:lang w:bidi="ar-SA"/>
        </w:rPr>
        <w:t>وغيرهم، فاستظهر منهم الاختصاص بالجبهة، وتعبير آخرين بالجبهة، لكن الظاهر من الجميع إرادة ما يشمل الجبينين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الأولون المعبّرون بالوجه، فلشموله لهما، لا سيّما بعد ملاحظة تحديد الوجه عَرْضاً في باب الوضوء، وأمّا المعبّرون بالجبهة، فلاستدلال بعضهم باخبار الجبينين على الجبهة، وعدّهم ابن بابويه وابن الجنيد من القائلين بمسح الجبهة مع نصّهما على الجبينين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فيشهد لوجوب مسحهما نصوص الجبين، فإنّ حملها على إرادة ما يعمّ الجبهة أقرب من حملها على خصوص الجبهة، بل لا يصحّ هذا الحمل فيما اشتمل منها على المثنّى‌، ولا يعارضها خبر الجبهة المتقدّم، لما عرفت من روايته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إرادة ما يعمّ الجبينين من الجبهة شائعة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كلّ حال، حملها على ذلك أهون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الجبهة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المسح بالكفّين معاً، لضرورة عدم سعة الجبهة المجرّد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للعدم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بحمل نصوص الجبين على الجبهة، مؤيّداً له بأنّه من دون ذلك يبقى ما عليه الأصحاب من التخصيص بالجبهة بغير 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وبشيوع التعبير عنها بالجبين كما في حسن ابن المُغيرة</w:t>
      </w:r>
      <w:r>
        <w:rPr>
          <w:rStyle w:val="FootnoteAnchor"/>
          <w:rtl w:val="true"/>
        </w:rPr>
        <w:footnoteReference w:id="1063"/>
      </w:r>
      <w:r>
        <w:rPr>
          <w:rFonts w:ascii="Amiri" w:hAnsi="Amiri" w:eastAsia="Amiri" w:cs="Amiri"/>
          <w:color w:val="111111"/>
          <w:sz w:val="28"/>
          <w:sz w:val="28"/>
          <w:szCs w:val="28"/>
          <w:rtl w:val="true"/>
          <w:lang w:bidi="ar-SA"/>
        </w:rPr>
        <w:t>، وموثّق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تجزي صلاةٌ لا يُصيب الأنف ما يُصيب الجبين</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وبورود لفظ الجبين مفرداً في بعض النصوص</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نصوص الجبينين محتملة للاستحباب، إذ هي متضمّنة لنقل الفعل غير الظاهر في الوجوب، ولذا ذكر في جملةٍ منها نفض اليدين الذي هو مستحبّ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ما عليه الأصحاب هو وجوب مسح الجبينين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الخبرين لم يُحرز استعمال الجبين في خصوص الجبهة، بل يمكن أن يكون المراد بها ما يعمّها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استعمالها فيها في مورد مع القرينة، لا يكون دليلاً على استعمالها فيهاف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مطلقاً، حتّى مع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يتمّ فيما اشتمل منها على المثنّى‌، مع أنّ الأمر لو كان دائراً بين إرادة خصوص الجبين، وبين إرادة الجبهة، لتمّ ما ذكره في لفظ الجبين المفرد، ولكن لا يتمّ في مثل المقام الذي يكون الأمر دائراً بين إرادة ما يعمّ الجبهة، وإرادة خصوص الجبهة، فإنّ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يُلائم مع الأُولى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مراراً من أنّ حكاية الفعل في مقام بيان الحكم تدلّ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الأقوى وجوب مسح الجبينين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المحكيّ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مسح الحاجبين، واختاره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 xml:space="preserve">، ونفى عنه البأس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قول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مسح ما تحت الحاجبين، وأنّ وجوب مسحهما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به رواية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ثابتة، فلا يُعتمد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معقد الإجماعات المدعاة على وجوب المسح من القصاص إلى طرف الأنف الأعلى‌،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7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1072"/>
      </w:r>
      <w:r>
        <w:rPr>
          <w:rFonts w:ascii="Amiri" w:hAnsi="Amiri" w:eastAsia="Amiri" w:cs="Amiri"/>
          <w:color w:val="111111"/>
          <w:sz w:val="28"/>
          <w:sz w:val="28"/>
          <w:szCs w:val="28"/>
          <w:rtl w:val="true"/>
          <w:lang w:bidi="ar-SA"/>
        </w:rPr>
        <w:t>وغيرها، وجوب مسحهما، كوجوب مسح ما بين الحاجبين، مع عدم دخوله في الجبهة والجبينين عرفاً أو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الأحوط مسحهما أيضاً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12" w:name="pg11797_257013"/>
    </w:p>
    <w:p>
      <w:pPr>
        <w:pStyle w:val="Heading6"/>
        <w:numPr>
          <w:ilvl w:val="5"/>
          <w:numId w:val="1"/>
        </w:numPr>
        <w:rPr/>
      </w:pPr>
      <w:bookmarkStart w:id="413" w:name="__RefHeading___Toc10391206_73709187"/>
      <w:bookmarkStart w:id="414" w:name="_Toc154"/>
      <w:bookmarkEnd w:id="412"/>
      <w:bookmarkEnd w:id="413"/>
      <w:r>
        <w:rPr>
          <w:rtl w:val="true"/>
        </w:rPr>
        <w:t>المسح باليدين</w:t>
      </w:r>
      <w:bookmarkEnd w:id="414"/>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المصنّف</w:t>
      </w:r>
      <w:r>
        <w:rPr>
          <w:rStyle w:val="FootnoteAnchor"/>
          <w:rtl w:val="true"/>
        </w:rPr>
        <w:footnoteReference w:id="1073"/>
      </w:r>
      <w:r>
        <w:rPr>
          <w:rFonts w:ascii="Amiri" w:hAnsi="Amiri" w:eastAsia="Amiri" w:cs="Amiri"/>
          <w:color w:val="111111"/>
          <w:sz w:val="28"/>
          <w:sz w:val="28"/>
          <w:szCs w:val="28"/>
          <w:rtl w:val="true"/>
          <w:lang w:bidi="ar-SA"/>
        </w:rPr>
        <w:t>وغيره، لزوم كون المسح باليدين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المشهور بين الأصحاب نقلاً وتحصيلاً، بل لعلّه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بالمسح باليمنى‌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الاجتزاء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الأردبيلي</w:t>
      </w:r>
      <w:r>
        <w:rPr>
          <w:rStyle w:val="FootnoteAnchor"/>
          <w:rtl w:val="true"/>
        </w:rPr>
        <w:footnoteReference w:id="1078"/>
      </w:r>
      <w:r>
        <w:rPr>
          <w:rFonts w:ascii="Amiri" w:hAnsi="Amiri" w:eastAsia="Amiri" w:cs="Amiri"/>
          <w:color w:val="111111"/>
          <w:sz w:val="28"/>
          <w:sz w:val="28"/>
          <w:szCs w:val="28"/>
          <w:rtl w:val="true"/>
          <w:lang w:bidi="ar-SA"/>
        </w:rPr>
        <w:t>والخوانساري</w:t>
      </w: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البيانيّة، وما اشتمل من نصوص الباب على الأمر بذلك، كخبر ليث الآتي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وتمسح بهما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اعتبار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وبإطلاق الآية الشريفة، وبعض نصوص الباب، وبما في بعض النصوص</w:t>
      </w:r>
      <w:r>
        <w:rPr>
          <w:rStyle w:val="FootnoteAnchor"/>
          <w:rtl w:val="true"/>
        </w:rPr>
        <w:footnoteReference w:id="1080"/>
      </w:r>
      <w:r>
        <w:rPr>
          <w:rFonts w:ascii="Amiri" w:hAnsi="Amiri" w:eastAsia="Amiri" w:cs="Amiri"/>
          <w:color w:val="111111"/>
          <w:sz w:val="28"/>
          <w:sz w:val="28"/>
          <w:szCs w:val="28"/>
          <w:rtl w:val="true"/>
          <w:lang w:bidi="ar-SA"/>
        </w:rPr>
        <w:t>من أفراد اليد، وبالمساواة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 إذ الأصل لا يرجع إليه مع الدليل، والإطلاق يقيّد بما سبق</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يجوز حمل المطلق على المقيّد، فإنّه كذلك يجوز العمل بالمطلق، </w:t>
      </w:r>
    </w:p>
    <w:p>
      <w:pPr>
        <w:pStyle w:val="BookText"/>
        <w:rPr/>
      </w:pPr>
      <w:r>
        <w:rPr>
          <w:rFonts w:ascii="Amiri" w:hAnsi="Amiri" w:eastAsia="Amiri" w:cs="Amiri"/>
          <w:color w:val="111111"/>
          <w:sz w:val="28"/>
          <w:sz w:val="28"/>
          <w:szCs w:val="28"/>
          <w:rtl w:val="true"/>
          <w:lang w:bidi="ar-SA"/>
        </w:rPr>
        <w:t>وحمل المقيّد على أفضل أفراد الواجب، كما عن المحقّق الخوانساري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الثاني خلاف ما تقتضيه قاعدة الجمع بين المطلق والمقيّد، وإفراد اليد لا يصلح للمعارضة، مع ما تقدّم، لما عرفت من إمكان حملها على إرادة الجنس، بل قد عرفت تعيّن حمل اليد بقرينة ما في ذيل الخبرين عليها، والمساواة ممنوعة، لا سيّما بعد قيام الدليل على العدم،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تمّ شيءٌ من هذه الوجوه، لثبت ما احتمله المصنّف رحمه الله، فيبقى قول ابن الجُنيد بلا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ريب ولا كلام في عدم اعتبار إمرار كلّ جزءٍ من الكفّين بكلّ جزءٍ من الممسوح لتعذّره، إلّامع إمرار كلٍّ من اليدين مرّات متعدّدة غير الواجبة قطعاً، كما تشهد له النصوص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فإنّه لا يجب إمرار تمام إحداهما على بعضه، وتمام الاُخرى على الباقي، إذ لو سُلّم ظهور الأخبار في استيعاب الماسح، لا نُسلّم ظهورها في لزوم مسح تمام أجزاء الجبهة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فالأمر يدور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استيعاب الماسح كالممسوح، بمعنى وجوب مسح مجموع الممسوح بجميع باطن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عدمه من باب كفاية إمرار كلٍّ من اليدين في الجملة، ولو بعض كلّ منهما على بعض الممسوح، بحيث يستوعب الممسوح دون الماسح</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الأوّل، بدعوى أنّه تدلّ عليه أكثر نصوص المقام، إذ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 بهما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 بكفّيك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إرادة الجميع لا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النصوص، المسح بما يضرب على الأرض، لا سيّما وكون الظاهر أنّ اعتبار الضّرب على الأرض إنّما هو لتصحيح علاقة مسح الوجه من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توهّمٌ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لتعيّن صرفها عن ظاهرها، لقول الإمام الباقر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جبينيه بأصابعه</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 فإنّه كالصريح في عدم اعتبار الاستيعاب، فإذاً الأقوى كفاية البعض</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15" w:name="pg11797_257019"/>
    </w:p>
    <w:p>
      <w:pPr>
        <w:pStyle w:val="BookText"/>
        <w:rPr/>
      </w:pPr>
      <w:bookmarkEnd w:id="415"/>
      <w:r>
        <w:rPr>
          <w:rFonts w:ascii="Amiri" w:hAnsi="Amiri" w:eastAsia="Amiri" w:cs="Amiri"/>
          <w:color w:val="111111"/>
          <w:sz w:val="28"/>
          <w:sz w:val="28"/>
          <w:szCs w:val="28"/>
          <w:rtl w:val="true"/>
          <w:lang w:bidi="ar-SA"/>
        </w:rPr>
        <w:t>ثُمّ يمسَح ظهر كفّه الأيمن ببطن كفّه الأيسر، ثمّ ظَهر الأيسر ببطن الأيمن، مِنَ الزَّند إلى أطراف الأصابع</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10391208_73709187"/>
      <w:bookmarkStart w:id="417" w:name="_Toc155"/>
      <w:bookmarkEnd w:id="416"/>
      <w:r>
        <w:rPr>
          <w:rtl w:val="true"/>
        </w:rPr>
        <w:t>مسح اليدين</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واجب المتوضّي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ظهر كفّه الأيمن ببطن الأيسر، ثمّ ظَهر كفّه الأيسر ببطن الأيمن، من الزّند إلى أطراف الأصابع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وجوب مسح اليدين في الجملة،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من المذهب إنْ لم يكن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اختصاصه بظاهر الكفّين، من الزّند إلى أطراف الأصابع، كما في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10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دين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عليّ بن بابويه</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مسح الذّراعين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المسح من فوق الزّند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089"/>
      </w:r>
      <w:r>
        <w:rPr>
          <w:rFonts w:ascii="IRNazanin" w:hAnsi="IRNazanin" w:eastAsia="IRNazanin"/>
          <w:color w:val="111111"/>
          <w:sz w:val="28"/>
          <w:sz w:val="28"/>
          <w:szCs w:val="28"/>
          <w:rtl w:val="true"/>
          <w:lang w:bidi="fa-IR"/>
        </w:rPr>
        <w:t>عن قوم من أصحابنا أنّ المسح من اُصول الأصابع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للأوّل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بِوُجُوهِكُمْ وَ أَيْدِيكُمْ‌ </w:t>
      </w:r>
      <w:r>
        <w:rPr>
          <w:rStyle w:val="FootnoteAnchor"/>
          <w:rtl w:val="true"/>
        </w:rPr>
        <w:footnoteReference w:id="1091"/>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والباء للتبعيض كما بيّناه، وأيضاً فإنّ اليد هي الكفّ إلى الرسغ،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أَيْدِيَهُما </w:t>
      </w:r>
      <w:r>
        <w:rPr>
          <w:rStyle w:val="FootnoteAnchor"/>
          <w:rtl w:val="true"/>
        </w:rPr>
        <w:footnoteReference w:id="1092"/>
      </w:r>
      <w:r>
        <w:rPr>
          <w:rFonts w:ascii="Amiri" w:hAnsi="Amiri" w:eastAsia="Amiri" w:cs="Amiri"/>
          <w:color w:val="111111"/>
          <w:sz w:val="28"/>
          <w:sz w:val="28"/>
          <w:szCs w:val="28"/>
          <w:rtl w:val="true"/>
          <w:lang w:bidi="ar-SA"/>
        </w:rPr>
        <w:t>والإجماع منّا ومن العامّة منعقدٌ على أنّها لا تُقطع من فوق الرسغ، وما ذلك إلّالعدم تناول اليد له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الباء للتبعيض لا يوجب ظهور الآية في هذا القول، بل يلائم مع فتوى ابن بابويه أيضاً، بعد كون اليد حقيقةً هو مجموع هذا العضو إلى الكتف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دعواه من كون اليد حقيقةً في الكفّ إلى الرسغ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مضافاً إلى فساده في نفسه كما عرفت، لا يلائم مع مااستدلّ له به وهي آية السرقة، فإنّ يد السارق تقطع من اُصول الأصابع اتّفاقاً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مقتضى الجمع بين دليليه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كون اليد هي الكفّ إلى الرسغ، وكون الباء للتبعيض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المسح من الزّند،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خرجنا بذلك عن مقتضى الأدب معه رحمه الله واللّه تعالى مُقيل العثرات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الاستدلال له بالنصوص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وجهه وكفّيه ولم يمسح الذراعين بشيء</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همّام،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التيمّم ضربة للوجه وضربة للكفّين</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بعض النصوص من ذكر اليد، محمولٌ على ذلك، لصراحتها في عدم وجوب الزائد على الكفّ‌، مضافاً إلى ظهور الآية الشريفة في عدم وجوب مسح جميع اليد، كما تقدّم، والإجماع على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ابن مسلم، عن الإمام الصادق عليه السلام، عن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بكفّيه الأرض، ثمّ مَسَح بهما وجهه، ثمّ ضَرَب بشماله الأرض فمَسَح بها مِرْفَقه إلى أطراف الأصابع، واحدة على ظهرها وواحدة على بطنها، ثمّ ضَرَب بيمينه الأرض، ثُمّ صنع بشماله كما صنع بيمينه</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ليث المرادي، عنه عليه السلام في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 بكفّيك على الأرض مرّتين، ثمّ تنفضهما، وتمسح بهما وجهك وذراعيك</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فَمَسَح بها وجهه وذراعيه إلى المرفقين</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وأجاب عنها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مخالفة لظاهر القرآن، المأمور بعرض الأخبار عليه والأخذ بما وافقه وردّ ما خالفه، لمكان الباء الظاهرة في التبعيض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عرفاً ولغةً هي من الكتف، فهذه النصوص لا تُنافي ظاهر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الجواب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اشتمالها على مَسح الباطن، وتثليث الضربات الذين لانقول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وعدم صلاحيّتها لمعارضة النصوص المتقدّمة الصريحة في عدم وجوب مسح ما فوق الكفّ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معارضة مع صحيح زرارة</w:t>
      </w:r>
      <w:r>
        <w:rPr>
          <w:rStyle w:val="FootnoteAnchor"/>
          <w:rtl w:val="true"/>
        </w:rPr>
        <w:footnoteReference w:id="10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 وجهه وكفّيه ولم يمسح الذراعين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عدم محبوبيّة مسح الذراعين، ولو على سبيل الاستحباب، فلا يبقى وجه للجمع بين النصوص، بحمل هذه الطائفة على الاستحباب، لا سيّما مع ندرة القائل بالاستحباب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مع أنّ الأظهر ورودها مورد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داود بن النعمان، عن أبي عبد اللّه عليه السلام، عن التيمّم،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عمّاراً أصابته 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الأرض، ثمّ رفعها فمَسَح وجهه ويديه فوق الكفّ قليلاً</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أبي أيّوب الخزّاز</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وإنْ كان موردهما ما هو بدلٌ عن غُسل الجنابة، وقد أفتى في محكيّ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 xml:space="preserve">به في موردهما، إلّاأنّه لا يوجب تقييد إطلاقهما، ولذا أفتى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بثبوت هذا الحكم الذي تضمّناه فيما هو بدلٌ عن الوضوء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هذا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 نصوص الكفّ‌، وصحيح زرارة المتقدّم، الصّريح في عدم وجوب مسح ما فوق الكفّ‌، تمنع عن العمل بظاهرهما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فضلاً عن عدم عمل الأصحاب بهما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إضافةً إلى احتمال إرادة المسح فوقهما من باب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يحتمل أن يكون قليلاً صفة مصدرٍ محذوف،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المراد من فوق الكفّ ظهر الكفّ‌، فيكون مفادهما حينئذٍ أنّه مَسَح ظهر كفّه مَسْحَاً قليلاً، بأن وضع مثلاً تمام بطن إحدى الكفّين على ظهر الاُخرى‌، فمسح قليلاً بنحوٍ استوعب الممسوح، ولم يمرّ تمام بطن إحداهما على ظهر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w:t>
      </w:r>
      <w:r>
        <w:rPr>
          <w:rStyle w:val="FootnoteAnchor"/>
          <w:rtl w:val="true"/>
        </w:rPr>
        <w:footnoteReference w:id="1104"/>
      </w:r>
      <w:r>
        <w:rPr>
          <w:rFonts w:ascii="Amiri" w:hAnsi="Amiri" w:eastAsia="Amiri" w:cs="Amiri"/>
          <w:color w:val="111111"/>
          <w:sz w:val="28"/>
          <w:sz w:val="28"/>
          <w:szCs w:val="28"/>
          <w:rtl w:val="true"/>
          <w:lang w:bidi="ar-SA"/>
        </w:rPr>
        <w:t xml:space="preserve">حمّاد بن عيسى‌، عن بعض أصحابنا، عن الإمام الصادق عليه السلام أنّه سُئل عن التيمّم فتلا هذه الآية وَ اَلسّارِقُ وَ اَلسّارِقَةُ فَاقْطَعُوا أَيْدِيَهُما </w:t>
      </w:r>
      <w:r>
        <w:rPr>
          <w:rStyle w:val="FootnoteAnchor"/>
          <w:rtl w:val="true"/>
        </w:rPr>
        <w:footnoteReference w:id="110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 أَيْدِيَكُمْ إِلَى اَلْمَرافِقِ‌ </w:t>
      </w:r>
      <w:r>
        <w:rPr>
          <w:rStyle w:val="FootnoteAnchor"/>
          <w:rtl w:val="true"/>
        </w:rPr>
        <w:footnoteReference w:id="110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 على كفّيك من حيث موضع القطع،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نَسِيًّا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يضرّ إرساله بعد كون المُرسِل من أصحاب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إعراض الأصحاب عنه يمنع عن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كون المعصوم عليه السلام 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ذكر الآيتين غير المربوطتين بالمقام،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نَسِيًّا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تعليم الاستدلال على العامّة، وأراد من موضع القطع موضع القطع عندهم، وتكون كيفيّة الاستدلال 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الإطلاق يتبادر منها الكفّ‌، فإذا اُريد الزائد عليها، لابدَّ من نصب القرينة بدليل الآيتين، حيث أُطلقت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الأُولى‌، وذُكرت في الثانية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فبما أنّها ذكرت في آية التيمّم بلا قرينة، فيتبادر منها الكفّ خاصّة، ولو كان المراد ما فوق الكفّ لاستلزام بيان ذلك كما بيّنه في الوضوء، فإنّ اللّه تعالى لا ينسى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ممّا ذكرناه أنّ ما هو المشهور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فالواجب هو مسح ظهر اليد دون باطنها إجماعاً، حكاه جماعة،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الكاهلي</w:t>
      </w:r>
      <w:r>
        <w:rPr>
          <w:rStyle w:val="FootnoteAnchor"/>
          <w:rtl w:val="true"/>
        </w:rPr>
        <w:footnoteReference w:id="11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كفّيه إحداهما على ظهر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موثّق زرارة</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مَسح ما تماسّه بَشَرة الماسح، فلا يجب مسح ما بين الأصابع، ولا التعميق والتدفيق فيه، كما يشهد له التيمّمات البيانيّة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418" w:name="pg11797_257031"/>
    </w:p>
    <w:p>
      <w:pPr>
        <w:pStyle w:val="Heading6"/>
        <w:numPr>
          <w:ilvl w:val="5"/>
          <w:numId w:val="1"/>
        </w:numPr>
        <w:rPr/>
      </w:pPr>
      <w:bookmarkStart w:id="419" w:name="__RefHeading___Toc10391210_73709187"/>
      <w:bookmarkStart w:id="420" w:name="_Toc156"/>
      <w:bookmarkEnd w:id="418"/>
      <w:bookmarkEnd w:id="419"/>
      <w:r>
        <w:rPr>
          <w:rtl w:val="true"/>
        </w:rPr>
        <w:t>بقيّة واجبات التيمّم</w:t>
      </w:r>
      <w:bookmarkEnd w:id="420"/>
    </w:p>
    <w:p>
      <w:pPr>
        <w:pStyle w:val="Heading6"/>
        <w:numPr>
          <w:ilvl w:val="5"/>
          <w:numId w:val="1"/>
        </w:numPr>
        <w:rPr/>
      </w:pPr>
      <w:bookmarkStart w:id="421" w:name="__RefHeading___Toc10391212_73709187"/>
      <w:bookmarkStart w:id="422" w:name="_Toc157"/>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ثمّ إنّه يقع الكلام في سائر ما يعتبر في التيمّم، التي نصّ على بعضها المصنّف رحمه الله، وهي اُمور</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10391214_73709187"/>
      <w:bookmarkStart w:id="424" w:name="_Toc158"/>
      <w:bookmarkEnd w:id="423"/>
      <w:r>
        <w:rPr>
          <w:rtl w:val="true"/>
        </w:rPr>
        <w:t>المباشرة في حال الاختيار</w:t>
      </w:r>
      <w:bookmarkEnd w:id="424"/>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في حال الاختيار، بأن يتولّاه بنفسه، بلا 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 بل إجماعاً كما عن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توجّه الخطاب إلى المكلّف، هو اعتبار صدور الفعل من نفسه، وعدم سقوطه بفعل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بشيءٍ ظاهرٌ في أنّ المطلوب هو خصوص المادّة الصادرة عن المخاطب، كما هو الحال في سائر الأفعال المستندة إلى شخص، فإنّها ظاهرة في انتساب الفعل إلى نفس من استند إليه، فسقوط الواجب بفعل الغير، يستلزمُ تقييد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كان المولى في مقام البيان، وأمَرَ بشيءٍ ولم يُقيّده بعدم صدوره من غيره، مقتضى الإطلاق عدم اشتراط الواجب بعدم صدوره من الغير، وعلى فرض عدم وجود الإطلاق، فإنّ مقتضى استصحاب بقاء التكليف، عدم سقوطه بفعل الغير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ما ذكرناه في وجه اعتبار المباشرة في الوضوء، فراجع ما ذكرناه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المباشرة في أفعال الوضوء</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من هذا الشرح، فإنّه يجري في المقام مطابقة النعل بالنعل</w:t>
      </w:r>
      <w:r>
        <w:rPr>
          <w:rFonts w:eastAsia="Amiri" w:cs="Amiri" w:ascii="Amiri" w:hAnsi="Amiri"/>
          <w:color w:val="111111"/>
          <w:sz w:val="28"/>
          <w:szCs w:val="28"/>
          <w:rtl w:val="true"/>
          <w:lang w:bidi="ar-SA"/>
        </w:rPr>
        <w:t>.</w:t>
      </w:r>
      <w:bookmarkStart w:id="425" w:name="pg11797_257034"/>
    </w:p>
    <w:p>
      <w:pPr>
        <w:pStyle w:val="Heading6"/>
        <w:numPr>
          <w:ilvl w:val="5"/>
          <w:numId w:val="1"/>
        </w:numPr>
        <w:rPr/>
      </w:pPr>
      <w:bookmarkStart w:id="426" w:name="__RefHeading___Toc10391216_73709187"/>
      <w:bookmarkStart w:id="427" w:name="_Toc159"/>
      <w:bookmarkEnd w:id="425"/>
      <w:bookmarkEnd w:id="426"/>
      <w:r>
        <w:rPr>
          <w:rtl w:val="true"/>
        </w:rPr>
        <w:t>اعتبار الموالاة</w:t>
      </w:r>
      <w:bookmarkEnd w:id="427"/>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كما هو المشهور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1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11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111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عدم اعتبارها في ما هو بدلٌ عن الغسل، واختاره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فهي توجب التيمّم عقيب إرادة القيام إلى الصّلاة، ولا يتحقّق إلّابمجموع أجزائه، فيجب فعله عقيب الإرادة بقدر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السيّد في مداركه</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بالتيمّم هنا معناه اللّغوي، وهو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 بعض المعاصرين</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اُريد بالتيمّم في الآية المعنى الشرعي، غاية الأمر باستعماله في معناه </w:t>
      </w:r>
    </w:p>
    <w:p>
      <w:pPr>
        <w:pStyle w:val="BookText"/>
        <w:rPr/>
      </w:pPr>
      <w:r>
        <w:rPr>
          <w:rFonts w:ascii="Amiri" w:hAnsi="Amiri" w:eastAsia="Amiri" w:cs="Amiri"/>
          <w:color w:val="111111"/>
          <w:sz w:val="28"/>
          <w:sz w:val="28"/>
          <w:szCs w:val="28"/>
          <w:rtl w:val="true"/>
          <w:lang w:bidi="ar-SA"/>
        </w:rPr>
        <w:t>اللّغوي وإرادة المعنى الشرعي منه، بالتقريب المتقدّم في أوّل هذا المبحث، فالصحيح أن يورد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الفاء إنّما تكون فاء الجزاء، وهي لا تدلّ على شيءٍ سوى الترتّب بالعليّة، مع أنّ المراد بالشرط هو القيام من النوم، لا إرادة القيام إلى الصّلاة، كما يشهد لذلك جملةٌ من النصوص الواردة في تفسيرها، ومن المعلوم عدم وجوب فعله عقيب النوم مباشرةً‌، فلا مورد للاستدلال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التأسّي بالتيمّم البياني الصادر عن النبيّ صلى الله عليه و آله وأهل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التأسّي إنّما يجبُ فيما يعلم وجوبه وهو منتفٍ هنا، إذ من الجائز أن تكون المتابعة إنّما وقعت 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الصادر منهم عليهم السلام في مقام بيان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ظهوره في الوجوب، كما أنّ حكاية المعصوم عليه السلام في مقام بيان الحكم تيمّم النبيّ صلى الله عليه و آله ظاهرة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ظهور الفعل أو الحكاية في الوجوب، كظهور الأمر فيه، إنّما يكون مع عدم القرينة أو ما يصلح لها، وفي المقام قامت القرينة على أنّه عليه السلام في مقام التعليم، إذ ذلك يقتضى بيان جميع أجزائه مرّةً واحدة، ولا يحسن التفكيك بينها في هذا المقام، وإنْ لم يكن التوالي فيها، كما لا يخفى‌</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لو قلنا باختصاص التيمّم بآخر الوقت بالمعنى الذي ذكروه، كانت الموالاة من ضروريّات صحّته، لتقع الصّلاة في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اعتبار الموالاة في صحّة التيمّم، لا لزوم مراعاتها لأجل فوت الصّلاة بتركها، وإلّا لوجب مراعاتها في الغُسل في ضيق الوقت أيضاً، وهو غير مرتبط بالوجوب الشرطي، مع أنّ من يقول باختصاص التيمّم بآخر الوقت إنّما يقصد آخر الوقت العرفي، وهو لا يقتضي الموالاة،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يقتضي أن يُستدلّ لاعتبارها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فضلاً عن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قيل من إنّ الأمر بمركّبٌ ذي أجزاء مرتبطٌ بعضها ببعض في التأثير، يتبادر منه إرادة الإتيان بتمام أجزائه متواليةً لا بالتفريق، كما يظهر لمن لاحظ نظائر المقام، مثلاً لا يَفهم العرف من الأمر بتسبيحة الزهراء عليها السلام بعد الصّلاة إلّامطلوبيّة إتيان جميع تلك الأذكار متوالية، لا بنحو التفريق والتقطيع، بأن يُكبّر في أوّل الصبح، ويَحمد في الظّهر، ويُسبّح في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بالفاء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عقيب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لدلالتها على التعقيب بنحو الاتّصال في مسح الوجه، وإذا ثبت اعتبارها في مسح الوجه والضّرب على الصَّعيد، ثبت في مسح الوجه ومسح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لعدم القول بالفصل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لاقتضاء العطف ذلك، فإنّه يدلّ على مشاركة المعطوف مع المعطوف عليه في الحكم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دليل البدليّة</w:t>
      </w:r>
      <w:r>
        <w:rPr>
          <w:rStyle w:val="FootnoteAnchor"/>
          <w:rtl w:val="true"/>
        </w:rPr>
        <w:footnoteReference w:id="1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مراراً من عدم الاستدلال به في مثل هذه الخصوصيّة، فضلاً عن أنّ المراد بالموالاة هي المتابعة العرفيّة، فان مقتضى الأدلّة المذكورة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بها عدم التفريق المنافي لهيئة ذلك التيمّم وصورته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صورة التيمّم كغيره من العبادات، ليست إلّاأجزائه وشروطه المعتبرة فيه، إذ معها يتحقّق الاسم، ولم تثبت الهيئة الاتّصاليّة للتيمّم، كما ثبت في الصّلاة، كي يقال إنّ الفصل الماحي لتلك الصورة موجب للبطلان، وعليه فتفسير الموالاة بعدم التفريق المنافي لهيئة ذلك التيمّم في غير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126"/>
      </w:r>
      <w:r>
        <w:rPr>
          <w:rFonts w:ascii="Amiri" w:hAnsi="Amiri" w:eastAsia="Amiri" w:cs="Amiri"/>
          <w:color w:val="111111"/>
          <w:sz w:val="28"/>
          <w:sz w:val="28"/>
          <w:szCs w:val="28"/>
          <w:rtl w:val="true"/>
          <w:lang w:bidi="ar-SA"/>
        </w:rPr>
        <w:t>من أنّ المراد بها هو المعنى المعتبر في الوضوء، بتقدير الجفاف إنْ كان ماءً لعدم الدليل عليه، وكونه خلاف المقطوع به منهم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28" w:name="pg11797_257042"/>
    </w:p>
    <w:p>
      <w:pPr>
        <w:pStyle w:val="Heading6"/>
        <w:numPr>
          <w:ilvl w:val="5"/>
          <w:numId w:val="1"/>
        </w:numPr>
        <w:rPr/>
      </w:pPr>
      <w:bookmarkStart w:id="429" w:name="__RefHeading___Toc10391218_73709187"/>
      <w:bookmarkStart w:id="430" w:name="_Toc160"/>
      <w:bookmarkEnd w:id="428"/>
      <w:bookmarkEnd w:id="429"/>
      <w:r>
        <w:rPr>
          <w:rtl w:val="true"/>
        </w:rPr>
        <w:t>الابتداء بالأعلى</w:t>
      </w:r>
      <w:bookmarkEnd w:id="430"/>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بالأعلى ومنه إلى الأسفل، كما صرّح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المحقّق الثاني</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في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الأردبيلي</w:t>
      </w:r>
      <w:r>
        <w:rPr>
          <w:rStyle w:val="FootnoteAnchor"/>
          <w:rtl w:val="true"/>
        </w:rPr>
        <w:footnoteReference w:id="11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رعايته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31"/>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بأدلّة البدليّة</w:t>
      </w:r>
      <w:r>
        <w:rPr>
          <w:rStyle w:val="FootnoteAnchor"/>
          <w:rtl w:val="true"/>
        </w:rPr>
        <w:footnoteReference w:id="1132"/>
      </w:r>
      <w:r>
        <w:rPr>
          <w:rFonts w:ascii="Amiri" w:hAnsi="Amiri" w:eastAsia="Amiri" w:cs="Amiri"/>
          <w:color w:val="111111"/>
          <w:sz w:val="28"/>
          <w:sz w:val="28"/>
          <w:szCs w:val="28"/>
          <w:rtl w:val="true"/>
          <w:lang w:bidi="ar-SA"/>
        </w:rPr>
        <w:t>والتنزيل، سيّما بعدما ورد في بعض الأخبار</w:t>
      </w:r>
      <w:r>
        <w:rPr>
          <w:rStyle w:val="FootnoteAnchor"/>
          <w:rtl w:val="true"/>
        </w:rPr>
        <w:footnoteReference w:id="1133"/>
      </w:r>
      <w:r>
        <w:rPr>
          <w:rFonts w:ascii="Amiri" w:hAnsi="Amiri" w:eastAsia="Amiri" w:cs="Amiri"/>
          <w:color w:val="111111"/>
          <w:sz w:val="28"/>
          <w:sz w:val="28"/>
          <w:szCs w:val="28"/>
          <w:rtl w:val="true"/>
          <w:lang w:bidi="ar-SA"/>
        </w:rPr>
        <w:t>من أنّ التيمّم نصف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وبالتيمّمات البيانيّة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أدلّة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غير مرّةٍ من أن تلك الأدلّة لا تدلّ على اعتبار مثل هذه الخصوصيّات، وإلّا لزم تخصيص الأكثر، مع أنّ مقتضى تلك الأدلّة التفصيل بين ما هو بدلٌ عن الوضوء، وما هو بدلٌ عن الغُسل، فيعتبر في الأوّل دون الثاني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ثبت ذلك فيما هو بدلٌ عن الوضوء، ثبت فيما هو بدلٌ عن الغُسل </w:t>
      </w:r>
    </w:p>
    <w:p>
      <w:pPr>
        <w:pStyle w:val="BookText"/>
        <w:rPr/>
      </w:pPr>
      <w:r>
        <w:rPr>
          <w:rFonts w:ascii="IRNazanin" w:hAnsi="IRNazanin" w:eastAsia="IRNazanin"/>
          <w:color w:val="111111"/>
          <w:sz w:val="28"/>
          <w:sz w:val="28"/>
          <w:szCs w:val="28"/>
          <w:rtl w:val="true"/>
          <w:lang w:bidi="fa-IR"/>
        </w:rPr>
        <w:t>لعدم القول بالفصل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يعكس ذلك، فيلتزم بعدم اعتباره فيما هو بدلٌ عن الوضوء أيضاً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التيمّمات البيانيّة فليس في شيء منها التعرّض لذلك، كي يُستدلّ بها لاعتباره، وعلى فرض التعرّض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الحاكي للفعل مع هذه الخصوصيّة، هو المعصوم عليه السلام، صحّ الاستدلال بتلك الحكاية، لظهورها في اعتبارها، وإلّا لما 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غيره عليه السلام، فلا يصلح الاستدلال بها، إذ الفعل لا يصلح أنْ يكون دليلاً على اعتبار مثل هذه الخصوصيّة، لأنّه لابدَّ وأن يقع على أحد الوجهين، وهذا يصلحُ أن يكون قرينةً لصرف ظهور الفعل الواقع لبيان الحكم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مدّعيه إنّما استظهره من دعوى إجماع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w:t>
      </w:r>
      <w:r>
        <w:rPr>
          <w:rStyle w:val="FootnoteAnchor"/>
          <w:rtl w:val="true"/>
        </w:rPr>
        <w:footnoteReference w:id="1134"/>
      </w:r>
      <w:r>
        <w:rPr>
          <w:rFonts w:ascii="Amiri" w:hAnsi="Amiri" w:eastAsia="Amiri" w:cs="Amiri"/>
          <w:color w:val="111111"/>
          <w:sz w:val="28"/>
          <w:sz w:val="28"/>
          <w:szCs w:val="28"/>
          <w:rtl w:val="true"/>
          <w:lang w:bidi="ar-SA"/>
        </w:rPr>
        <w:t>، وابن زُهرة</w:t>
      </w:r>
      <w:r>
        <w:rPr>
          <w:rStyle w:val="FootnoteAnchor"/>
          <w:rtl w:val="true"/>
        </w:rPr>
        <w:footnoteReference w:id="1135"/>
      </w:r>
      <w:r>
        <w:rPr>
          <w:rFonts w:ascii="IRNazanin" w:hAnsi="IRNazanin" w:eastAsia="IRNazanin"/>
          <w:color w:val="111111"/>
          <w:sz w:val="28"/>
          <w:sz w:val="28"/>
          <w:szCs w:val="28"/>
          <w:rtl w:val="true"/>
          <w:lang w:bidi="fa-IR"/>
        </w:rPr>
        <w:t>، والصدوق</w:t>
      </w:r>
      <w:r>
        <w:rPr>
          <w:rStyle w:val="FootnoteAnchor"/>
          <w:rtl w:val="true"/>
        </w:rPr>
        <w:footnoteReference w:id="1136"/>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مسح الجبهة من القصاص إلى طرف الأنف، بدعوى رجوع القيد إلى المسح، وإلّا فلم يُصرّح باعتبار ذلك إلّاجماعة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اختصاصه حينئذٍ بالوجه، لعدم التعرّض لبيانه بالنسبة إلى ظهر الكفّين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مسوقٌ لبيان تحديد الممسوح، لا لكيفيّة المسح، ولا أقلّ من احتمال ذلك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ابن مسلم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ضَرَب بشماله الأرض فمَسَح بها مرفقه إلى</w:t>
      </w:r>
      <w:r>
        <w:rPr>
          <w:rFonts w:eastAsia="Amiri" w:cs="Amiri" w:ascii="Amiri" w:hAnsi="Amiri"/>
          <w:color w:val="111111"/>
          <w:sz w:val="28"/>
          <w:szCs w:val="28"/>
          <w:rtl w:val="true"/>
          <w:lang w:bidi="ar-SA"/>
        </w:rPr>
        <w:t xml:space="preserve">). </w:t>
      </w:r>
      <w:bookmarkStart w:id="431" w:name="pg11797_257046"/>
    </w:p>
    <w:p>
      <w:pPr>
        <w:pStyle w:val="BookText"/>
        <w:rPr/>
      </w:pPr>
      <w:bookmarkEnd w:id="431"/>
      <w:r>
        <w:rPr>
          <w:rFonts w:ascii="IRNazanin" w:hAnsi="IRNazanin" w:eastAsia="IRNazanin"/>
          <w:color w:val="111111"/>
          <w:sz w:val="28"/>
          <w:sz w:val="28"/>
          <w:szCs w:val="28"/>
          <w:rtl w:val="true"/>
          <w:lang w:bidi="fa-IR"/>
        </w:rPr>
        <w:t>أطراف الأصابع</w:t>
      </w:r>
      <w:r>
        <w:rPr>
          <w:rFonts w:eastAsia="IRNazanin" w:cs="IRNazanin"/>
          <w:color w:val="111111"/>
          <w:sz w:val="28"/>
          <w:szCs w:val="28"/>
          <w:rtl w:val="true"/>
          <w:lang w:bidi="fa-IR"/>
        </w:rPr>
        <w:t>»</w:t>
      </w:r>
      <w:r>
        <w:rPr>
          <w:rStyle w:val="FootnoteAnchor"/>
          <w:rtl w:val="true"/>
        </w:rPr>
        <w:footnoteReference w:id="1137"/>
      </w:r>
      <w:r>
        <w:rPr>
          <w:rFonts w:ascii="Amiri" w:hAnsi="Amiri" w:eastAsia="Amiri" w:cs="Amiri"/>
          <w:color w:val="111111"/>
          <w:sz w:val="28"/>
          <w:sz w:val="28"/>
          <w:szCs w:val="28"/>
          <w:rtl w:val="true"/>
          <w:lang w:bidi="ar-SA"/>
        </w:rPr>
        <w:t>، فلو سُلّم ظهوره في اعتبار ذلك، لا يُعتمد عليه، لما عرفت من أنّه مطروحٌ‌، أو محمولٌ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يصحّ الاستدلال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مرسل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 على كفّيك مِن حيثُ موضع القطع</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 فقد عرفت أنّ الأظهر وروده في مقام بيان تعليم كيفيّة الاحتجاج مع العامّة، وليس في مقام بيان الحكم الواقعي، فلا يستدلّ به، مع أنّ رجوع القيد إلى المسح لا الممسوح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ممّا ذكرنا أنّه لا دليل على اعتبار هذه الخصوصيّة، والمرجع إلى إطلاق الأدلّة والأصل، وهما يقتضيان العدم</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10391220_73709187"/>
      <w:bookmarkStart w:id="433" w:name="_Toc161"/>
      <w:bookmarkEnd w:id="432"/>
      <w:r>
        <w:rPr>
          <w:rtl w:val="true"/>
        </w:rPr>
        <w:t>عدم الحائل بين الماسح والممسوح</w:t>
      </w:r>
      <w:bookmarkEnd w:id="43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الحائل بين الماسح والممسوح، لظهور الأدلّة في اعتبار ممّاسة الماسح للممسوح، وإلّا فيكون الممسوح هو الحائل لا الوجه أو اليدين كماهو واضح</w:t>
      </w:r>
      <w:r>
        <w:rPr>
          <w:rFonts w:eastAsia="Amiri" w:cs="Amiri" w:ascii="Amiri" w:hAnsi="Amiri"/>
          <w:color w:val="111111"/>
          <w:sz w:val="28"/>
          <w:szCs w:val="28"/>
          <w:rtl w:val="true"/>
          <w:lang w:bidi="ar-SA"/>
        </w:rPr>
        <w:t>.</w:t>
      </w:r>
      <w:bookmarkStart w:id="434" w:name="pg11797_257049"/>
    </w:p>
    <w:p>
      <w:pPr>
        <w:pStyle w:val="Heading6"/>
        <w:numPr>
          <w:ilvl w:val="5"/>
          <w:numId w:val="1"/>
        </w:numPr>
        <w:rPr/>
      </w:pPr>
      <w:bookmarkStart w:id="435" w:name="__RefHeading___Toc10391222_73709187"/>
      <w:bookmarkStart w:id="436" w:name="_Toc162"/>
      <w:bookmarkEnd w:id="434"/>
      <w:bookmarkEnd w:id="435"/>
      <w:r>
        <w:rPr>
          <w:rtl w:val="true"/>
        </w:rPr>
        <w:t>طهارة الماسح والممسوح</w:t>
      </w:r>
      <w:bookmarkEnd w:id="436"/>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الماسح والممسوح، كما صرّح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r>
        <w:rPr>
          <w:rStyle w:val="FootnoteAnchor"/>
          <w:rtl w:val="true"/>
        </w:rPr>
        <w:footnoteReference w:id="1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الشهيد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اعتبار طهارة أعضاء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يدّعي أنّه لم يعثر على مصرّح بشيءٍ منه من قدماء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فالاستدلال على اعتبار الطهارة بالإجماع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التّراب ينجس بملاقاة النجس، فلا يكون طيباً، وبأنّ بدليّته من الطهارة المائيّة تقتضي مساواته لها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يختصّ بالنجاسة السارية، فهو أخصّ من المُدّعى، مع أنّه يختصّ بالماسح، ولا يشمل الممسوح،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على اعتبار طهارة ما يتيمّم به، إنّما يدلّ على اعتبار الطهارة عند إرادة التيمّم، فالنجاسة الحاصلة باستعماله لا تكون مانعة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اعتبار الطهارة حين الاستعمال في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أدلّة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عدم استفادة هذه الاُمور منها، مع أنّك قد عرفت عدم الدليل على اعتبار طهارة ماء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عدم اعتبارها،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143"/>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1144"/>
      </w:r>
      <w:r>
        <w:rPr>
          <w:rFonts w:ascii="Amiri" w:hAnsi="Amiri" w:eastAsia="Amiri" w:cs="Amiri"/>
          <w:color w:val="111111"/>
          <w:sz w:val="28"/>
          <w:sz w:val="28"/>
          <w:szCs w:val="28"/>
          <w:rtl w:val="true"/>
          <w:lang w:bidi="ar-SA"/>
        </w:rPr>
        <w:t>، والسيّد عميدالدين</w:t>
      </w:r>
      <w:r>
        <w:rPr>
          <w:rStyle w:val="FootnoteAnchor"/>
          <w:rtl w:val="true"/>
        </w:rPr>
        <w:footnoteReference w:id="1145"/>
      </w:r>
      <w:r>
        <w:rPr>
          <w:rFonts w:ascii="IRNazanin" w:hAnsi="IRNazanin" w:eastAsia="IRNazanin"/>
          <w:color w:val="111111"/>
          <w:sz w:val="28"/>
          <w:sz w:val="28"/>
          <w:szCs w:val="28"/>
          <w:rtl w:val="true"/>
          <w:lang w:bidi="fa-IR"/>
        </w:rPr>
        <w:t>وابن فهد</w:t>
      </w:r>
      <w:r>
        <w:rPr>
          <w:rStyle w:val="FootnoteAnchor"/>
          <w:rtl w:val="true"/>
        </w:rPr>
        <w:footnoteReference w:id="1146"/>
      </w:r>
      <w:r>
        <w:rPr>
          <w:rFonts w:ascii="Amiri" w:hAnsi="Amiri" w:eastAsia="Amiri" w:cs="Amiri"/>
          <w:color w:val="111111"/>
          <w:sz w:val="28"/>
          <w:sz w:val="28"/>
          <w:szCs w:val="28"/>
          <w:rtl w:val="true"/>
          <w:lang w:bidi="ar-SA"/>
        </w:rPr>
        <w:t>، وإنْ كان الأحوط ذلك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37" w:name="pg11797_257053"/>
    </w:p>
    <w:p>
      <w:pPr>
        <w:pStyle w:val="BookText"/>
        <w:rPr/>
      </w:pPr>
      <w:bookmarkEnd w:id="437"/>
      <w:r>
        <w:rPr>
          <w:rFonts w:ascii="Amiri" w:hAnsi="Amiri" w:eastAsia="Amiri" w:cs="Amiri"/>
          <w:color w:val="111111"/>
          <w:sz w:val="28"/>
          <w:sz w:val="28"/>
          <w:szCs w:val="28"/>
          <w:rtl w:val="true"/>
          <w:lang w:bidi="ar-SA"/>
        </w:rPr>
        <w:t>ولو كان بدلاً من الغُسل، ضَرَب ضربتين، ضَربةً للوجه واُخرى لليدين</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10391224_73709187"/>
      <w:bookmarkStart w:id="439" w:name="_Toc163"/>
      <w:bookmarkEnd w:id="438"/>
      <w:r>
        <w:rPr>
          <w:rtl w:val="true"/>
        </w:rPr>
        <w:t>في اعتبار الضربتين وعدمه</w:t>
      </w:r>
      <w:bookmarkEnd w:id="439"/>
    </w:p>
    <w:p>
      <w:pPr>
        <w:pStyle w:val="Heading6"/>
        <w:numPr>
          <w:ilvl w:val="5"/>
          <w:numId w:val="1"/>
        </w:numPr>
        <w:rPr/>
      </w:pPr>
      <w:bookmarkStart w:id="440" w:name="__RefHeading___Toc10391226_73709187"/>
      <w:bookmarkStart w:id="441" w:name="_Toc164"/>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على أنّه لو كان التيمّم بدلاً عن الوضوء، ضَرَب ضربةً واحدةً للوجه واليدين،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بدلاً من الغُسل ضَرَب ضربتين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للوجه، واُخرى لليدين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نقلاً وتحصيلاً بين المتقدّمين والمتأخّرين، شهرةً عظيمةً كادت تكون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دين الإماميّة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152"/>
      </w:r>
      <w:r>
        <w:rPr>
          <w:rFonts w:ascii="Amiri" w:hAnsi="Amiri" w:eastAsia="Amiri" w:cs="Amiri"/>
          <w:color w:val="111111"/>
          <w:sz w:val="28"/>
          <w:sz w:val="28"/>
          <w:szCs w:val="28"/>
          <w:rtl w:val="true"/>
          <w:lang w:bidi="ar-SA"/>
        </w:rPr>
        <w:t>في الأركان، وجماعة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ضربتان في الكلّ‌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1153"/>
      </w:r>
      <w:r>
        <w:rPr>
          <w:rFonts w:ascii="Amiri" w:hAnsi="Amiri" w:eastAsia="Amiri" w:cs="Amiri"/>
          <w:color w:val="111111"/>
          <w:sz w:val="28"/>
          <w:sz w:val="28"/>
          <w:szCs w:val="28"/>
          <w:rtl w:val="true"/>
          <w:lang w:bidi="ar-SA"/>
        </w:rPr>
        <w:t>والمفيد</w:t>
      </w:r>
      <w:r>
        <w:rPr>
          <w:rStyle w:val="FootnoteAnchor"/>
          <w:rtl w:val="true"/>
        </w:rPr>
        <w:footnoteReference w:id="1154"/>
      </w:r>
      <w:r>
        <w:rPr>
          <w:rFonts w:ascii="Amiri" w:hAnsi="Amiri" w:eastAsia="Amiri" w:cs="Amiri"/>
          <w:color w:val="111111"/>
          <w:sz w:val="28"/>
          <w:sz w:val="28"/>
          <w:szCs w:val="28"/>
          <w:rtl w:val="true"/>
          <w:lang w:bidi="ar-SA"/>
        </w:rPr>
        <w:t>في العزيّة، والقديمين، وابن زُهرة</w:t>
      </w:r>
      <w:r>
        <w:rPr>
          <w:rStyle w:val="FootnoteAnchor"/>
          <w:rtl w:val="true"/>
        </w:rPr>
        <w:footnoteReference w:id="115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1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157"/>
      </w:r>
      <w:r>
        <w:rPr>
          <w:rFonts w:ascii="Amiri" w:hAnsi="Amiri" w:eastAsia="Amiri" w:cs="Amiri"/>
          <w:color w:val="111111"/>
          <w:sz w:val="28"/>
          <w:sz w:val="28"/>
          <w:szCs w:val="28"/>
          <w:rtl w:val="true"/>
          <w:lang w:bidi="ar-SA"/>
        </w:rPr>
        <w:t xml:space="preserve">، والكليني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 والقاضي</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ضربة واحدة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بابويه</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ثلاث ضربات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161"/>
      </w:r>
      <w:r>
        <w:rPr>
          <w:rFonts w:ascii="IRNazanin" w:hAnsi="IRNazanin" w:eastAsia="IRNazanin"/>
          <w:color w:val="111111"/>
          <w:sz w:val="28"/>
          <w:sz w:val="28"/>
          <w:szCs w:val="28"/>
          <w:rtl w:val="true"/>
          <w:lang w:bidi="fa-IR"/>
        </w:rPr>
        <w:t>نسبته إلى قوم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هي أقوال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الاكتفاء بالضربة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عن الإمام الباقر عليه السلام عن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بيده إلى الأرض، ثمّ رفعهما فنفضها، ثمّ مَسَح بها جبينه وكفّيه مرّةً واحدة</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صحيحا زرارة</w:t>
      </w:r>
      <w:r>
        <w:rPr>
          <w:rStyle w:val="FootnoteAnchor"/>
          <w:rtl w:val="true"/>
        </w:rPr>
        <w:footnoteReference w:id="1163"/>
      </w:r>
      <w:r>
        <w:rPr>
          <w:rFonts w:ascii="IRNazanin" w:hAnsi="IRNazanin" w:eastAsia="IRNazanin"/>
          <w:color w:val="111111"/>
          <w:sz w:val="28"/>
          <w:sz w:val="28"/>
          <w:szCs w:val="28"/>
          <w:rtl w:val="true"/>
          <w:lang w:bidi="fa-IR"/>
        </w:rPr>
        <w:t>وخبره</w:t>
      </w:r>
      <w:r>
        <w:rPr>
          <w:rStyle w:val="FootnoteAnchor"/>
          <w:rtl w:val="true"/>
        </w:rPr>
        <w:footnoteReference w:id="1164"/>
      </w:r>
      <w:r>
        <w:rPr>
          <w:rFonts w:ascii="Amiri" w:hAnsi="Amiri" w:eastAsia="Amiri" w:cs="Amiri"/>
          <w:color w:val="111111"/>
          <w:sz w:val="28"/>
          <w:sz w:val="28"/>
          <w:szCs w:val="28"/>
          <w:rtl w:val="true"/>
          <w:lang w:bidi="ar-SA"/>
        </w:rPr>
        <w:t>، وخبر ابن أبي المِقْدام</w:t>
      </w:r>
      <w:r>
        <w:rPr>
          <w:rStyle w:val="FootnoteAnchor"/>
          <w:rtl w:val="true"/>
        </w:rPr>
        <w:footnoteReference w:id="1165"/>
      </w:r>
      <w:r>
        <w:rPr>
          <w:rFonts w:ascii="Amiri" w:hAnsi="Amiri" w:eastAsia="Amiri" w:cs="Amiri"/>
          <w:color w:val="111111"/>
          <w:sz w:val="28"/>
          <w:sz w:val="28"/>
          <w:szCs w:val="28"/>
          <w:rtl w:val="true"/>
          <w:lang w:bidi="ar-SA"/>
        </w:rPr>
        <w:t>، وحَسن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الكاهلي</w:t>
      </w:r>
      <w:r>
        <w:rPr>
          <w:rStyle w:val="FootnoteAnchor"/>
          <w:rtl w:val="true"/>
        </w:rPr>
        <w:footnoteReference w:id="1166"/>
      </w:r>
      <w:r>
        <w:rPr>
          <w:rFonts w:ascii="Amiri" w:hAnsi="Amiri" w:eastAsia="Amiri" w:cs="Amiri"/>
          <w:color w:val="111111"/>
          <w:sz w:val="28"/>
          <w:sz w:val="28"/>
          <w:szCs w:val="28"/>
          <w:rtl w:val="true"/>
          <w:lang w:bidi="ar-SA"/>
        </w:rPr>
        <w:t>، وموثّق سماعة</w:t>
      </w:r>
      <w:r>
        <w:rPr>
          <w:rStyle w:val="FootnoteAnchor"/>
          <w:rtl w:val="true"/>
        </w:rPr>
        <w:footnoteReference w:id="1167"/>
      </w:r>
      <w:r>
        <w:rPr>
          <w:rFonts w:ascii="Amiri" w:hAnsi="Amiri" w:eastAsia="Amiri" w:cs="Amiri"/>
          <w:color w:val="111111"/>
          <w:sz w:val="28"/>
          <w:sz w:val="28"/>
          <w:szCs w:val="28"/>
          <w:rtl w:val="true"/>
          <w:lang w:bidi="ar-SA"/>
        </w:rPr>
        <w:t>، وموثّق زرارة</w:t>
      </w:r>
      <w:r>
        <w:rPr>
          <w:rStyle w:val="FootnoteAnchor"/>
          <w:rtl w:val="true"/>
        </w:rPr>
        <w:footnoteReference w:id="1168"/>
      </w:r>
      <w:r>
        <w:rPr>
          <w:rFonts w:ascii="Amiri" w:hAnsi="Amiri" w:eastAsia="Amiri" w:cs="Amiri"/>
          <w:color w:val="111111"/>
          <w:sz w:val="28"/>
          <w:sz w:val="28"/>
          <w:szCs w:val="28"/>
          <w:rtl w:val="true"/>
          <w:lang w:bidi="ar-SA"/>
        </w:rPr>
        <w:t xml:space="preserve">المرويّ في مستطرفات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وصحيحا</w:t>
      </w:r>
      <w:r>
        <w:rPr>
          <w:rStyle w:val="FootnoteAnchor"/>
          <w:rtl w:val="true"/>
        </w:rPr>
        <w:footnoteReference w:id="1169"/>
      </w:r>
      <w:r>
        <w:rPr>
          <w:rFonts w:ascii="Amiri" w:hAnsi="Amiri" w:eastAsia="Amiri" w:cs="Amiri"/>
          <w:color w:val="111111"/>
          <w:sz w:val="28"/>
          <w:sz w:val="28"/>
          <w:szCs w:val="28"/>
          <w:rtl w:val="true"/>
          <w:lang w:bidi="ar-SA"/>
        </w:rPr>
        <w:t>داود بن النعمان، وأبي أيّوب الخزّار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الضربتين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عن التيمّم،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مرّتين مرّتين للوجه واليدين</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الكندي</w:t>
      </w:r>
      <w:r>
        <w:rPr>
          <w:rStyle w:val="FootnoteAnchor"/>
          <w:rtl w:val="true"/>
        </w:rPr>
        <w:footnoteReference w:id="1171"/>
      </w:r>
      <w:r>
        <w:rPr>
          <w:rFonts w:ascii="Amiri" w:hAnsi="Amiri" w:eastAsia="Amiri" w:cs="Amiri"/>
          <w:color w:val="111111"/>
          <w:sz w:val="28"/>
          <w:sz w:val="28"/>
          <w:szCs w:val="28"/>
          <w:rtl w:val="true"/>
          <w:lang w:bidi="ar-SA"/>
        </w:rPr>
        <w:t>، وخبر ليث</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التيمّم‌؟ فضرب بكفّيه الأرض، ثمّ مسح بهما وجهه، ثمّ ضرب بشماله الأرض فمسح بها مرفقه إلى أطراف الأصابع، واحدة على ظهرها، وواحدة على بطنها، ثمّ ضرب بيمينه الأرض، ثمّ صنع بشماله كما صنع بيمينه</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 دلالته على التفصيل بين ما هو بدلٌ عن الوضوء فيكتفى فيه بالضربة، وما هو بدلٌ عن الغُسل فيعتبر فيه ضربتان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w:t>
      </w:r>
      <w:r>
        <w:rPr>
          <w:rStyle w:val="FootnoteAnchor"/>
          <w:rtl w:val="true"/>
        </w:rPr>
        <w:footnoteReference w:id="1174"/>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الشيخ في الصحيح، عن 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التيمّم للوضوء مرّة واحدة، ومن الجنابة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Style w:val="FootnoteAnchor"/>
          <w:rtl w:val="true"/>
        </w:rPr>
        <w:footnoteReference w:id="1176"/>
      </w:r>
      <w:r>
        <w:rPr>
          <w:rFonts w:ascii="Amiri" w:hAnsi="Amiri" w:eastAsia="Amiri" w:cs="Amiri"/>
          <w:color w:val="111111"/>
          <w:sz w:val="28"/>
          <w:sz w:val="28"/>
          <w:szCs w:val="28"/>
          <w:rtl w:val="true"/>
          <w:lang w:bidi="ar-SA"/>
        </w:rPr>
        <w:t>، عن الباقر عليه السلام،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التيمّم‌؟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واحد للوضوء، والغُسل من الجنابة تضرب بيديك مرّتين، ثمّ تنفضهما نفضةً للوجه ونفضة لليدين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بدعوى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w:t>
      </w:r>
      <w:r>
        <w:rPr>
          <w:rStyle w:val="FootnoteAnchor"/>
          <w:rtl w:val="true"/>
        </w:rPr>
        <w:footnoteReference w:id="1177"/>
      </w:r>
      <w:r>
        <w:rPr>
          <w:rFonts w:ascii="Amiri" w:hAnsi="Amiri" w:eastAsia="Amiri" w:cs="Amiri"/>
          <w:color w:val="111111"/>
          <w:sz w:val="28"/>
          <w:sz w:val="28"/>
          <w:szCs w:val="28"/>
          <w:rtl w:val="true"/>
          <w:lang w:bidi="ar-SA"/>
        </w:rPr>
        <w:t>المتقدّم، الدالّ على اعتبار الثلاث، المذيّل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التيمّم على ما كان فيه الغُسل، وفي الوضوء الوجه واليدين إلى المرفقين، وألقى ما كان عليه مسح الرأس والقدمين فلا يتيمّم بالصعيد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المستفاد منه الفرق بين القسمين في عَدَد الضربات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Style w:val="FootnoteAnchor"/>
          <w:rtl w:val="true"/>
        </w:rPr>
        <w:footnoteReference w:id="11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وغيرهما من نسبة التفصيل إلى رواية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التسوية بين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w:t>
      </w:r>
      <w:r>
        <w:rPr>
          <w:rStyle w:val="FootnoteAnchor"/>
          <w:rtl w:val="true"/>
        </w:rPr>
        <w:footnoteReference w:id="1180"/>
      </w:r>
      <w:r>
        <w:rPr>
          <w:rFonts w:ascii="Amiri" w:hAnsi="Amiri" w:eastAsia="Amiri" w:cs="Amiri"/>
          <w:color w:val="111111"/>
          <w:sz w:val="28"/>
          <w:sz w:val="28"/>
          <w:szCs w:val="28"/>
          <w:rtl w:val="true"/>
          <w:lang w:bidi="ar-SA"/>
        </w:rPr>
        <w:t>،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التيمّم من الوضوء ومن الجنابة، ومن الحيض للنساء سواء؟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 للمشهور بوجوه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الرابعة المفصّلة بين القسمين، شاهدة للجمع بين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الأوليين، بحمل الأُولى على ما هو بدلٌ عن الوضوء، والثانية على ما هو بدلٌ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إطلاق كلتا الطائفتين، وكذلك تقيّد إطلاق الطائفة الخامسة، توجب حملها على إرادة التسوية في الممسوح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فتطرح لإعراض الأصحاب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الطائفة ما بين غير دالٍّ على التفصيل، وغير ثابت الحجّية، لأنّ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طعن فيه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81"/>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وجود له في كتب الشيخ ولا في غيرها،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وهمٌ عجيبٌ‌، لأنّ الحديث المدّعى لا وجود له، بل هو حديث ابن اُذينة عن محمّد بن مسلم السابق هنا، لكن الشيخ أشار إلى مضمونه على أحد الاحتمالين في أثناء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فحصل الوهم من تأدية معناه، وظنّ العلّامة وغيره أنّه حديثٌ آخر صريح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كذلك، لأنّ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بعدما جمع بين الأخبار بالحمل على التفصيل،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إنّا أوردنا خبرين مفسّرين لهذه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زرارة، عن أبي جعفر عليه السلام، والآخر عن ابن أبي عُمير، عن ابن اُذينة، عن ابن مسلم،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التيمّم من الوضوء مرّة واحدة ومن الجنابة مرّتان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كلامه هذا نقلُ حاصل ما فهمه من الخبرين، فإنّ الخبرين الّذين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صحيحا زرارة وابن مسلم المتقدّمان في نصوص التفصيل، اللّذان ستعرف ما فيهما، ويُشعر بذلك ذكر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الإشارة إلى كلا الصحيحين، مع أنّه لم ينقل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الصحيح، ولا نقله غيره من أرباب الحديث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يكون متن الخبرين هو ذلك بلا تفاوت، وأنّ المصنّف رحمه الله قد وقف عليهما في كتب الشيخ، ولم يقف عليهما أحدٌ سواه،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من احتمال كون هذا الخبر غير ذينك الخبرين، فلا مقتضى لردّ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ولا أقلّ من المحتمل،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ضَرْبٌ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نوع واحد، وأنّه عليه السلام بيَّن صورته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حمل الواو على الاستئناف، مضافاً إلى أنّه يستدعي تقدير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ممّا يُصحّح الحمل ويوجب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للغُسل لا التيمّم،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أنّه نوعٌ واحد، لم يكن جواباً عن السؤال، وكان ذكره تطفّلاً، وهو غير مناسبٍ لوقوعه في صدر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السائل بما أنّه سأل عن مطلق التيمّم لا خصوص قسم منه، فجوابه عليه السلام بأنّه نوعٌ واحد، ثمّ بيان حقيقته، لا يكون تطفّلاً، مع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بعد ملاحظة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ظهور الصحيح في المعنى المُدّعى كما لا يخفى‌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لا يتمّ في متن الخبر،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 حيث أنّه رواه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ضربة واحدة للوضوء، وللغُسل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المحقّق انفرد بهذا النقل، وقد نقله غيره من الفقهاء وأرباب الحديث على النحو المتقدّم، فلا يعتمد على نقله، لا سيّما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يوضع لنقل الحديث، بل للإفتاء والاستدلال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ابن مسلم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دالّاً على هذا التفصيل، إذ لعلّه قصد بما في ذيله من الفرق بين القسمين في الكيفيّة، بأنْ يكون الواجب فيما هو بدلٌ عن الوضوء الابتداء بالأصابع قياساً على مبدله، وفي ما هو بدلٌ عن الغُسل الانتهاء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هذا أيضاً من الشواهد لحمل الخبر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يحتمل أن يكون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المَسح، لا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الوضوء، فيكون المراد أنّ التيمّم إنّما يكون على الأعضاء التي تُغسل في الوضوء لا ما تمسح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ظهوره في ذلك، كما يشهد له جَرّ الوجه واليدين لكونهما بدلاً عن ما المجرورة، ويؤيّده إسقاط حرف العطف في بعض النسخ، وذكره في الوضوء غير مصدّرٍ بالواو،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وألقى ما كان عليه 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لو تمّت دلالته على التفصيل بين القسمين، من حيث عدد الضربات، فإنّما يدلّ على اعتبار الثلاث، فيما هو بدلٌ عن الغُسل، وعدم اعتبارها فيما هو بدلٌ عن الوضوء، فلا يدلّ على ما اختاره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أنّه لا قائل بمضمونه، فيطرح للإعراض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يثبت كونها غير الصحيحين اللّذين استدلّ بهما الشيخ رحمه الله وغيره، وفهموا منهما التفصيل المذكور، لأنّ من البعيد وقوف هؤلاء على غيرهما دون غيرهم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أنّه ليس في النصوص ما يكون ظاهراً في التفصيل المزبور </w:t>
      </w:r>
    </w:p>
    <w:p>
      <w:pPr>
        <w:pStyle w:val="BookText"/>
        <w:rPr/>
      </w:pPr>
      <w:r>
        <w:rPr>
          <w:rFonts w:ascii="Amiri" w:hAnsi="Amiri" w:eastAsia="Amiri" w:cs="Amiri"/>
          <w:color w:val="111111"/>
          <w:sz w:val="28"/>
          <w:sz w:val="28"/>
          <w:szCs w:val="28"/>
          <w:rtl w:val="true"/>
          <w:lang w:bidi="ar-SA"/>
        </w:rPr>
        <w:t>كي يكون شاهداً للجمع، مع أنّه لو كان لما صحّ حمل نصوص المرّة على ما هو بدلٌ عن الوضوء، بعد كون أكثرها كالنّص في ما هو بدلٌ عن الغسل، لورودها في مقام تعليم عمّار لمّا أجنَب وكان فاقداً للماء، وهكذا تتحقّق المعارضة بينها وبين ما دلَّ على التفصيل، فلا يصلح أن يكون شاهدا للجمع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الهمداني رحمه الله</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دلّ على التفصيل يعارض الطائفة الدالّة على التسوية بين ما هو بدلٌ عن الوضوء، وما هو بدلٌ عن الغسل، كموثّق عمّار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أنّه على فرض دلالة تلك النصوص على التفصيل، تكون شاهدة لحملها على التسوية في الممسوح، وإنْ كان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 xml:space="preserve">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 من الجمع بين النصوص بالالتزام بالتفصيل المذكور معلّلاً، بأنّ وجوب استيعاب الجسد في الغُسل يناسب كثرة الضربات، وعدم الاستيعاب في الوضوء يناسب وحدتها، وبأنّهما حَدَثان مختلفان في المبدل فيختلفان في البدل، وحيثُ أنّه لا تفصيل وراء هذا التفصيل قطعاً، فيتعيّن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الوجوه الاعتباريّة الاستحسانيّة، لا تصلحُ أن تكون مدركاً للحكم الشرعي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أخبار المرّة على البدل عن الوضوء، ونصوص المرّتين على البدل من الغُسل، بقرينة الشهرة ونقل الإجماع، بدعوى أنّ الأُولى نصٌّ في كفاية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المرّة في الجملة، وظاهرة في الإطّراد، والثانية نصٌّ في اعتبار التعدّد في الجملة، وظاهرة في الإطّراد، ومقتضى القاعدة رفع اليد عن ظهور كلٍّ منهما بنصّ الاُخرى‌، فتكون النتيجة وجود القسمين في التيمّم، وحيث لا تفصيل آخر، فيتعيّن الالتزام بالتفصيل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نصوصيّة أخبار المرّة فيما هو بدلٌ عن الغُسل فلا يصحّ هذا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جمعاً عرفيّاً، كما يشهد له أنّه لو جمعنا الطائفتين في كلامٍ واحد، لا يرى العرف إحداهما قرينةً على التصرّف في الاُخرى‌، بل يرونهما متنافيتين، وهو آية عدم كون هذا الجمع جمعاً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الشهرة فلا تصلح أن تكون شاهدة له في حَدّ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القول بالتفصيل، ويؤكّده ما دلَّ على التسوية بين ما هو بدل عن الوضوء، وما هو بدلٌ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باعتبار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ضعيفٌ لضعف مستنده، وهو صحيح ابن مسلم المتقدّم، لإعراض الأصحاب عنه، ومعارضته بما هو أشهر منه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فيدور الأمر بين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الاكتفاء بالمرّة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اعتبار الضربتين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أنّه لم يبق من النصوص ما يمكن أن يستدلّ به إلّاالنصوص الدالّة على كلٍّ من القولين، كما عرفت، فيتعيّن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تقييد الأُولى بالثانية، أو الالتزام بأنّها ليست في مقام البيان من هذه الجهة، أو حمل الثانية، إمّا على الاستحباب، أو حملها على التقيّة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ولازم الأولين اعتبار الضربتين مطلقاً، ولازم الثالث الاكتفاء بالمرّة </w:t>
      </w:r>
    </w:p>
    <w:p>
      <w:pPr>
        <w:pStyle w:val="BookText"/>
        <w:rPr/>
      </w:pPr>
      <w:r>
        <w:rPr>
          <w:rFonts w:ascii="Amiri" w:hAnsi="Amiri" w:eastAsia="Amiri" w:cs="Amiri"/>
          <w:color w:val="111111"/>
          <w:sz w:val="28"/>
          <w:sz w:val="28"/>
          <w:szCs w:val="28"/>
          <w:rtl w:val="true"/>
          <w:lang w:bidi="ar-SA"/>
        </w:rPr>
        <w:t>واستحباب المرّتين، كما أنّ لازم الرابع الاكتفاء بالمرّة، وعدم الدليل على استحباب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الأوّل، إذ نصوص المرّة لورودها في مقام بيان التعليم، وخلوّها عن التعرّض للثانية كالنّص في عدم وجوب الزائد، وليست من قبيل المطلق كي تقيّد بما دلَّ على اعتبار المرّتين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بدعوى عدم إرادتهم في تلك الوقائع، إلّابيان كيفيّة المسح لا عدد الضربات، ولذا ضَرَب بيديه على البساط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بدعوى أنّ الحاكي اقتصر على حكاية الضربة الواحدة، لعدم تعلّق غرضه بنقل الفعل بجميع الخصوصيّات، ولذا أهمل ذكر جملةٍ من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صلى الله عليه و آله في مقام تعليم عمّار الذي كان لا يعرف من التيمّم شيئاً سوى لزوم إيجاده بالصعيد، كما يظهر من ملاحظة فعله لا يكون في مقام الإهمال من هذه الجهة، ولذا ضرب بيديه على الأرض ليعلّمه كيفيّة التيمّم بالصعيد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للالتزام بأنّها مهملة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ضرب يديه على البساط، إنّما هو لأجل أنّ عمّاراً كان يعلم بلزوم كونه بالصعيد، ولذا لم يتعرّض له، بخلاف الضّرب على الأرض مرّة أو مرّتين، فلو كان الواجب مرّتين، لم يترك النبي صلى الله عليه و آله الثانية، مع كونه في مقام بيان التيمّم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الحاكي لهذا الفعل الذي هو المعصوم عليه السلام، فلا يترك مثل هذه الخصوصيّة على فرض صدور ضربة اُخرى لليدين من النبيّ صلى الله عليه و آله، مع كونه عليه السلام في مقام بيان ماهيّة التيمّم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فنصوص المرّة صريحة في عدم وجوب الزائد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بيديه على الأرض، ثمّ رفعهما فنفضهما، ثمّ مَسَح بهما جبهته وكفّيه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خبر ابن أبي المقدام، وقريبٌ منه صحيح زرارة إذ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يعد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الظاهر بحسب القواعد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رجوع القيد إلى المسح، إلّاأنّه من جهة عدم الخلاف من أحدٍ منّا ومن مخالفينا في الإكتفاء بمسحة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دعوى رجوعه إلى الضّرب لا إلى المسح،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نصوص المرّتين على التقيّة، كما عن المحقّق المجلسي</w:t>
      </w:r>
      <w:r>
        <w:rPr>
          <w:rStyle w:val="FootnoteAnchor"/>
          <w:rtl w:val="true"/>
        </w:rPr>
        <w:footnoteReference w:id="119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فقد استدلّ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المشهور بين المخالفين الضربتان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الموافقة لمذهب المخالفين، لا يصلح أن يكون دليلاً على الحمل على التقيّة، فإنّ مخالفة العامّة تعدّ من مرجّحات إحدى الحُجّتين على الاُخرى عند التعارض، وفقد جملةٍ من المرجّحات، لا أنّها من مميّزات الحجّة عن اللّاحجّة، فمع إمكان الجمع العرفي، لا وجه للحمل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المشهور بينهم نسبة القول بالضربة إلى عليّ عليه السلام وعمّار التابع له وابن عبّاس، وهو المنقول عن جماعةٍ من فقهائهم وجمهور محدّثيهم، فيتعيّن الجمع بحمل نصوص المرّتين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الاكتفاء بالمرّة مطلقاً، واستحباب الضربتين كذلك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42" w:name="pg11797_257075"/>
    </w:p>
    <w:p>
      <w:pPr>
        <w:pStyle w:val="Heading6"/>
        <w:numPr>
          <w:ilvl w:val="5"/>
          <w:numId w:val="1"/>
        </w:numPr>
        <w:rPr/>
      </w:pPr>
      <w:bookmarkStart w:id="443" w:name="__RefHeading___Toc10391228_73709187"/>
      <w:bookmarkStart w:id="444" w:name="_Toc165"/>
      <w:bookmarkEnd w:id="442"/>
      <w:bookmarkEnd w:id="443"/>
      <w:r>
        <w:rPr>
          <w:rtl w:val="true"/>
        </w:rPr>
        <w:t>في استواء الأغسال في الكيفيّة وعدمه</w:t>
      </w:r>
      <w:bookmarkEnd w:id="44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فرعان، لابدَّ من التعرّض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القول بالتفصيل هل الأغسال سواءٌ في كيفيّة التيمّم كما هو المشهور،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واحداً؟</w:t>
      </w:r>
    </w:p>
    <w:p>
      <w:pPr>
        <w:pStyle w:val="BookText"/>
        <w:rPr/>
      </w:pPr>
      <w:r>
        <w:rPr>
          <w:rFonts w:ascii="Amiri" w:hAnsi="Amiri" w:eastAsia="Amiri" w:cs="Amiri"/>
          <w:color w:val="111111"/>
          <w:sz w:val="28"/>
          <w:sz w:val="28"/>
          <w:szCs w:val="28"/>
          <w:rtl w:val="true"/>
          <w:lang w:bidi="ar-SA"/>
        </w:rPr>
        <w:t>أم يُفصّل بين أسباب الغُسل، فالتعدّد واجبٌ في الجنابة دون غيرها؟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تيمّم الحائض والجُنُب، سواءٌ إذا لم يجدا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بضميمة عدم الفصل بين الحيض وسائر أسباب الغُسل، يدلّ على ذلك، ويؤيّده قوله عليه السلام في صحيح ابن مسلم المتقدّم في أدلّة التفصيل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التيمّم على ما كان فيه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على فرض دلالته على القول بوجود القسمين، يدلّ على أنّ التعدّد إنّما يعتبر في جميع أسباب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التوالي بين الضربتين، أم يعتبر الفصل بينهما بمسح الوجه، أم يتخيّر بينهما؟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أقواها الأخير، لأنّ الجمع بين صحيح الكندي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التيمّم ضربةٌ للوجه وضربة للكفّين</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 الظاهر في 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خبر ليث،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تضرب بكفّيك على الأرض مرّتين، ثمّ تنفضهما، وتمسح بهما وجهك </w:t>
      </w:r>
    </w:p>
    <w:p>
      <w:pPr>
        <w:pStyle w:val="BookText"/>
        <w:rPr/>
      </w:pPr>
      <w:r>
        <w:rPr>
          <w:rFonts w:ascii="Amiri" w:hAnsi="Amiri" w:eastAsia="Amiri" w:cs="Amiri"/>
          <w:color w:val="111111"/>
          <w:sz w:val="28"/>
          <w:sz w:val="28"/>
          <w:szCs w:val="28"/>
          <w:rtl w:val="true"/>
          <w:lang w:bidi="ar-SA"/>
        </w:rPr>
        <w:t>وذراعيك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تعيّن الأوّل، يقتضي الالتزام بالتخيير بين الكيفيّتين، ولكن بما أنّ خبر ليث متضمّنٌ لسمح الذراعين، ولأجله قيل إنّه يُحمل على التقيّة، ويكون العمل بما تضمّنه الصحيح أحوط وأولى‌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العمل بما قيل إنّ غاية الاحتياط أن يضرب مع ذلك مرّة اُخرى يده اليسرى‌، ويمسح بها ظهر اليمنى، ثُمّ يضرب اليمنى ويمسَح بها اليسرى‌، لا بأس به، لصحيح ابن مسلم المتقدّم الذي استدلّ به للقول باعتبار الثلاث</w:t>
      </w:r>
      <w:r>
        <w:rPr>
          <w:rFonts w:eastAsia="Amiri" w:cs="Amiri" w:ascii="Amiri" w:hAnsi="Amiri"/>
          <w:color w:val="111111"/>
          <w:sz w:val="28"/>
          <w:szCs w:val="28"/>
          <w:rtl w:val="true"/>
          <w:lang w:bidi="ar-SA"/>
        </w:rPr>
        <w:t>.</w:t>
      </w:r>
      <w:bookmarkStart w:id="445" w:name="pg11797_257079"/>
    </w:p>
    <w:p>
      <w:pPr>
        <w:pStyle w:val="BookText"/>
        <w:rPr/>
      </w:pPr>
      <w:bookmarkEnd w:id="445"/>
      <w:r>
        <w:rPr>
          <w:rFonts w:ascii="Amiri" w:hAnsi="Amiri" w:eastAsia="Amiri" w:cs="Amiri"/>
          <w:color w:val="111111"/>
          <w:sz w:val="28"/>
          <w:sz w:val="28"/>
          <w:szCs w:val="28"/>
          <w:rtl w:val="true"/>
          <w:lang w:bidi="ar-SA"/>
        </w:rPr>
        <w:t>وَيَجِب الترتيب</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10391230_73709187"/>
      <w:bookmarkStart w:id="447" w:name="_Toc166"/>
      <w:bookmarkEnd w:id="446"/>
      <w:r>
        <w:rPr>
          <w:rtl w:val="true"/>
        </w:rPr>
        <w:t>الترتيب</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المذكور 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9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19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199"/>
      </w:r>
      <w:r>
        <w:rPr>
          <w:rFonts w:ascii="Amiri" w:hAnsi="Amiri" w:eastAsia="Amiri" w:cs="Amiri"/>
          <w:color w:val="111111"/>
          <w:sz w:val="28"/>
          <w:sz w:val="28"/>
          <w:szCs w:val="28"/>
          <w:rtl w:val="true"/>
          <w:lang w:bidi="ar-SA"/>
        </w:rPr>
        <w:t>وغيرها، واستدلّ له بالنصوص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الفعل في مقام بيان الحكم، وإنْ كان هو الوجوب، إلّاأنّه في غير مثل هذه الخصوصيّة، التي يمكن أن تكون لأجل أنّ الترتيب من ضروريّات الأفعال، الّتي لا يمكن الجمع بينها، فالأولى أن يُستدلّ له في غير مسح الكفّين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w:t>
      </w:r>
      <w:r>
        <w:rPr>
          <w:rStyle w:val="FootnoteAnchor"/>
          <w:rtl w:val="true"/>
        </w:rPr>
        <w:footnoteReference w:id="1200"/>
      </w:r>
      <w:r>
        <w:rPr>
          <w:rFonts w:ascii="Amiri" w:hAnsi="Amiri" w:eastAsia="Amiri" w:cs="Amiri"/>
          <w:color w:val="111111"/>
          <w:sz w:val="28"/>
          <w:sz w:val="28"/>
          <w:szCs w:val="28"/>
          <w:rtl w:val="true"/>
          <w:lang w:bidi="ar-SA"/>
        </w:rPr>
        <w:t xml:space="preserve">الشريفة،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الترتيب، فهي تدلّ على اعتباره بين مسح الوجه وضرب اليدين، وكذلك الواو عند القُرّاء، فهي تدلّ على اعتباره بين مسح اليدين، ومسح الوجه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تضمّن حكاية الإمام عليه السلام الترتيب، كصحيح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بيديه على الأرض، ثمّ ضَرَب إحداهما على الاُخرى‌، ثمّ مَسَح بجبينه، ثمّ مسح كفّيه</w:t>
      </w:r>
      <w:r>
        <w:rPr>
          <w:rStyle w:val="FootnoteAnchor"/>
          <w:rtl w:val="true"/>
        </w:rPr>
        <w:footnoteReference w:id="1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الترتيب بين مسح اليد اليمنى‌، ومسح اليد اليسرى‌، فلا دليل عليه من الكتاب والسُنّة، لخلوّهما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فيه الإجماع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مسح اليدين، فهو وإنْ كان ظاهراً في اعتباره، إلّا أنّه سبق وأن ذكرنا تعيّن طرحه أو حمله على التقيَّة، فلا وجه للاستدلال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الفقه الرضوي</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دلَّ عليه، إلّاأنّه لضعف سنده لا يُعتمد عليه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48" w:name="pg11797_257083"/>
    </w:p>
    <w:p>
      <w:pPr>
        <w:pStyle w:val="Heading6"/>
        <w:numPr>
          <w:ilvl w:val="5"/>
          <w:numId w:val="1"/>
        </w:numPr>
        <w:rPr/>
      </w:pPr>
      <w:bookmarkStart w:id="449" w:name="__RefHeading___Toc10391232_73709187"/>
      <w:bookmarkStart w:id="450" w:name="_Toc167"/>
      <w:bookmarkEnd w:id="448"/>
      <w:bookmarkEnd w:id="449"/>
      <w:r>
        <w:rPr>
          <w:rtl w:val="true"/>
        </w:rPr>
        <w:t>فروع</w:t>
      </w:r>
      <w:r>
        <w:rPr>
          <w:rtl w:val="true"/>
        </w:rPr>
        <w:t>:</w:t>
      </w:r>
      <w:bookmarkEnd w:id="450"/>
    </w:p>
    <w:p>
      <w:pPr>
        <w:pStyle w:val="Heading6"/>
        <w:numPr>
          <w:ilvl w:val="5"/>
          <w:numId w:val="1"/>
        </w:numPr>
        <w:rPr/>
      </w:pPr>
      <w:bookmarkStart w:id="451" w:name="__RefHeading___Toc10391234_73709187"/>
      <w:bookmarkStart w:id="452" w:name="_Toc168"/>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في كفاية المسح على الشَّعر وعدمها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فروع ينبغي البحث عن حكمها</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10391236_73709187"/>
      <w:bookmarkStart w:id="454" w:name="_Toc169"/>
      <w:bookmarkEnd w:id="453"/>
      <w:r>
        <w:rPr>
          <w:rtl w:val="true"/>
        </w:rPr>
        <w:t>إذا كان على محلّ المسح لحمٌ زائد وجب مسحه</w:t>
      </w:r>
      <w:bookmarkEnd w:id="454"/>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محلّ المسح لحمٌ زائد وجب مسحه، لأنّه يعدّ عرفاً من أجزاء الممسوح، وإنْ كانت له يدٌزائدة، فالحكم فيها كمامرّ في الوضوء، فراجع</w:t>
      </w:r>
      <w:r>
        <w:rPr>
          <w:rFonts w:eastAsia="Amiri" w:cs="Amiri" w:ascii="Amiri" w:hAnsi="Amiri"/>
          <w:color w:val="111111"/>
          <w:sz w:val="28"/>
          <w:szCs w:val="28"/>
          <w:rtl w:val="true"/>
          <w:lang w:bidi="ar-SA"/>
        </w:rPr>
        <w:t>.</w:t>
      </w:r>
      <w:r>
        <w:rPr>
          <w:rStyle w:val="FootnoteAnchor"/>
          <w:rtl w:val="true"/>
        </w:rPr>
        <w:footnoteReference w:id="1203"/>
      </w:r>
    </w:p>
    <w:p>
      <w:pPr>
        <w:pStyle w:val="Heading6"/>
        <w:numPr>
          <w:ilvl w:val="5"/>
          <w:numId w:val="1"/>
        </w:numPr>
        <w:rPr/>
      </w:pPr>
      <w:bookmarkStart w:id="455" w:name="__RefHeading___Toc10391238_73709187"/>
      <w:bookmarkStart w:id="456" w:name="_Toc170"/>
      <w:bookmarkEnd w:id="455"/>
      <w:r>
        <w:rPr>
          <w:rtl w:val="true"/>
        </w:rPr>
        <w:t>في كفاية المسح على الشَّعر وعدمها</w:t>
      </w:r>
      <w:bookmarkEnd w:id="456"/>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محلّ المسح شعرٌ، بأن كان منبته فيه، يكفي المسح عليه للسيرة المستمرّة القطعيّة، ولخلوّ النصوص عن التعرّض لإزالة الشَّعر ومسح البشرة، مع غلبة وجوده، وعموم الابتلاء به، فإنّه دليلٌ قطعي على أنّ المراد من الممسوح ما يعمّ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له باُمور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عرفاً من توابع ما نَبَت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انسباق الذّهن إلى مسحه من الأمر بمسح الجبهة واليدين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الحَرَج من وجوب إزالته بالحلق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عموم</w:t>
      </w:r>
      <w:r>
        <w:rPr>
          <w:rStyle w:val="FootnoteAnchor"/>
          <w:rtl w:val="true"/>
        </w:rPr>
        <w:footnoteReference w:id="12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أحاط به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التبعيّة الخارجيّة أعمٌّ من التبعيّة في الدلالة، مع أنّ مقتضى التبعيّة لزوم مسحه أيضاً، لا الاكتفاء بمسحه عن مسح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الشَّعر غير الجبهة واليدين مفهوماً وخارجاً مانعٌ عن الانسباق المذكور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الحَرَج لا يلزم نوعاً من الإزالة بالحلق، مع أنّ لزوم الحَرَج يمنع عن وجوب مسح البشرة عند لزومه لا مطلقاً</w:t>
      </w:r>
      <w:r>
        <w:rPr>
          <w:rFonts w:eastAsia="Amiri" w:cs="Amiri" w:ascii="Amiri" w:hAnsi="Amiri"/>
          <w:color w:val="111111"/>
          <w:sz w:val="28"/>
          <w:szCs w:val="28"/>
          <w:rtl w:val="true"/>
          <w:lang w:bidi="ar-SA"/>
        </w:rPr>
        <w:t xml:space="preserve">. </w:t>
      </w:r>
      <w:bookmarkStart w:id="457" w:name="pg11797_257086"/>
    </w:p>
    <w:p>
      <w:pPr>
        <w:pStyle w:val="BookText"/>
        <w:rPr/>
      </w:pPr>
      <w:bookmarkEnd w:id="457"/>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في مبحث الوضوء</w:t>
      </w:r>
      <w:r>
        <w:rPr>
          <w:rStyle w:val="FootnoteAnchor"/>
          <w:rtl w:val="true"/>
        </w:rPr>
        <w:footnoteReference w:id="1205"/>
      </w:r>
      <w:r>
        <w:rPr>
          <w:rFonts w:ascii="Amiri" w:hAnsi="Amiri" w:eastAsia="Amiri" w:cs="Amiri"/>
          <w:color w:val="111111"/>
          <w:sz w:val="28"/>
          <w:sz w:val="28"/>
          <w:szCs w:val="28"/>
          <w:rtl w:val="true"/>
          <w:lang w:bidi="ar-SA"/>
        </w:rPr>
        <w:t>عدم شموله للممسوح في الوضوء، فضلاً عن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ذكرناه</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10391240_73709187"/>
      <w:bookmarkStart w:id="459" w:name="_Toc171"/>
      <w:bookmarkEnd w:id="458"/>
      <w:r>
        <w:rPr>
          <w:rtl w:val="true"/>
        </w:rPr>
        <w:t>إذا كان على الماسح أو الممسوح جبيرة، يكفي المسح بها أو عليها</w:t>
      </w:r>
      <w:bookmarkEnd w:id="459"/>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الماسح أو الممسوح جبيرة، يكفي المسح بها أو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يُعرف،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06"/>
      </w:r>
      <w:r>
        <w:rPr>
          <w:rFonts w:ascii="Amiri" w:hAnsi="Amiri" w:eastAsia="Amiri" w:cs="Amiri"/>
          <w:color w:val="111111"/>
          <w:sz w:val="28"/>
          <w:sz w:val="28"/>
          <w:szCs w:val="28"/>
          <w:rtl w:val="true"/>
          <w:lang w:bidi="ar-SA"/>
        </w:rPr>
        <w:t>، وعن غيرها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بقاعدة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عبد الأعلى مولى آل سام،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عثرتُ فانقطع ظُفري، فجعلتُ على إصبعي مرارة، كيف أصنعُ بالوضوء؟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وأشباهه من كتاب اللّه عزّ و جلّ‌،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Style w:val="FootnoteAnchor"/>
          <w:rtl w:val="true"/>
        </w:rPr>
        <w:footnoteReference w:id="1207"/>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أنّه يدلّ على أنّه يمكن استفادة سقوط لزوم ممّاسة الماسح للممسوح، وبقاء الأمر بباقي الأجزاء من عموم الآية الشريفة،</w:t>
      </w:r>
      <w:r>
        <w:rPr>
          <w:rStyle w:val="FootnoteAnchor"/>
          <w:rtl w:val="true"/>
        </w:rPr>
        <w:footnoteReference w:id="1209"/>
      </w:r>
      <w:r>
        <w:rPr>
          <w:rFonts w:ascii="Amiri" w:hAnsi="Amiri" w:eastAsia="Amiri" w:cs="Amiri"/>
          <w:color w:val="111111"/>
          <w:sz w:val="28"/>
          <w:sz w:val="28"/>
          <w:szCs w:val="28"/>
          <w:rtl w:val="true"/>
          <w:lang w:bidi="ar-SA"/>
        </w:rPr>
        <w:t>وعليه فمقتضى عموم الآية، لزوم المسح بها أو عليها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المستفاد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الجبيرة قائمة مقام البدن عند تعذّر حَلّها، فيجبُ الغُسل فيها في موضع الغُسل، والمسح في موضعه مع تعذّره، وكذا المسح في التيمّم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اللّازم من عدم المسح عليها، ترك الصّلاة، إذ لا تصحّ بدون طهارة، </w:t>
      </w:r>
    </w:p>
    <w:p>
      <w:pPr>
        <w:pStyle w:val="BookText"/>
        <w:rPr/>
      </w:pPr>
      <w:r>
        <w:rPr>
          <w:rFonts w:ascii="IRNazanin" w:hAnsi="IRNazanin" w:eastAsia="IRNazanin"/>
          <w:color w:val="111111"/>
          <w:sz w:val="28"/>
          <w:sz w:val="28"/>
          <w:szCs w:val="28"/>
          <w:rtl w:val="true"/>
          <w:lang w:bidi="fa-IR"/>
        </w:rPr>
        <w:t>ومن المعلوم بطلانه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عدم دلالتها على عدم سقوط الميسور من الأجزاء بمعسورها، وإنّما تدلّ على عدم سقوط الميسور من الأفراد بمعسورها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يدلّ على أنّ سقوط جزئيّة ما هو حَرَجيٌ يستفاد من الآية، لا وجوب الباقي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النصوص إنّما دلّت على قيام الجبيرة مقام الجسد في باب الوضوء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دلَّ على عدم سقوط الصّلاة إنْ دلَّ على عدم السقوط حتّى مع تعذّر الطهارة، فلازمه وجوب الصّلاة بلا طهارةٍ في المقام، وإلّا فلازمه سقوطها لفرض تعذّر الطهارة، وعلى أيّ حال لا يصلح أن يكون دليلاً على حصول الطهارة بالتيمّم الناقص</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هو الإجماع إنْ ثبت، وكان تعبّديّاً لا مستنداً إلى بعض ما تقدّم من الوجوه</w:t>
      </w:r>
      <w:r>
        <w:rPr>
          <w:rFonts w:eastAsia="Amiri" w:cs="Amiri" w:ascii="Amiri" w:hAnsi="Amiri"/>
          <w:color w:val="111111"/>
          <w:sz w:val="28"/>
          <w:szCs w:val="28"/>
          <w:rtl w:val="true"/>
          <w:lang w:bidi="ar-SA"/>
        </w:rPr>
        <w:t>.</w:t>
      </w:r>
      <w:bookmarkStart w:id="460" w:name="pg11797_257090"/>
    </w:p>
    <w:p>
      <w:pPr>
        <w:pStyle w:val="Heading6"/>
        <w:numPr>
          <w:ilvl w:val="5"/>
          <w:numId w:val="1"/>
        </w:numPr>
        <w:rPr/>
      </w:pPr>
      <w:bookmarkStart w:id="461" w:name="__RefHeading___Toc10391242_73709187"/>
      <w:bookmarkStart w:id="462" w:name="_Toc172"/>
      <w:bookmarkEnd w:id="460"/>
      <w:bookmarkEnd w:id="461"/>
      <w:r>
        <w:rPr>
          <w:rtl w:val="true"/>
        </w:rPr>
        <w:t>في كيفيّة تيمّم النائب</w:t>
      </w:r>
      <w:bookmarkEnd w:id="462"/>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الاستنابة عند عدم إمكان المباشرة بلا خلافٍ‌، ونسبه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10"/>
      </w:r>
      <w:r>
        <w:rPr>
          <w:rFonts w:ascii="IRNazanin" w:hAnsi="IRNazanin" w:eastAsia="IRNazanin"/>
          <w:color w:val="111111"/>
          <w:sz w:val="28"/>
          <w:sz w:val="28"/>
          <w:szCs w:val="28"/>
          <w:rtl w:val="true"/>
          <w:lang w:bidi="fa-IR"/>
        </w:rPr>
        <w:t>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سكين وغيره، في الصحيح عن الإمام الصادق عليه السلام في المجدور الذي غُسّل فمات،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يممّوه إن شفاء العَيّ السؤال</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يُيمّم المجدور والكسير إذا أصابتهما جنابة</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ونحوهما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المبطون والكسير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فأصل الحكم ممّا لا كلام فيه، إنّما الكلام في المراد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تيمّمه بيدي النائب‌؟</w:t>
      </w:r>
    </w:p>
    <w:p>
      <w:pPr>
        <w:pStyle w:val="BookText"/>
        <w:rPr/>
      </w:pPr>
      <w:r>
        <w:rPr>
          <w:rFonts w:ascii="Amiri" w:hAnsi="Amiri" w:eastAsia="Amiri" w:cs="Amiri"/>
          <w:color w:val="111111"/>
          <w:sz w:val="28"/>
          <w:sz w:val="28"/>
          <w:szCs w:val="28"/>
          <w:rtl w:val="true"/>
          <w:lang w:bidi="ar-SA"/>
        </w:rPr>
        <w:t xml:space="preserve">أو أنّه يضرب بيدي العليل فيمسح بهما، كما صرّح به جمعٌ من الأساطين‌؟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قائل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يضرب الصحيح بيديه، ثمّ يضرب بيديه على يدي العليل، كما عن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يتعيّن الاحتياط بالجمع بين الكيفيّتين الأوليتين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هو الثاني، إذ الظاهر من النصوص أنّ التيمّم الذي يكون وظيفة المتيمّم في حال صحّته، هو المأمور به عند عدم تمكّنه من المباشرة بسقوط المباشرة، ويكتفى بصدوره من النائب، وحيث أنّه يعتبر في التيمّم الذي وظيفته ضرب يدي </w:t>
      </w:r>
    </w:p>
    <w:p>
      <w:pPr>
        <w:pStyle w:val="BookText"/>
        <w:rPr/>
      </w:pPr>
      <w:r>
        <w:rPr>
          <w:rFonts w:ascii="Amiri" w:hAnsi="Amiri" w:eastAsia="Amiri" w:cs="Amiri"/>
          <w:color w:val="111111"/>
          <w:sz w:val="28"/>
          <w:sz w:val="28"/>
          <w:szCs w:val="28"/>
          <w:rtl w:val="true"/>
          <w:lang w:bidi="ar-SA"/>
        </w:rPr>
        <w:t>المتيمّم نفسه، فكذلك إذا سقطت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عنوان التيمّم وحقيقته يتوقّف على صدور هذه الأفعال الخاصّة، أي ضرب اليدين، ومسح الجبهة واليدين من شخص واحد، فلو ضَرَب شخصٌ يديه، ومَسَح الآخر وجهه، والثالث يديه، لا يصدق على هذه الأفعال التيمّم، بخلاف ما إذا صدرت من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فالأدلّة ظاهرة في أنّ النائب إنّما يباشر تيمّم المنوب عنه، فكما يجبُ مسح وجهه ويديه، فكذلك يجبُ ضرب يديه أيضاً، وإلّا لما صدق عليه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النصوص سقوط المباشرة عند العجز خاصّة، وقيام النائب مقامه في ذلك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بظهور الأدلّة في مباشرة المتولّي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لا يستند المسح إلى العليل بذلك، فيكون المسح بيدي العليل بالنسبة إلى العامل كالمسح بآلة أجنبيّة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وبأمر مولانا الصادق عليه السلام الغَلمة بأنْ يُغسّلوه لمّا كان شديد الوَجَع</w:t>
      </w:r>
      <w:r>
        <w:rPr>
          <w:rStyle w:val="FootnoteAnchor"/>
          <w:rtl w:val="true"/>
        </w:rPr>
        <w:footnoteReference w:id="1214"/>
      </w:r>
      <w:r>
        <w:rPr>
          <w:rFonts w:ascii="Amiri" w:hAnsi="Amiri" w:eastAsia="Amiri" w:cs="Amiri"/>
          <w:color w:val="111111"/>
          <w:sz w:val="28"/>
          <w:sz w:val="28"/>
          <w:szCs w:val="28"/>
          <w:rtl w:val="true"/>
          <w:lang w:bidi="ar-SA"/>
        </w:rPr>
        <w:t>، فإنّه ظاهرٌ في تصديهم للغُسل، من دون أن يباشروا بيديه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ولهذه الوجوه توقّف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ظهور الأدلّة في اعتبار كون الضّرب بيدي العليل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استناد المسح إلى المنوب عنه، مشتركٌ بين القولين، وهو لا يعتبر قطعاً، وإنّما الكلام في سقوط قيدٍ آخر زائداً على ما عجز عنه العليل، وقد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 أنّه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المسح بيديه بالنسبة إلى العامل كالمسح بآلةٍ أجنبيّة، لا يصلحُ دليلاً لذلك، إذ لم يثبت اعتبار كونه بيديه لكونه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المقامين، إذ لا يعتبر في الغُسل مباشرة اليد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عن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لم يعثر للقول الثالث على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ما اخترناه لو لم يمكن الضّرب بيديه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يضرب النائب بيديه نفسه، ويمسح بهما أعضاء المنوب عنه، كما اختاره جماعة‌؟</w:t>
      </w:r>
    </w:p>
    <w:p>
      <w:pPr>
        <w:pStyle w:val="BookText"/>
        <w:rPr/>
      </w:pPr>
      <w:r>
        <w:rPr>
          <w:rFonts w:ascii="Amiri" w:hAnsi="Amiri" w:eastAsia="Amiri" w:cs="Amiri"/>
          <w:color w:val="111111"/>
          <w:sz w:val="28"/>
          <w:sz w:val="28"/>
          <w:szCs w:val="28"/>
          <w:rtl w:val="true"/>
          <w:lang w:bidi="ar-SA"/>
        </w:rPr>
        <w:t xml:space="preserve">أم يضرب الصحيح بيديه على الأرض، ثمّ يضربهما على يدي العليل، ثمّ يمسح بيدي العليل على أعضائه، كما نُسب إلى أبي عليّ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اللّثام</w:t>
      </w:r>
      <w:r>
        <w:rPr>
          <w:rFonts w:eastAsia="Amiri" w:cs="Amiri" w:ascii="Amiri" w:hAnsi="Amiri"/>
          <w:color w:val="111111"/>
          <w:sz w:val="28"/>
          <w:szCs w:val="28"/>
          <w:rtl w:val="true"/>
          <w:lang w:bidi="ar-SA"/>
        </w:rPr>
        <w:t>»</w:t>
      </w:r>
      <w:r>
        <w:rPr>
          <w:rStyle w:val="FootnoteAnchor"/>
          <w:rtl w:val="true"/>
        </w:rPr>
        <w:footnoteReference w:id="12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يسقط التيمّم، ويكون بحكم فاقد الطهورين‌؟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أقواها الأخير، لما حُقّق في محلّه من أنّه إذا تعذّر أحد أجزاء المركّب الاعتباري، فإنّ مقتضى القاعدة سقوط الأمر بالكلّ‌، وتوقّف الأمر بالباقي على ورود دليلٍ خاصّ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تنقيح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النائب مقام المنوب عنه في كلّ ما يعجز عنه من ما يعتبر في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اعتبار أن ينوي النائب، لفرض عدم قدرة المنوب عنه على التيمّم وعجزه عنه، فلا يكون ذلك الفعل اختياريّاً له حتّى يعتبر أن يكون داعية لهذا الاختيار من الدواعي القربيّة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قيل من اعتبار قصد العليل ونيّته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63" w:name="pg11797_257096"/>
    </w:p>
    <w:p>
      <w:pPr>
        <w:pStyle w:val="Heading6"/>
        <w:numPr>
          <w:ilvl w:val="5"/>
          <w:numId w:val="1"/>
        </w:numPr>
        <w:rPr/>
      </w:pPr>
      <w:bookmarkStart w:id="464" w:name="__RefHeading___Toc10391244_73709187"/>
      <w:bookmarkStart w:id="465" w:name="_Toc173"/>
      <w:bookmarkEnd w:id="463"/>
      <w:bookmarkEnd w:id="464"/>
      <w:r>
        <w:rPr>
          <w:rtl w:val="true"/>
        </w:rPr>
        <w:t>في سقوط التيمّم عن أقطع اليدين</w:t>
      </w:r>
      <w:bookmarkEnd w:id="465"/>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 عن أنّ أقطع 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يسقط عنه التيمّم،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216"/>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يجب عليه مسح جبهته بالأرض‌؟</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يضرب ذراعيه ويمسح بهما وجهه وعليهما؟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يستنيب ويتيمّمه النائب‌؟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الإجماع على وجوب التيمّم، كان الأظهر هو ما نسب إلى الشيخ رحمه الله، لما حقّقناه في محلّه</w:t>
      </w:r>
      <w:r>
        <w:rPr>
          <w:rStyle w:val="FootnoteAnchor"/>
          <w:rtl w:val="true"/>
        </w:rPr>
        <w:footnoteReference w:id="1217"/>
      </w:r>
      <w:r>
        <w:rPr>
          <w:rFonts w:ascii="Amiri" w:hAnsi="Amiri" w:eastAsia="Amiri" w:cs="Amiri"/>
          <w:color w:val="111111"/>
          <w:sz w:val="28"/>
          <w:sz w:val="28"/>
          <w:szCs w:val="28"/>
          <w:rtl w:val="true"/>
          <w:lang w:bidi="ar-SA"/>
        </w:rPr>
        <w:t xml:space="preserve">من سقوط الواجب بتعذّر بعض أجزائه، ولكن الظاهر عدم توقّفهم في وجوبه، ومخالفة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كونها موجبة لعدم الاعتماد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ثابتة، إذ يحتمل أن يكون مراده بذلك ما صرّح 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سقوط فرض التيمّم عن اليدين، ويشير إليه تعليله بأنّ ما أمر اللّه بمسحه قد عُدِم،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إجماعي إنْ لم يكن ضروريّاً، وهو 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بقاعدة الميسور والبدليّة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وبعدم سقوط الصّلاة بحال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والاستصحاب</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القاعدة غير ثابتة كما عرفت مراراً، وما دلَّ على البدليّة لا يصلحُ أن تثبت به مثل هذه الأحكام الثابتة للمبدل منه، لعدم الإطلاق بنحوٍ يشملها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لا تَدع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مبحث فاقد الطهورين</w:t>
      </w:r>
      <w:r>
        <w:rPr>
          <w:rStyle w:val="FootnoteAnchor"/>
          <w:rtl w:val="true"/>
        </w:rPr>
        <w:footnoteReference w:id="1219"/>
      </w:r>
      <w:r>
        <w:rPr>
          <w:rFonts w:ascii="Amiri" w:hAnsi="Amiri" w:eastAsia="Amiri" w:cs="Amiri"/>
          <w:color w:val="111111"/>
          <w:sz w:val="28"/>
          <w:sz w:val="28"/>
          <w:szCs w:val="28"/>
          <w:rtl w:val="true"/>
          <w:lang w:bidi="ar-SA"/>
        </w:rPr>
        <w:t>عدم صلاحيّته لإثبات طهوريّة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جريانه في نفسه في المقام، لعدم ثبوت الحالة السابقة، بل الحالة السابقة هي عدم جعل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محكومٌبأدلّة الشرطيّة والجزئيّة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أنّها غير معلومة تفصيلاً، فيجب الاحتياط بالجمع بين الكيفيّات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حكم أقطع اليد الواحدة، فلا نعيد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66" w:name="pg11797_257100"/>
    </w:p>
    <w:p>
      <w:pPr>
        <w:pStyle w:val="Heading6"/>
        <w:numPr>
          <w:ilvl w:val="5"/>
          <w:numId w:val="1"/>
        </w:numPr>
        <w:rPr/>
      </w:pPr>
      <w:bookmarkStart w:id="467" w:name="__RefHeading___Toc10391246_73709187"/>
      <w:bookmarkStart w:id="468" w:name="_Toc174"/>
      <w:bookmarkEnd w:id="466"/>
      <w:bookmarkEnd w:id="467"/>
      <w:r>
        <w:rPr>
          <w:rtl w:val="true"/>
        </w:rPr>
        <w:t>القيد والدّاعي</w:t>
      </w:r>
      <w:bookmarkEnd w:id="468"/>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كونه مُحْدِثاً بالحَدَث الأصغر، فقصد البدليّة، فتبيّن كونه مُحْدِثاً بالأكبر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2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على وجه التقييد بطل، وإنْ أتى به من باب الاشتباه في التطبيق أو قصد ما في الذمّة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ما قيل في وجه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إذا كان قصده امتثال الأمر بالتيمّم الذي هو بدلٌ عن الوضوء بنحو التقييد، فبما أنّه بانتفاء القيد ينتفي المقيّد، فلا يكون ممتثلاً للأمر الواقعي المتوجّه إليه، وهذا بخلاف ما إذا كان قصده امتثال الأمر الواقعي المتوجّه إليه، غاية الأمر اعتقد أنّه هو الأمر المتعلّق بما هو بدلٌ عن الوضوء، إذ خطأ اعتقاد الصفة مع عدم أخذها قيداً في الموضوع، لا يمنعُ من قصد ذات الموصوف وتحقّقه واتّصافه بوصف يغاير ذلك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هو الصحّة في الفرضين، وذلك لأنّ الميزان في صحّة العبادة الإتيان بذات المأمور به بجميع قيوده، متقرّباً إلى اللّه تعالى، ولا يعتبر فيها شيءٌ آخر، ولو نقصت عن ذلك لا تصحّ‌،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صَلّى في آخر الوقت بظنّ أنّه أوّل الوقت، صحّت صلاته وإنْ كان ذلك بنحو التقييد، لعدم كون هذا القصد مبطلاً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صلّى صلاة العصر بظنّ أنّه صلّى الظهر، لم تصحّ صلاته على القاعدة، وإنْ كان قصد الأمر بالعصر على نحو الدّاعي، لأنّ حقيقة صلاة الظهر تُغاير حقيقة صلاة العصر من حيث العنوان، كما يكشف عن ذلك اختلافهما من حيث الأحكام، فإذا لم يقصد إحداهما وقصد الاُخرى لا تقع عنه لعدم تحقّقها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ففي المقام بما أنّ المستفاد من الآية الشريفة</w:t>
      </w:r>
      <w:r>
        <w:rPr>
          <w:rStyle w:val="FootnoteAnchor"/>
          <w:rtl w:val="true"/>
        </w:rPr>
        <w:footnoteReference w:id="1221"/>
      </w:r>
      <w:r>
        <w:rPr>
          <w:rFonts w:ascii="IRNazanin" w:hAnsi="IRNazanin" w:eastAsia="IRNazanin"/>
          <w:color w:val="111111"/>
          <w:sz w:val="28"/>
          <w:sz w:val="28"/>
          <w:szCs w:val="28"/>
          <w:rtl w:val="true"/>
          <w:lang w:bidi="fa-IR"/>
        </w:rPr>
        <w:t>والنصوص</w:t>
      </w:r>
      <w:r>
        <w:rPr>
          <w:rStyle w:val="FootnoteAnchor"/>
          <w:rtl w:val="true"/>
        </w:rPr>
        <w:footnoteReference w:id="1222"/>
      </w:r>
      <w:r>
        <w:rPr>
          <w:rFonts w:ascii="Amiri" w:hAnsi="Amiri" w:eastAsia="Amiri" w:cs="Amiri"/>
          <w:color w:val="111111"/>
          <w:sz w:val="28"/>
          <w:sz w:val="28"/>
          <w:szCs w:val="28"/>
          <w:rtl w:val="true"/>
          <w:lang w:bidi="ar-SA"/>
        </w:rPr>
        <w:t>البيانيّة وغيرها الواردة في مقام بيان كيفيّة التيمّم حقيقة واحدة، وأنّ اختلاف حالات المتيمّم أوجب اختلاف الآثار، إذ لو كان مُحْدِثاً مثلاً بالحَدَث الأصغر، يكون تيمّمه مبيحاً للصّلاة، بلا توقّفٍ على شيء آخر، ولو كان مُحْدِثاً بالأكبر غير الجنابة، لا يكون تيمّمه ذلك مبيحاً إلّامع ضمّ الوضوء، أو تيمّمٍ آخر بدلاً منه إليه، بناءً على عدم الاكتفاء بمبدله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فمن قَصَد ما هو بدلٌ عن الوضوء، وكان في الواقع مُحْدِثاً بالحَدَث الأكبر، فقد أتى بالتيمّم مع جميع قيوده، متقرّباً إلى اللّه تعالى، فيقع صحيحاً، وإنْ كان قصده ذلك على وجه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ذلك محرّر في مبحث الوضوء، فراجع</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إمرار الماسح على الممسوح، إذ هو الظاهر من الآية الشريفة، والنصوص البيانيّة، لدخول 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الممسوح، فإنّ الظاهر كون المصحّح له مرور الماسح عليه مع سكونه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أنّ‌المصحّح له ليس ذلك، بل المصحّح كون الآلة غير مقصودة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اللّفظتين في النصوص والآية دخلتا على الممسوح لا آلة المسح كي يصحّ ما ذُكر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69" w:name="pg11797_257104"/>
    </w:p>
    <w:p>
      <w:pPr>
        <w:pStyle w:val="Heading6"/>
        <w:numPr>
          <w:ilvl w:val="5"/>
          <w:numId w:val="1"/>
        </w:numPr>
        <w:rPr/>
      </w:pPr>
      <w:bookmarkStart w:id="470" w:name="__RefHeading___Toc10391248_73709187"/>
      <w:bookmarkStart w:id="471" w:name="_Toc175"/>
      <w:bookmarkEnd w:id="469"/>
      <w:bookmarkEnd w:id="470"/>
      <w:r>
        <w:rPr>
          <w:rtl w:val="true"/>
        </w:rPr>
        <w:t>جريان قاعدة التجاوز في التيمّم</w:t>
      </w:r>
      <w:bookmarkEnd w:id="471"/>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نقاش في أنّه إذا شكّ المتيمّم في شيء ممّا يعتبر في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شكّه بعد الفراغ منه، لم يعتن به، وبنى على الصحّة لقاعدة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شكّ في أثنائه قبل الفراغ، فلا إشكال في أنّه قبل تجاوز محلّه يأتي به وبما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إذا تجاوز محلّه، كما لو شكّ في مسح الوجه بعد مسح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العلّامة الأنصاري رحمه الله</w:t>
      </w:r>
      <w:r>
        <w:rPr>
          <w:rStyle w:val="FootnoteAnchor"/>
          <w:rtl w:val="true"/>
        </w:rPr>
        <w:footnoteReference w:id="1224"/>
      </w:r>
      <w:r>
        <w:rPr>
          <w:rFonts w:ascii="Amiri" w:hAnsi="Amiri" w:eastAsia="Amiri" w:cs="Amiri"/>
          <w:color w:val="111111"/>
          <w:sz w:val="28"/>
          <w:sz w:val="28"/>
          <w:szCs w:val="28"/>
          <w:rtl w:val="true"/>
          <w:lang w:bidi="ar-SA"/>
        </w:rPr>
        <w:t>القول بعدم جريان قاعدة التجاوز ولزوم الاعتناء بهذا الشكّ إلى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صرّح جماعة بجريان قاعدة التجاوز في المقام</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للأوّل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قاعدة التجاوز مختصّة بالصلاة، وغير شامل لغيرها، وعليه فهي لا تجري في غير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موثّق ابن أبي يعفور المرويّ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شيء من الوضوء، وقد دخلت في غيره، فليس شكّك بشيء، إنّما الشكّ إذا كنت في شيء لم تجزه</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إرجاع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الوضوء، للإجماع على عدم جريان قاعدة التجاوز فيه، وأنّ الوضوء بتمامه اعتبر شيئاً واحداً، لأجل إدخال الشكّ في شيء من الوضوء قبل الخروج عنه في الشكّ في المحلّ‌، كما يشهد له ذكر الكبرى الكليّة في </w:t>
      </w:r>
    </w:p>
    <w:p>
      <w:pPr>
        <w:pStyle w:val="BookText"/>
        <w:rPr/>
      </w:pPr>
      <w:r>
        <w:rPr>
          <w:rFonts w:ascii="Amiri" w:hAnsi="Amiri" w:eastAsia="Amiri" w:cs="Amiri"/>
          <w:color w:val="111111"/>
          <w:sz w:val="28"/>
          <w:sz w:val="28"/>
          <w:szCs w:val="28"/>
          <w:rtl w:val="true"/>
          <w:lang w:bidi="ar-SA"/>
        </w:rPr>
        <w:t>ذيله، إذ لولا ذلك لما كان تنطبق عليه الكبرى المذكورة، ولا وجه لذلك سوى ترتّب أثر واحد، أو انطباق عنوان واحد عليه وهي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فيلحق به التيمّم لإشتراكه مع الوضوء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عدم صحّة ما أورد على هذا الوجه، بأنّه تخرّص بالغيب من دون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المحقّق الخراساني رحمه الله</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الإيراد عليه بأنّ لازم ذلك عدم جريان قاعدة التجاوز في شيء من العبادات حتّى الصّلاة، لترتّب أثر واحدٍ على 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فرقٌ واضح بين المسبّبات التوليديّة وما شابهها كالطهارة على المختار الّتي تكون مأموراً بها، وهي التي تعلّق التكليف بها دون محصّلها أو ما تنطبق عليه، وبين غيرها ممّا لا يكون كذلك كسائر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البدليّة، فإنّه لا ريب في عدم جريانها في الوضوء، فكذلك فيما هو بدلٌ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 من هذا الشرح من أنّ الأظهر عموم الدليل، سواءٌ بنينا على اتّحاد قاعدتي الفراغ والتجاوز، أو على تغايرهما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حجيّة الموثّق، وعدم طرحه للإعراض، بناءً على رجوع الضمير إلى شيء من الوضوء كما هو الظاهر منه، وتسليم أنّ الوجه في إدخال الشكّ في شيء من الوضوء وهو فيه، في الشكّ في المحلّ ترتّب أثر واحد، أو انطباقه عليه، مع أنّ للمنع عنهما مجالاً واسعاً، أنّه لا وجه للإلحاق، لأنّ كون ما ذُكر علّة لا من قبيل حكمة التشريع الّتي لا يتعدّى عنها غير ثابت، فلا وجه للإلحاق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كونه أخصّ من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غير مرّةٍ من عدم عمومٍ يدلّ على بدليّة التيمّم عن الطهارة المائيّة في جميع الخصوصيّات والأحكام، مع أنّه لو كان لما كان يعتمد عليه، لاختلافهما في كثيرٍ من الخصوصيّات، فيلزم حينئذٍ تخصيص الأكثر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جريان قاعدة التجاوز في التيمّم</w:t>
      </w:r>
      <w:r>
        <w:rPr>
          <w:rFonts w:eastAsia="Amiri" w:cs="Amiri" w:ascii="Amiri" w:hAnsi="Amiri"/>
          <w:color w:val="111111"/>
          <w:sz w:val="28"/>
          <w:szCs w:val="28"/>
          <w:rtl w:val="true"/>
          <w:lang w:bidi="ar-SA"/>
        </w:rPr>
        <w:t>.</w:t>
      </w:r>
      <w:bookmarkStart w:id="472" w:name="pg11797_257111"/>
    </w:p>
    <w:p>
      <w:pPr>
        <w:pStyle w:val="BookText"/>
        <w:rPr/>
      </w:pPr>
      <w:bookmarkEnd w:id="472"/>
      <w:r>
        <w:rPr>
          <w:rFonts w:ascii="Amiri" w:hAnsi="Amiri" w:eastAsia="Amiri" w:cs="Amiri"/>
          <w:color w:val="111111"/>
          <w:sz w:val="28"/>
          <w:sz w:val="28"/>
          <w:szCs w:val="28"/>
          <w:rtl w:val="true"/>
          <w:lang w:bidi="ar-SA"/>
        </w:rPr>
        <w:t>وَيَنقُضُه كلّ نواقض الطهارة، ويزيد عليه وجود الماء مع التمكّن من استعماله، ولو وَجَده قبل الشروع في الصّلاة تطهر</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10391250_73709187"/>
      <w:bookmarkStart w:id="474" w:name="_Toc176"/>
      <w:bookmarkEnd w:id="473"/>
      <w:r>
        <w:rPr>
          <w:rtl w:val="true"/>
        </w:rPr>
        <w:t>أحكام التيمّم</w:t>
      </w:r>
      <w:bookmarkEnd w:id="474"/>
    </w:p>
    <w:p>
      <w:pPr>
        <w:pStyle w:val="Heading6"/>
        <w:numPr>
          <w:ilvl w:val="5"/>
          <w:numId w:val="1"/>
        </w:numPr>
        <w:rPr/>
      </w:pPr>
      <w:bookmarkStart w:id="475" w:name="__RefHeading___Toc10391252_73709187"/>
      <w:bookmarkStart w:id="476" w:name="_Toc177"/>
      <w:bookmarkEnd w:id="475"/>
      <w:r>
        <w:rPr>
          <w:rtl w:val="true"/>
        </w:rPr>
        <w:t>اشارة</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 ينقض التيمّم</w:t>
      </w:r>
    </w:p>
    <w:p>
      <w:pPr>
        <w:pStyle w:val="Heading6"/>
        <w:numPr>
          <w:ilvl w:val="5"/>
          <w:numId w:val="1"/>
        </w:numPr>
        <w:rPr/>
      </w:pPr>
      <w:bookmarkStart w:id="477" w:name="__RefHeading___Toc10391254_73709187"/>
      <w:bookmarkStart w:id="478" w:name="_Toc178"/>
      <w:bookmarkEnd w:id="477"/>
      <w:r>
        <w:rPr>
          <w:rtl w:val="true"/>
        </w:rPr>
        <w:t>ينقُضُه كلّ نواقض الطهارة</w:t>
      </w:r>
      <w:bookmarkEnd w:id="478"/>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ينقُضُه كلّ نواقض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المائيّة بلا خلافٍ‌، بل إجماعاً كما عن جماعة حكايته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كصحيح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الرَّجل بتيمّمٍ واحد صلاة اللّيل والنهار كلّها؟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يُحدث أو يصبّ ماءً‌</w:t>
      </w:r>
      <w:r>
        <w:rPr>
          <w:rFonts w:eastAsia="Amiri" w:cs="Amiri" w:ascii="Amiri" w:hAnsi="Amiri"/>
          <w:color w:val="111111"/>
          <w:sz w:val="28"/>
          <w:szCs w:val="28"/>
          <w:rtl w:val="true"/>
          <w:lang w:bidi="ar-SA"/>
        </w:rPr>
        <w:t>»</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وجه ما في المتن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ويزيدُ عليه وجود الماء مع التمكّن من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ممّا لا خلاف فيه، بل عن غير واحدٍ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رحمه الله</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العلماء، إلّا مانُقل عن أبي سلمة والشِّعبي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إطلاق دليل الطهارة المائيّة</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10391256_73709187"/>
      <w:bookmarkStart w:id="480" w:name="_Toc179"/>
      <w:bookmarkEnd w:id="479"/>
      <w:r>
        <w:rPr>
          <w:rtl w:val="true"/>
        </w:rPr>
        <w:t>ولو وجد الماء قبل الشّروع في الصَّلاة تطهر</w:t>
      </w:r>
      <w:bookmarkEnd w:id="48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الشّروع في الصَّلاة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كما أنّه إنْ فَقَده بعد ذلك، وجب عليه أن يتيمّم ثانياً بلا خلافٍ فيه، بل عن غير واحدٍ </w:t>
      </w:r>
    </w:p>
    <w:p>
      <w:pPr>
        <w:pStyle w:val="BookText"/>
        <w:rPr/>
      </w:pP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العلماء عليه إلّاما نقل عن أبي سلمة والشِّعبي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استثناء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دلَّ على انتقاض التيمّم بوجدان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أصاب الماء، ورجى أن يقدر على ماءٍ آخر، وظنَّ أنّه يقدر عليه، فلمّا أراده تعسّر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ذلك تيمّمه، وعليه أن يُعيد التيمّم</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أيّوب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الماء، وكان يقدر على انتقض تيمّمه</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الشيخ عن الحسين العامري، وفيه بعد حكمه عليه السلام بتجديد التيمّم في الفرض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تيمّمه الأوّل قد انتَقَضَ حين مرَّ بالماء ولم يغتسل</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فأصل الحكم ممّا لا خلاف فيه ولا كلام، إنّما الكلام فيما إذا كان زمان الوجدان لا يسع الوضوء أو الغسل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23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Style w:val="FootnoteAnchor"/>
          <w:rtl w:val="true"/>
        </w:rPr>
        <w:footnoteReference w:id="123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39"/>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ينتقض التيمّم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المتين</w:t>
      </w:r>
      <w:r>
        <w:rPr>
          <w:rFonts w:eastAsia="Amiri" w:cs="Amiri" w:ascii="Amiri" w:hAnsi="Amiri"/>
          <w:color w:val="111111"/>
          <w:sz w:val="28"/>
          <w:szCs w:val="28"/>
          <w:rtl w:val="true"/>
          <w:lang w:bidi="ar-SA"/>
        </w:rPr>
        <w:t>»</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الانتقاض، ونُسِب ذلك إلى ظاهر كلمات كثيرٍ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هو الأوّل، إذ المتبادر إلى الذّهن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إلغاء الخصوصيّات الذي لا مناص عنه، ولذا نتعدّى إلى صورة زوال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الناقض هو الماء الذي يتمكّن من استعماله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بطلان التيمّم عند وجدان الماء، إنّما يكون لأجل تحقّق ما أخذ عدمه موضوعاً لمشروعيّته، ومن الضروري أنّ المأخوذ موضوعاً ليس عدم وجود الماء خاصّة، بل عدم التمكّن من استعماله عقلاً أو شرعاً، ولذلك لم يفتِ أحدٌ بانتقاض التيمّم بالعثور على الماء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النصوص، فإنها بإطلاقها تدلّ على أنّ انتقاض التيمّم بمجرّد الإصابة بالماء، أعمّ من أن يمضي زمانٌ يتمكّن فيه من الإتيان بالطهارة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إيجاب الشارع الطهارة المائيّة عليه في تلك الحال لا يجامع بقاء التيمّم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نفس الأمر لا يكون مكلّفاً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تعلّق التكليف، ظنَّ بقاءالماء أو احتماله استصحاباًللحال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يلزم من القول بعدم الانتقاض، أنْ يجوز الدخول في الصّلاة، ومسّ خطّ المصحف بتيمّمه ذلك، قبل مُضيّ ذلك المقدار، لأنّها طهارة صحيحة لم تنتقض، فإذا مضى ذلك حَرُمت عليه تلك الأشياء، وهو كما ترى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ظهور النصوص، لا سيّما بعد ملاحظة مناسبة الحكم والموضوع في اختصاص الانتقاض بصورة التمكّن من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إيجاب الطهارة المائيّة عند وجدان الماء، إنّما يكون في صورة سعة الوقت للاستعمال والتمكّن منه، وإلّا فيكون تكليفاً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 بقاء تلك الحال، مضافاً إلى عدم جريانه فيما لو عُلم من الأوّل بعدم التمكّن، أنّه لا يكفي في الإيجاب واقعاً، وإنّما يكون حكماً ظاهريّاً، فإذا انكشف الخلاف، انكشف عدم الوجوب واقعاً، وعليه فيكون تيمّمه صحيحاً واقعاً، ولا ينافي صحّته واقعاً فساده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القائلين باختصاص الانتقاض بصورة التمكّن، لا يلتزمون بأنّه في صورة التمكّن ينتقض بعد مضيّ ذلك المقدار، بل يلتزمون بأنّه في تلك الصورة، بمجرّد الإصابة ينتقض التيمّم،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من أنّه يلزمهم الحكم بجواز الدخول في الصّلاة، ومسّ المصحف، إلزامهم بذلك في صورة عدم التمكّن واقعاً، فهو حقٌّ يلتزمون به وببقاء الجواز بعد مُضيّ ذلك،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أنّه يلزمهم ذلك حتّى في صورة التمكّن واقعاً، فهو غير لازمٍ عليهم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اختصاص البطلان بصورة التمكّن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حكم ما لو وجده في وقت يضيق عن استعماله، فإنّه على المشهور من تعيّن التيمّم في ضيق الوقت، لا ينتقض به تيمّمه، وعلى المختار من تخييره بين الوضوء والتيمّم، يكون في الفرض مخيّراً بين أن يُصلّي مع ذلك التيمّم، وبين أن يتوضّأ ويُصلّي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من موانع الاستعمال، عدم دخول وقت العبادة حين الوجدان أم لا؟ مثلاً لو تيمّم قبل وقت الصّلاة لغايةٍ‌، ثمّ أصاب الماء، وكان قادراً على أن يتوضّأ، ففُقِد الماء قبل أن يدخل الوقت، فهل ينتقض تيمّمه أم لا؟</w:t>
      </w:r>
    </w:p>
    <w:p>
      <w:pPr>
        <w:pStyle w:val="BookText"/>
        <w:rPr/>
      </w:pPr>
      <w:r>
        <w:rPr>
          <w:rFonts w:ascii="Amiri" w:hAnsi="Amiri" w:eastAsia="Amiri" w:cs="Amiri"/>
          <w:color w:val="111111"/>
          <w:sz w:val="28"/>
          <w:sz w:val="28"/>
          <w:szCs w:val="28"/>
          <w:rtl w:val="true"/>
          <w:lang w:bidi="ar-SA"/>
        </w:rPr>
        <w:t>فقد يتوهّم الثاني، بدعوى أنّه غير متمكّن قبل الوقت من الوضوء للصّلاة، فلو دخل الوقت جاز له أن يصلّي بتيمّمه ذلك، ولا يجب عليه تجديد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 الوقت يتمكّن من أن يتوضّأ لاستحبابه النفسي، أو لغايةٍ اُخرى، فكما لا يَشرع عليه أن يتيمّم في تلك الحال، فكذلك ينتقض تيمّمه السابق بعين ذلك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يكون عاجزاً عن الطهارة المائيّة، بل هو عاجز عن الإتيان بها لغايةٍ خاصّة لأجل عدم 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فرضنا حصول مانعٍ عن فعلها قبل الوقت للغايات المستحبّة، أو لاستحبابها النفسي، كما لو نهاه الوالد عن تلك، فبما أنّه لا يتمكّن من إتيانها للصّلاة ولغيرها، فيصدق عليه أنّه غير متمكّنٍ من استعمال الماء، فلو فَقَده بعد ذلك قبل دخول الوقت، لا يجب عليه التيمّم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هذا يكون حكمه حكم من كان واجداً للماء قبل الوقت، وكان يعلم بعدم تمكّنه منه بعده، الذي قد عرفت لزوم أن يتطهّر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ذكرناه في تلك المسألة</w:t>
      </w:r>
      <w:r>
        <w:rPr>
          <w:rFonts w:eastAsia="Amiri" w:cs="Amiri" w:ascii="Amiri" w:hAnsi="Amiri"/>
          <w:color w:val="111111"/>
          <w:sz w:val="28"/>
          <w:szCs w:val="28"/>
          <w:rtl w:val="true"/>
          <w:lang w:bidi="ar-SA"/>
        </w:rPr>
        <w:t>.</w:t>
      </w:r>
      <w:r>
        <w:rPr>
          <w:rStyle w:val="FootnoteAnchor"/>
        </w:rPr>
        <w:footnoteReference w:id="124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81" w:name="pg11797_257121"/>
    </w:p>
    <w:p>
      <w:pPr>
        <w:pStyle w:val="BookText"/>
        <w:rPr/>
      </w:pPr>
      <w:bookmarkEnd w:id="481"/>
      <w:r>
        <w:rPr>
          <w:rFonts w:ascii="Amiri" w:hAnsi="Amiri" w:eastAsia="Amiri" w:cs="Amiri"/>
          <w:color w:val="111111"/>
          <w:sz w:val="28"/>
          <w:sz w:val="28"/>
          <w:szCs w:val="28"/>
          <w:rtl w:val="true"/>
          <w:lang w:bidi="ar-SA"/>
        </w:rPr>
        <w:t>ولو وَجَده في الأثناء أتمَّ صَلاته</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10391258_73709187"/>
      <w:bookmarkStart w:id="483" w:name="_Toc180"/>
      <w:bookmarkEnd w:id="482"/>
      <w:r>
        <w:rPr>
          <w:rtl w:val="true"/>
        </w:rPr>
        <w:t>لو وجد الماء في أثناء الصّلاة</w:t>
      </w:r>
      <w:bookmarkEnd w:id="483"/>
    </w:p>
    <w:p>
      <w:pPr>
        <w:pStyle w:val="Heading6"/>
        <w:numPr>
          <w:ilvl w:val="5"/>
          <w:numId w:val="1"/>
        </w:numPr>
        <w:rPr/>
      </w:pPr>
      <w:bookmarkStart w:id="484" w:name="__RefHeading___Toc10391260_73709187"/>
      <w:bookmarkStart w:id="485" w:name="_Toc181"/>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ولو تلبّس بتكبيرة الإحرام كما في المتن</w:t>
      </w:r>
      <w:r>
        <w:rPr>
          <w:rStyle w:val="FootnoteAnchor"/>
          <w:rtl w:val="true"/>
        </w:rPr>
        <w:footnoteReference w:id="1243"/>
      </w:r>
      <w:r>
        <w:rPr>
          <w:rFonts w:ascii="Amiri" w:hAnsi="Amiri" w:eastAsia="Amiri" w:cs="Amiri"/>
          <w:color w:val="111111"/>
          <w:sz w:val="28"/>
          <w:sz w:val="28"/>
          <w:szCs w:val="28"/>
          <w:rtl w:val="true"/>
          <w:lang w:bidi="ar-SA"/>
        </w:rPr>
        <w:t>، ونُسِب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 إذا كان قد ركع، وإلّا فيرجع ويتوضّأ ويستقبل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هذا القول عن السيّد في مصباحه</w:t>
      </w:r>
      <w:r>
        <w:rPr>
          <w:rStyle w:val="FootnoteAnchor"/>
          <w:rtl w:val="true"/>
        </w:rPr>
        <w:footnoteReference w:id="1245"/>
      </w:r>
      <w:r>
        <w:rPr>
          <w:rFonts w:ascii="Amiri" w:hAnsi="Amiri" w:eastAsia="Amiri" w:cs="Amiri"/>
          <w:color w:val="111111"/>
          <w:sz w:val="28"/>
          <w:sz w:val="28"/>
          <w:szCs w:val="28"/>
          <w:rtl w:val="true"/>
          <w:lang w:bidi="ar-SA"/>
        </w:rPr>
        <w:t>وجُمله</w:t>
      </w:r>
      <w:r>
        <w:rPr>
          <w:rStyle w:val="FootnoteAnchor"/>
          <w:rtl w:val="true"/>
        </w:rPr>
        <w:footnoteReference w:id="1246"/>
      </w:r>
      <w:r>
        <w:rPr>
          <w:rFonts w:ascii="Amiri" w:hAnsi="Amiri" w:eastAsia="Amiri" w:cs="Amiri"/>
          <w:color w:val="111111"/>
          <w:sz w:val="28"/>
          <w:sz w:val="28"/>
          <w:szCs w:val="28"/>
          <w:rtl w:val="true"/>
          <w:lang w:bidi="ar-SA"/>
        </w:rPr>
        <w:t>، والجُعفي</w:t>
      </w:r>
      <w:r>
        <w:rPr>
          <w:rStyle w:val="FootnoteAnchor"/>
          <w:rtl w:val="true"/>
        </w:rPr>
        <w:footnoteReference w:id="1247"/>
      </w:r>
      <w:r>
        <w:rPr>
          <w:rFonts w:ascii="IRNazanin" w:hAnsi="IRNazanin" w:eastAsia="IRNazanin"/>
          <w:color w:val="111111"/>
          <w:sz w:val="28"/>
          <w:sz w:val="28"/>
          <w:szCs w:val="28"/>
          <w:rtl w:val="true"/>
          <w:lang w:bidi="fa-IR"/>
        </w:rPr>
        <w:t>، والصدوق</w:t>
      </w:r>
      <w:r>
        <w:rPr>
          <w:rStyle w:val="FootnoteAnchor"/>
          <w:rtl w:val="true"/>
        </w:rPr>
        <w:footnoteReference w:id="1248"/>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49"/>
      </w:r>
      <w:r>
        <w:rPr>
          <w:rFonts w:ascii="Amiri" w:hAnsi="Amiri" w:eastAsia="Amiri" w:cs="Amiri"/>
          <w:color w:val="111111"/>
          <w:sz w:val="28"/>
          <w:sz w:val="28"/>
          <w:szCs w:val="28"/>
          <w:rtl w:val="true"/>
          <w:lang w:bidi="ar-SA"/>
        </w:rPr>
        <w:t>، وغيرهم من الأساطين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الماء بعد دخوله في الصّلاة، قَطَع ما لم يركع الركعة الثانية، وإنْ ركعها مضى في صلاته، وإنْ وجده بعد ركوع الركعة الأُولى‌، وخاف ضيق الوقت، جاز أنْ لا يقطع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سلّار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ما لم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حَمزة</w:t>
      </w:r>
      <w:r>
        <w:rPr>
          <w:rStyle w:val="FootnoteAnchor"/>
          <w:rtl w:val="true"/>
        </w:rPr>
        <w:footnoteReference w:id="1251"/>
      </w:r>
      <w:r>
        <w:rPr>
          <w:rFonts w:ascii="Amiri" w:hAnsi="Amiri" w:eastAsia="Amiri" w:cs="Amiri"/>
          <w:color w:val="111111"/>
          <w:sz w:val="28"/>
          <w:sz w:val="28"/>
          <w:szCs w:val="28"/>
          <w:rtl w:val="true"/>
          <w:lang w:bidi="ar-SA"/>
        </w:rPr>
        <w:t>في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القطع مطلقاً، ما لم يغلب على ظنّه ضيق الوقت، وإلّا لم يقطعها إذا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الماء وقد دخل في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فلينصرف فليتوضّأ ما لم يركع، وإنْ كان قد رَكَع فليمض في صلاته، فإنّ التيمّم أحد الطهورين</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عبد اللّه بن عاصم،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طرق،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لا يجدُ الماء، فيتيمّم ويقوم في الصّلاة فجاء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الماء؟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يركع فلينصرف وليتوضّأ، وإنْ كان قد ركع فليمض في صلاته</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زرارة ومحمّدبن مسلم،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لم يُصب الماء وحضرت الصّلاة، فتيمّم وصلّى ركعتين، ثمّ أصاب الماء، أينقض الركعتين أو يقطعها ويتوضّأ ثمّ يُصلّي‌؟</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يمضي في صلاته ولا ينقضها ويتمّها لمكان الماء، لأنّه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دخلها وهو على طهر بتيمّم</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مورده وإنْ كان هو الإصابة بعد الركعتين، إلّاأنّ التعليل يقتضي وجوب المُضيّ‌، ولو بأن تلبّس بتكبيرة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محمّد بن سماعة، عن محمّد بن حمران،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تيمّم ثمّ دخل في الصّلاة، وقد كان طلب الماء فلم يقدر عليه، ثمّ يؤتي بالماء حين يدخل في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الصّلاة، واعلم أنّه ليس يَنبغي لأحدٍ أن يتيمّم في آخر الوقت</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واشتراك محمّد بن سماعة بين الثقة وغيره، لا يضرّ بالسند، فإنّه عند الإطلاق ينصرف إلى ابن موسى بن رويد بن نشيط الثقة الجليل، كما أنّ محمّد بن حمران عند الإطلاق ينصرف إلى النهدي الثقة، مضافاً إلى شهادة المحقّق رحمه الله</w:t>
      </w:r>
      <w:r>
        <w:rPr>
          <w:rStyle w:val="FootnoteAnchor"/>
          <w:rtl w:val="true"/>
        </w:rPr>
        <w:footnoteReference w:id="1256"/>
      </w:r>
      <w:r>
        <w:rPr>
          <w:rFonts w:ascii="Amiri" w:hAnsi="Amiri" w:eastAsia="Amiri" w:cs="Amiri"/>
          <w:color w:val="111111"/>
          <w:sz w:val="28"/>
          <w:sz w:val="28"/>
          <w:szCs w:val="28"/>
          <w:rtl w:val="true"/>
          <w:lang w:bidi="ar-SA"/>
        </w:rPr>
        <w:t>بصحّة سند الحديث، مع أنّ الراوي عنهما البزنطي الذي يعدّ من أصحاب الإجماع، وعليه فلا مغمز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لزوم القطع حتّى بعد ركوع الركعة الأُولى‌، كخبر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تيمّم ثمّ قام يُصلّي، فمرَّ به نهرٌ وقد صلّى ركعةً؟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وليستقبل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صلّى صلاته كلّها؟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ركعة على تيمّم، ثمّ جاء</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ومعه قِربتان من 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الصّلاة ويتوضّأ، ثمّ يبني على واحدة</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الجمع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للجمع بين الطائفتين الأوّليتين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الثانية مطلقة قابلة للتقييد، فتقيّد بالطائفة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بأنّ ما في ذيل خبر زرارة من التعليل المسوق مساق العلل العرفيّة ممّا يأبى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التعليلات غاية ما يستفاد منها إطلاق الحكم، لا أنّه ممّا يأبى التقييد، ولذا ترى أنّ مثل هذا التعليل موجودٌ في صحيح زرارة المفصّل بين وجدان الماء قبل الركوع وبعده، ولم يتوهّم أحدٌ منافاته لما في صدره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خبر ابن حمران كالصريح في إرادة ما قيل، ولا يكون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كالنص في إرادة الوجدان في أوّل أوقات الدخول في الصّلاة، كما يشهد له تعبيره بلفظ المضارع، فلا يصحّ حمله على ما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هذا الخبر أشار السيّد في جُمَله</w:t>
      </w:r>
      <w:r>
        <w:rPr>
          <w:rStyle w:val="FootnoteAnchor"/>
          <w:rtl w:val="true"/>
        </w:rPr>
        <w:footnoteReference w:id="1260"/>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أنّه إذا كَبّر تكبيرة الإحرام مضى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من حمل الدخول في الطائفة الثانية على الدخول الكامل، وهو الدخول في الركوع بقرينة الطائفة الأُولى</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عنها من الأخبار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الصّلاة الركوع</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طهور، وثلثٌ ركوع، وثلثٌ سجود</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الركعة بإدراك الركوع</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أدلّة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إنْ اُريد بذلك عدم صدق الدخول في الصّلاة في نفسه، ما لم يركع، فهو بديهي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به عدم صدقه قبل الركوع في خصوص المقام، لقيام القرينة على أنّ المراد به الدخول الكامل، غيرالصادق قبل أن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موجودة، إذ الطائفة الأُولى لا تصلح لذلك، لعدم تعرّضها لصدق الدخول وعدمه، وإنّما هي متضمّنة لصحّة الصّلاة إنْ أصاب الماء بعد الركوع، وفسادها إنْ أصابه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أنّ أوّل الصّلاة الركوع، فإنّما هو بلحاظ بعض الجهات والخصوصيّات، ولعلّه اُريد به أنّه أوّل جزءٍ فرضه اللّه، فان التكبيرة والقراءة من السُنّة، كما نطقت بذلك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على التثليث المذكور، لعلّه اُريد به أنّ الصّلاة اسمٌ لهذه الثلاثة، وكل ما زاد عليها يدخل في المسمّى‌، ولو نقصَ عنها شيءٌ لا يصدق على المأتيّ به عنوان الصّلاة، كما حقّقناه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الصحيح والأعمّ‌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من أنّ إدراك الركعة بإدراك الركوع، إنّما يدلّ على أنّ آخر الركعة هوخ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الركوع، لا أنّه أوّل جزء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هذه الأدلّة لا تصلح أن تكون قرينةً لإرادة الدخول في الركوع من قول السائل، حين يدخل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أنّه يصدق الدخول من أوّل التلبّس بالتكبيرة، إلّاأنّه مطلق قابل للتقييد، فهو يرجع إلى الوجه الأوّل الذي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جملةٍ من كتب الأساطين</w:t>
      </w:r>
      <w:r>
        <w:rPr>
          <w:rStyle w:val="FootnoteAnchor"/>
          <w:rtl w:val="true"/>
        </w:rPr>
        <w:footnoteReference w:id="1265"/>
      </w:r>
      <w:r>
        <w:rPr>
          <w:rFonts w:ascii="Amiri" w:hAnsi="Amiri" w:eastAsia="Amiri" w:cs="Amiri"/>
          <w:color w:val="111111"/>
          <w:sz w:val="28"/>
          <w:sz w:val="28"/>
          <w:szCs w:val="28"/>
          <w:rtl w:val="true"/>
          <w:lang w:bidi="ar-SA"/>
        </w:rPr>
        <w:t>من حمل الطائفة الثانية على ضيق الوقت عن القطع والطهارة، كما يشعر به ذيل خبر ابن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ابن حمران دلَّ على لزوم كونه في آخر الوقت، فحاله حال ما دلَّ على ذلك المحمول على الاستحباب، وعليه فهو لا يصلح أن يكون قرينةً للتصرّف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منه ما لو قلنا بظهوره في نفسه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هذا الجمع إلّاتوهم دلالة خبر ابن حمران على لزوم إيقاع التيمّم في آخر الوقت، وعليه فيكون الأمر بالمضيّ وعدم الإعادة، لأجل ضيق الوقت، وحيث أنّه لو لم يكن ظاهراً في الاستحباب فهو محمول عليه بقرينة غيره، فلا وجه لهذا الجمع</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من حمل الخبرين المفصّلين، على أنّ المراد بالدخول في الصّلاة فيهما، الشروع في مقدّماتها كالأذان،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لم يتلبّس بالصلاة،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قد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فيها إطلاقاً لاسم الجزء على الكلّ‌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مافي هذا الحمل من البُعد، وشدّة المخالفة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المرجّحات، وهي تقتضي تقديم الطائفة الثانية لأشهريّة رواتها في العلم والعدالة من رواة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سبيل إلى الرجوع إلى المرجّحات، بعد إمكان الجمع العرفي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يقتضي أن نلتزم بحمل الخبرين المفصّلين الآمرين بالوضوء واستقبال الصّلاة، لو وجد الماء قبل الركوع على الاستحباب، كما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2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12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ثبت جواز التوضّي واستقبال الصّلاة، فهو غير عاجزٍ عن استعمال الماء، فيصدق عليه الواجد، فيرتفع موضوع مشروعيّة التيمّم، فكيف يلتزم ببقاء أثره‌؟</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اجتهادٌ في مقابل النصّ لا يُعبأ به، مع أنّه يمكن أن يكون عدم الأمر وجوباً باستقبال الصّلاة مع الوضوء، رعايةً لحرمة الصّلاة، أو تسهيلاً على المكلّف</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عدم كون هذا الجمع عرفيّاً، إذ في الخبرين المفصلين أمر الواجد قبل الركوع بالانصراف والتوضّي، وفي الطائفة الثانية أمرٌ بالمضيّ‌، 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ريب في أنّهما متعارضتان، كما يظهر لو جمعنا الأمرين في كلامٍ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الأمر بالمضيّ كونه إرشاداً إلى عدم نقض التيمّم، وعليه فهو يصلح أن يكون قرينة لحمل الأمر بالاستقبال على الاستحباب</w:t>
      </w:r>
    </w:p>
    <w:p>
      <w:pPr>
        <w:pStyle w:val="BookText"/>
        <w:rPr/>
      </w:pPr>
      <w:r>
        <w:rPr>
          <w:rFonts w:ascii="Amiri" w:hAnsi="Amiri" w:eastAsia="Amiri" w:cs="Amiri"/>
          <w:color w:val="111111"/>
          <w:sz w:val="28"/>
          <w:sz w:val="28"/>
          <w:szCs w:val="28"/>
          <w:rtl w:val="true"/>
          <w:lang w:bidi="ar-SA"/>
        </w:rPr>
        <w:t>نعم، لو لم يتمّ ذلك، وتعيّن الرجوع إلى المرجّحات، فالترجيح مع الطائفة المفصلة لمخالفتها للعامّة، وموافقة معارضها لأكثر علمائهم بعد كون الطائفتين متساويتين من حيث صفات الراوي،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القول فيها إنّ خبر الصيقل ضعيفٌ‌، لأنّ في طريقه موسى بن سعدان الحنّاط الكوفي، الذي وصفه النجاشي</w:t>
      </w:r>
      <w:r>
        <w:rPr>
          <w:rStyle w:val="FootnoteAnchor"/>
          <w:rtl w:val="true"/>
        </w:rPr>
        <w:footnoteReference w:id="1271"/>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زرارة فيجب طرحه لإعراض الأصحاب عنه، حيث أنّه يدلّ على أنّه يتوضّأ ويبني على صلاته، حيث لم يفتِ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ضعف خبر الصيقل لا ينافي مع حمله على الاستصحاب لقاعدة التسامح، كما التزم به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ينافي مع ما تقدّم، إذ الأمر بالمضيّ في تلك النصوص محمولٌ على الجواز، لوروده مورد توهّم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الأمر بالمضيّ في الخبرين المفصّلين على الجواز، لا سيّما بعد حمل الفقرة الأُولى فيهما على الاستحباب كما ترى، فإذا يتعيّن طرحهما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ما اختاره المشهور أظهر، وظهر ممّا ذكرناه مدرك القول الثاني وضعفه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بأنّ ما دلَّ على المضيّ مطلقاً يقيّد إطلاقه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بالخبرين المفصلين، وحيث أنّهما معارضان مع الطائفة الثالثة الدالّة على لزوم القطع على من صلّى ركعة، فيحمل كلّ من المتعارضين على ما هو المتيقّن إرادته منه، وهو في الطائفة الثالثة خصوص موردها، وهو قبل الدخول في ركوع الركعة الثانية، في غير مورد الضيق المظنون عدم كونه مراداً من إطلاقها، وفي غيرها ما بعد الركوع في الركعة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ما دلَّ على المضيّ مطلقاً غير قابل للتقييد، كما أنك عرفت أنّ أخبار القطع مطلقاً ضعيفة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بأنّ تكبيرة الافتتاح ليست من أجزاء الصّلاة، بل أوّل أجزائها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الشرح من أنّها من أجزاء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وأمّا 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بأنّ التيمّم في السِّعة غير مأمور به، فوجوب القطع في فرض السِّعة إنّما يكون لفساد التيمّم، فمورد نصوص الباب هو التيمّم في ضيق الوقت، وفي ذلك المورد الجمع بينهما يقتضي الالتزام بجواز المُضيّ‌، ولو بعد التلبّس بتكبيرة الإحرام، وحمل ما دلَّ على القطع قبل الركوع على الاستحباب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جواز التيمّم في السِّعة، مع أنّ لازم عدم جوازه إلّافي الضيق، بطلان التيمّم والصّلاة لو تيمّم في السِّعة وصلّى وإنْ لم يجد الماء في الأثناء، مع أنّ ظاهر كلامه يدلّ على التزامه بالصحّة في صورة عدم وجدان الماء مضافاً إلى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الالتزام بلزوم إيقاع التيمّم في الضيق بهذه المرتبة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القول الأوّل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بعدما عرفت من أنّ مقتضى الجمع بين النصوص جواز القطع، لو وجد الماء قبل الركوع، فيتعيّن تقييد إطلاق ما دلَّ على حرمة قطع الصّلاة لو كان له إطلاق، مع أنّ للمنع عنه مجالاً واسعاً، كما سبق وأن ذكرناه في بداية البحث من هذا الشرح</w:t>
      </w:r>
      <w:r>
        <w:rPr>
          <w:rFonts w:eastAsia="Amiri" w:cs="Amiri" w:ascii="Amiri" w:hAnsi="Amiri"/>
          <w:color w:val="111111"/>
          <w:sz w:val="28"/>
          <w:szCs w:val="28"/>
          <w:rtl w:val="true"/>
          <w:lang w:bidi="ar-SA"/>
        </w:rPr>
        <w:t>.</w:t>
      </w:r>
      <w:bookmarkStart w:id="486" w:name="pg11797_257142"/>
    </w:p>
    <w:p>
      <w:pPr>
        <w:pStyle w:val="Heading6"/>
        <w:numPr>
          <w:ilvl w:val="5"/>
          <w:numId w:val="1"/>
        </w:numPr>
        <w:rPr/>
      </w:pPr>
      <w:bookmarkStart w:id="487" w:name="__RefHeading___Toc10391262_73709187"/>
      <w:bookmarkStart w:id="488" w:name="_Toc182"/>
      <w:bookmarkEnd w:id="486"/>
      <w:bookmarkEnd w:id="487"/>
      <w:r>
        <w:rPr>
          <w:rtl w:val="true"/>
        </w:rPr>
        <w:t>فروع باب التيمّم</w:t>
      </w:r>
      <w:bookmarkEnd w:id="488"/>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 عن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يختصّ جواز المُضيّ في الصّلاة عند وجدان الماء مطلقاً أو بعد الركوع بالفريضة،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 xml:space="preserve">احتماله،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يعمّ النافلة،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27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2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27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2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وجهان؛ أظهرهما الثاني 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بانصراف ما دلَّ على الجواز إلى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إبطال النافلة جائزٌ، فيتحقّق التمكّن من استعمال الماء، ومعه يتحقّق شرط النقض</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الأمر فيها بالإتمام، الظاهر في الوجوب، قرينة على الاختصاص، </w:t>
      </w:r>
    </w:p>
    <w:p>
      <w:pPr>
        <w:pStyle w:val="BookText"/>
        <w:rPr/>
      </w:pPr>
      <w:r>
        <w:rPr>
          <w:rFonts w:ascii="Amiri" w:hAnsi="Amiri" w:eastAsia="Amiri" w:cs="Amiri"/>
          <w:color w:val="111111"/>
          <w:sz w:val="28"/>
          <w:sz w:val="28"/>
          <w:szCs w:val="28"/>
          <w:rtl w:val="true"/>
          <w:lang w:bidi="ar-SA"/>
        </w:rPr>
        <w:t>لجواز قطع النافلة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فلمنعه لعدم الوجه له، وظهور السؤال في الفريضة لا يكون قرينةً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جواز الإبطال لا ينافي مع بقاء أثر التيمّم، ولذلك التزمنا بجواز القطع، بل استحبابه إذا وجد الماء قبل الدخول في الركوع، مع أنّ وجه عدم الانتقاض في الفريضة، ليس هو عدم جواز قطعها، إذ لو انتقض التيمّم بوجدان الماء انقطعت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بالإتمام ليس نفسيّاً وجوبيّاً، بل إرشاديّاً إلى صحّة التيمّم والصّلاة وعدم نقصانها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الأقوى هو الشمول للنافلة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بالصلاة غيرها من العبادات، إذا وُجِد الماء في أثنائها، بل تبطل مطلقاً، لاختصاص النصوص بالصلاة، فيكون المرجع فيها عموم ما دلَّ على انتقاض التيمّم بوجدان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الجملة ممّا لا كلام فيه، إنّما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وجد الماء في أثناء الطواف، فإنّه قد يتوهّم أنّ مقتضى إطلاق ما دلَّ على أنّ الطواف في البيت صلاة، ثبوت جميع أحكامها له، ومن جملتها هذا الحكم، وهو توهّمٌ فاسد، إذ الظاهر عدم ورود خبرٍ متضمّن لهذه الجملة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بعض النصوص إنّما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فيه صلاة</w:t>
      </w:r>
      <w:r>
        <w:rPr>
          <w:rFonts w:eastAsia="Amiri" w:cs="Amiri" w:ascii="Amiri" w:hAnsi="Amiri"/>
          <w:color w:val="111111"/>
          <w:sz w:val="28"/>
          <w:szCs w:val="28"/>
          <w:rtl w:val="true"/>
          <w:lang w:bidi="ar-SA"/>
        </w:rPr>
        <w:t>»</w:t>
      </w:r>
      <w:r>
        <w:rPr>
          <w:rStyle w:val="FootnoteAnchor"/>
          <w:rtl w:val="true"/>
        </w:rPr>
        <w:footnoteReference w:id="1282"/>
      </w:r>
      <w:r>
        <w:rPr>
          <w:rFonts w:ascii="Amiri" w:hAnsi="Amiri" w:eastAsia="Amiri" w:cs="Amiri"/>
          <w:color w:val="111111"/>
          <w:sz w:val="28"/>
          <w:sz w:val="28"/>
          <w:szCs w:val="28"/>
          <w:rtl w:val="true"/>
          <w:lang w:bidi="ar-SA"/>
        </w:rPr>
        <w:t>وهو غير ظاهرٍ في إرادة كون الطواف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هذا الحكم من أحكام التيمّم، فإنّ النصوص إنّما دلّت على عدم انتقاضه لو وجد الماء في أثناء الصّلاة، وليس من أحكام الصّلاة كي يُتعدّى إلى ما نزل منزلتها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إمكان إرجاعه إلى الصّلاة، لا ريب في انصراف نصوص التنزيل لو كانت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إلحاقه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يمّم الميّت لفقد الماء فقد يُقال إنّه لو وجد الماء بعد الصّلاة عليه، أو الشروع فيها لا يجب الغُسل، تنزيلاً للصلاه منزلة التكبير في الفريضة أو الركوع‌؟</w:t>
      </w:r>
    </w:p>
    <w:p>
      <w:pPr>
        <w:pStyle w:val="BookText"/>
        <w:rPr/>
      </w:pPr>
      <w:r>
        <w:rPr>
          <w:rFonts w:ascii="Amiri" w:hAnsi="Amiri" w:eastAsia="Amiri" w:cs="Amiri"/>
          <w:color w:val="111111"/>
          <w:sz w:val="28"/>
          <w:sz w:val="28"/>
          <w:szCs w:val="28"/>
          <w:rtl w:val="true"/>
          <w:lang w:bidi="ar-SA"/>
        </w:rPr>
        <w:t xml:space="preserve">أمّا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فقد تنظّر 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تنزيل الصّلاة منزلة التكبير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ضعيفٌ جدّاً، وغاية ما يمكن أن يقال في توجيه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إنّما وجب شرطاً للصّلاة، فمع فقد الماء لو تيمّم وصلّى سقط التكليف، فلا يجب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الأدلّة كون وجوبه نفسيّاً لا غيريّاً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تُعاد صلاته لو صلّى ثُمّ وُجد الماء،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w:t>
      </w:r>
      <w:r>
        <w:rPr>
          <w:rStyle w:val="FootnoteAnchor"/>
          <w:rtl w:val="true"/>
        </w:rPr>
        <w:footnoteReference w:id="128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28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286"/>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87"/>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 لا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2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وغيرهما؟</w:t>
      </w:r>
    </w:p>
    <w:p>
      <w:pPr>
        <w:pStyle w:val="BookText"/>
        <w:rPr/>
      </w:pPr>
      <w:r>
        <w:rPr>
          <w:rFonts w:ascii="Amiri" w:hAnsi="Amiri" w:eastAsia="Amiri" w:cs="Amiri"/>
          <w:color w:val="111111"/>
          <w:sz w:val="28"/>
          <w:sz w:val="28"/>
          <w:szCs w:val="28"/>
          <w:rtl w:val="true"/>
          <w:lang w:bidi="ar-SA"/>
        </w:rPr>
        <w:t>وجهان، أقواهما الأوّل، إذ الدليل إنّما دلَّ على لزوم إيقاع الصّلاة بعد الغُسل وهو ممكنٌ‌، فلا تجزي الصّلاة التي أتى بها قبله، ولأنّ التيمّم انكشف فساده بالوجدان، ولذا يُعيد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المواسعة في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بدلٌ عن 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للملازمة بين القول بصحّة التيمّم وانتقاضه بوجدان الماء، لما دلَّ على ذلك، لا أنّه يكشف عن فساده من أوّل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لوقوعها عن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لازمه عدم وجوب تغسيله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تغسيله، لما دلَّ على اعتبار طهارة الميّت إلى أن 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على القول بالعدم، لو وجد الماء في أثناء الصّلاة، هل يمضي في صلاته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290"/>
      </w:r>
      <w:r>
        <w:rPr>
          <w:rFonts w:ascii="IRNazanin" w:hAnsi="IRNazanin" w:eastAsia="IRNazanin"/>
          <w:color w:val="111111"/>
          <w:sz w:val="28"/>
          <w:sz w:val="28"/>
          <w:szCs w:val="28"/>
          <w:rtl w:val="true"/>
          <w:lang w:bidi="fa-IR"/>
        </w:rPr>
        <w:t>أم لا؟</w:t>
      </w:r>
    </w:p>
    <w:p>
      <w:pPr>
        <w:pStyle w:val="BookText"/>
        <w:rPr/>
      </w:pPr>
      <w:r>
        <w:rPr>
          <w:rFonts w:ascii="Amiri" w:hAnsi="Amiri" w:eastAsia="Amiri" w:cs="Amiri"/>
          <w:color w:val="111111"/>
          <w:sz w:val="28"/>
          <w:sz w:val="28"/>
          <w:szCs w:val="28"/>
          <w:rtl w:val="true"/>
          <w:lang w:bidi="ar-SA"/>
        </w:rPr>
        <w:t>وجهان، أقواهما الثاني، لانتقاض التيمّم بالوجدان، فتنقطع الصّلاة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ضعف ما استدلّ للأوّل، بأنّه دخل في الصّلاة دخولاً مشروعاً، فلم يجز إبطالها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لمكان أنّه دخلها وهو على طُهر بتيمّم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مختصٌّ بما لو صلّى المتيمّم نفسه، فالتعدّي عن مورده إلى المقام غير ظاهر الوجه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بوجدان الماء في النصوص والفتاوى، هو التمكّن من استعماله عقلاً وشرعاً، لا خصوص الوجدان العقلي، فلو كان واجداً للماء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وتيمّم لعُذرٍ آخر، فزال عُذره في أثناء الصّلاة، يجري فيه ما ذكرناه من الحكم في وجدان الماء، إذ الظاهر من النصوص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بعد ملاحظة نظائر هذا الحكم من أحكام التيمّم، وكونه طهوراً للعاجز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إصابة الماء في الأسئلة والأجوبة من باب المثال، جرياً على الغالب، وإلّا فالمراد مطلق تجدّد القدرة من استعمال الماء من غير فرقٍ بين المسوّغات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التعليلات المذكورة في نصوص المقام، كقوله عليه السلام</w:t>
      </w:r>
      <w:r>
        <w:rPr>
          <w:rStyle w:val="FootnoteAnchor"/>
          <w:rtl w:val="true"/>
        </w:rPr>
        <w:footnoteReference w:id="12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لمكان أنّه دخلها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Style w:val="FootnoteAnchor"/>
          <w:rtl w:val="true"/>
        </w:rPr>
        <w:footnoteReference w:id="12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التيمّم أحد الطهورين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من الاستشكال في إلحاق زوال العُذر بوجدان الماء في الحكم المذكور،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إذا وجد الماء في أثناء الصّلاة، ثمّ فقد في أثنائها، أو بعد الفراغ من الصّلاة بلا فصلٍ يفي بالطهارة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294"/>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w:t>
      </w:r>
      <w:r>
        <w:rPr>
          <w:rStyle w:val="FootnoteAnchor"/>
          <w:rtl w:val="true"/>
        </w:rPr>
        <w:footnoteReference w:id="12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تجديد التيمّم لصلاةٍ اُخرى‌، وانتقاض ذلك التيمّم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98"/>
      </w:r>
      <w:r>
        <w:rPr>
          <w:rFonts w:ascii="Amiri" w:hAnsi="Amiri" w:eastAsia="Amiri" w:cs="Amiri"/>
          <w:color w:val="111111"/>
          <w:sz w:val="28"/>
          <w:sz w:val="28"/>
          <w:szCs w:val="28"/>
          <w:rtl w:val="true"/>
          <w:lang w:bidi="ar-SA"/>
        </w:rPr>
        <w:t>تقويته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بإطلاق ما دلّ‌</w:t>
      </w:r>
      <w:r>
        <w:rPr>
          <w:rStyle w:val="FootnoteAnchor"/>
          <w:rtl w:val="true"/>
        </w:rPr>
        <w:footnoteReference w:id="1299"/>
      </w:r>
      <w:r>
        <w:rPr>
          <w:rFonts w:ascii="Amiri" w:hAnsi="Amiri" w:eastAsia="Amiri" w:cs="Amiri"/>
          <w:color w:val="111111"/>
          <w:sz w:val="28"/>
          <w:sz w:val="28"/>
          <w:szCs w:val="28"/>
          <w:rtl w:val="true"/>
          <w:lang w:bidi="ar-SA"/>
        </w:rPr>
        <w:t>على انتقاض التيمّم بوجدان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وبإطلاق</w:t>
      </w:r>
      <w:r>
        <w:rPr>
          <w:rStyle w:val="FootnoteAnchor"/>
          <w:rtl w:val="true"/>
        </w:rPr>
        <w:footnoteReference w:id="1300"/>
      </w:r>
      <w:r>
        <w:rPr>
          <w:rFonts w:ascii="Amiri" w:hAnsi="Amiri" w:eastAsia="Amiri" w:cs="Amiri"/>
          <w:color w:val="111111"/>
          <w:sz w:val="28"/>
          <w:sz w:val="28"/>
          <w:szCs w:val="28"/>
          <w:rtl w:val="true"/>
          <w:lang w:bidi="ar-SA"/>
        </w:rPr>
        <w:t>دليل وجوب الطهارة المائيّة، إذ القدر المعلوم من الدليل المقيّد عدم انتقاض التيمّم، وعدم وجوب الطهارة المائيّة بالنسبة إلى الصّلاة التي هو مشغولٌ بها لا مطلقاً، فبالنسبة إلى غيرها يتعيّن الرجوع إلى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متمكّنٌ عقلاً من استعمال الماء، والمنع الشرعي عن المضيّ في الصّلاة لا يرفع القدرة، لأنّها صفة حقيقيّة، والحكم معلّق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مقتضى الأدلّة وجوب الوضوء أو التيمّم لكلّ صلاةٍ‌، خرج ما خرج بالدليل، فيبقى الباقي، والمقام من تلك الموارد الباقية، لأنّ الدليل المخرج في التيمّم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الرَّجل بتيمّمٍ واحدٍ صلاة اللّيل والنهار؟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يُحدِث أو يُصب ماءً‌</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مخصوصٌ بغير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آنفاً من أنّ المراد من الوجدان الناقض، هو وجود الماء مع القدرة على استعماله عقلاً وشرعاً، وهو غير متحقّقٍ في المقام في ما بعد الركوع، لوجوب المضيّ‌، وحرمة قطع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مقيّدٌ بما دلَّ على أنّ التيمّم طهورُ العاجز عن الطهارة المائيّة، ولو لعجزٍ شرعي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مراراً من أنّ المراد بالوجدان المأخوذ موضوعاً</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لمشروعيّة التيمّم، ليس هو التمكّن العقلي خاصّة، بل أعمّ منه ومن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المستفاد من مجموع الأدلّة، اشتراط الصّلاة بالطهارة، وأنّها إذا حصلت تبقى ما لم يتحقّق الناقض، فوجوب تجديدها يتوقّف على تحقّق الناقض، وهو غير متحقّقٍ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 الصحيح بغير المورد ممنوعٌ‌، لما عرفت من أنّ المراد بإصابة الماء التمكّن من استعماله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أنّ الأظهر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3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3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3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3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13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3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انتقاض التيمّم، والاكتفاء به لغير الصّلاة التي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بين المتأخّرين، وعليه العلّامة</w:t>
      </w:r>
      <w:r>
        <w:rPr>
          <w:rStyle w:val="FootnoteAnchor"/>
          <w:rtl w:val="true"/>
        </w:rPr>
        <w:footnoteReference w:id="1310"/>
      </w:r>
      <w:r>
        <w:rPr>
          <w:rFonts w:ascii="Amiri" w:hAnsi="Amiri" w:eastAsia="Amiri" w:cs="Amiri"/>
          <w:color w:val="111111"/>
          <w:sz w:val="28"/>
          <w:sz w:val="28"/>
          <w:szCs w:val="28"/>
          <w:rtl w:val="true"/>
          <w:lang w:bidi="ar-SA"/>
        </w:rPr>
        <w:t>في باقي كتبه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ينتقض التيمّم بما إذا كان الوجدان في النافلة، أو قبل الدخول في الركوع في الفريضة، لما تقدّم من جواز القطع في هذين الموردين، فيصدق الوجدان بالنسبة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ما بيده، لعدم المانع شرعاً من استعماله، فلا يكتفى بذلك التيمّم، كما أنّه لا يبعد دعوى الانتقاض مطلقاً إذا كان متمكّناً من أن يتوضّأ أو يغتسل في أثناء الفريضة بنحو لا تبطل صلاته لغير تلك الفريضة،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الماء في أثناء الصّلاة، فهل يجوز مسّ كتابة القرآن حال الاشتغال بالصلاة أم لا؟ وجهان بل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وجد الماء بعد الركوع، وعلم بعدم بقائه إلى ما بعد الصّلاة، جاز ذلك جزماً، لما عرفت من صدق عدم الوجدان حينئذٍ بالنسبة إلى سائر الغايات غير الصّلاة التي بيده، فيشمله ما دلَّ على أنّ المتيمّم يستبيح ما يستبيحه المتطهّر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وجده قبل الركوع أو بعده، وعلم ببقائه إلى ما بعد الصّلاة، فحيثُ أنّه في الصورتين لا يصدق عدم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جواز القطع، وتمكّنه من استعمال الماء عقلاًوشرعاً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العجز عن استعمال الماء في الأمد القصير لا يصدق معه عدم الوجدان الذي جعل موضوعاً لمشروعيّة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يتوهّم عدم جوازه، لأجل أنّ القدر المتيقّن من بقاء التيمّم وصحّته إنّما هو بالنسبة إلى تلك الصّلاة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توهّم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المشهور المنصور من أنّ التيمّم أحد الطهورين، لا أنّه مبيحٌ خاصّة، فإنّه حينئذٍ يكون ما دام في الصّلاة متطهّراً فله الإتيان بجميع ما هو مشروط بالطهارة، وقد تقدّم تفصيل القول في ذلك في فروع ضيق الوقت في مبحث المسوّغات، فراجع</w:t>
      </w:r>
      <w:r>
        <w:rPr>
          <w:rFonts w:eastAsia="Amiri" w:cs="Amiri" w:ascii="Amiri" w:hAnsi="Amiri"/>
          <w:color w:val="111111"/>
          <w:sz w:val="28"/>
          <w:szCs w:val="28"/>
          <w:rtl w:val="true"/>
          <w:lang w:bidi="ar-SA"/>
        </w:rPr>
        <w:t>.</w:t>
      </w:r>
      <w:r>
        <w:rPr>
          <w:rStyle w:val="FootnoteAnchor"/>
        </w:rPr>
        <w:footnoteReference w:id="1311"/>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الأظهر جواز المسّ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العدول من الصّلاة التي وجد الماء فيها إلى فائتة سابقة، في الموارد التي لا يصدق عدم الوجدان بالنسبة إلى سائر الغايات غير ما بيده من الصّلاة وعدمه‌؟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بقاء أثر التيمّم بالنسبة إلى غير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العدول إنْ كان واجباً، فالصلاة المعدول إليها بدلٌ ممّا هو فيها بجعل الشارع، وإنْ كان مستحبّاً فهو أيضاً انتقالٌ من صلاةٍ واجبة إلى فائتة واجبة، غاية الأمر الانتقال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بدليّة المعدول إليها ليست ثابتة بنحوٍ يترتّب عليها جميع أحكام ما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فالأظهر هو الأوّل، ويشهد له إطلاق ما دلَّ على المضيّ في ما بيده، فان مقتضى إطلاقه المُضيّ فيها، ولو بإتمامها بعنوان آخر، غير العنوان الذي قَصَده من الأوّل، ولعلّه إلى ذلك يرجع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إنّ قول الشيخ إنّما هو بالنسبة إلى الصّلاة المستقبلة المحكوم عليها بالصحّة، من نوع تلك الصّلاة التي شَرَع فيها، لا شخصها بعينها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جواز العدول مطلقاً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وجدان الماء في أثناء الصّلاة، بعد الحكم الشرعي بتحقّق ما يعتبر في المُضيّ بوجدان الماء بعده، كما لو وجده وهو في السجود، وشكّ في أنّه ركع أم لا، بناءً على تعليق جواز المُضيّ على الوجدان بعد الركوع، فهل هو كالوجدان بعد الركوع الوجداني أم لا؟ وجهان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قاعدة التجاوز الثابتة بالأخبار</w:t>
      </w:r>
      <w:r>
        <w:rPr>
          <w:rStyle w:val="FootnoteAnchor"/>
          <w:rtl w:val="true"/>
        </w:rPr>
        <w:footnoteReference w:id="1313"/>
      </w:r>
      <w:r>
        <w:rPr>
          <w:rFonts w:ascii="Amiri" w:hAnsi="Amiri" w:eastAsia="Amiri" w:cs="Amiri"/>
          <w:color w:val="111111"/>
          <w:sz w:val="28"/>
          <w:sz w:val="28"/>
          <w:szCs w:val="28"/>
          <w:rtl w:val="true"/>
          <w:lang w:bidi="ar-SA"/>
        </w:rPr>
        <w:t>لا تكون مثبتاتها حُجّة، فلا يثبت بها الوجدان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قبيل الموضوع المركّب الثابت أحد جزئيه بالقاعدة وهو تحقّق الركوع، والجزء الآخر بالوجدان، وهو وجدان الماء، فبضمّ الوجدان إلى القاعدة يتمّ الموضوع، ويترتّب عليه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دليل القاعدة إنّما دلَّ على ترتيب أثر وجود الجزء من حيث صحّة الأجزاء اللّاحقة، لا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إطلاق دليلها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ما نصّ على جريان القاعدة فيه من الأجزاء لا أثر لتركه من حيث صحّة الأجزاء اللّاحقة كالقراءة، فإنّ أثر تركها ليس بطلان الصّلاة، بل سجود السهو، وهذا دليلٌ قطعيّ على عدم اختصاص الدليل بخصوص صحّة الأجزاء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الأظهر المُضيّ في الفرض أيضاً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89" w:name="pg11797_257163"/>
    </w:p>
    <w:p>
      <w:pPr>
        <w:pStyle w:val="BookText"/>
        <w:rPr/>
      </w:pPr>
      <w:bookmarkEnd w:id="489"/>
      <w:r>
        <w:rPr>
          <w:rFonts w:ascii="Amiri" w:hAnsi="Amiri" w:eastAsia="Amiri" w:cs="Amiri"/>
          <w:color w:val="111111"/>
          <w:sz w:val="28"/>
          <w:sz w:val="28"/>
          <w:szCs w:val="28"/>
          <w:rtl w:val="true"/>
          <w:lang w:bidi="ar-SA"/>
        </w:rPr>
        <w:t>ولا يُعيد ما صَلّى بتيمّمه</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10391264_73709187"/>
      <w:bookmarkStart w:id="491" w:name="_Toc183"/>
      <w:bookmarkEnd w:id="490"/>
      <w:r>
        <w:rPr>
          <w:rtl w:val="true"/>
        </w:rPr>
        <w:t>لا يُعيد الصّلاة إذا وجد الماء</w:t>
      </w:r>
      <w:bookmarkEnd w:id="49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يعيدُ ما صَلّى بتيمّمه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لو وجد الماء، وإنْ كان في الوقت، كما هو المشهور شهرةً عظيمة كادت تكون إجماعاً، وعن غير واحد حكايته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القديمين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 مع وجدان الماء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131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 على الحاضر إذا وجد الماء في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وتشهد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طائفتان 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نفي الإعادة مطلقاً، كصحيح عبد اللّه بن علي الحلبي، أنّه سأل أبا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إذا أجنَبَ ولم يجد الماء؟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بالصعيد، فإذا وجد الماء فليغتسل، ولا يُعيد الصّلاة</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الإعادة عند وجدان الماء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الإمام الصادق عليه السلام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تيمّم وصلّى‌، ثمّ بلغ الماء قبل أن يخرج الوقت‌؟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عليه إعادة الصّلاة</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أصاب الماء وقد صلّى بتيمّم وهو في وقت‌؟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ولا إعادة عليه</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حكم ما لو وجد الماء في خارج الوقت منها بالأولويّة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يعقوب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تيمّم فصلّى فأصاب بعد صلاته ماءً‌، أيتوضّأ ويُعيد الصّلاة أم تجوز صلاته‌؟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الماء قبل أن يمضي الوقت توضّأ وأعاد، فإنْ مضى الوقت فلا إعادة عليه</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أخصّ من الطائفة الأولى من النصوص المتقدّمة، إلّاأنّه معارض مع الطائفة الثانية، فحيثُ أنّه يمكن الجمع العرفي بينهما بحمله على الاستحباب، فيتعيّن ذلك، ويشهد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كونه جمعاً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منصور ابن حازم،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تيمّم فصلّى، ثمّ أصاب الماء؟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فكنت فاعلاً إنّي كنت أتوضّأ واُعيد</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ظاهره الاستحباب</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عدم الإعادة، لاشتمال بعضها على النهي عن الإعادة،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تعارض صحيح ابن يقطين الآمر بها بنحوٍلا يمكن الجمع العرفي بينهما، وتنافي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لورود النهي فيها مورد توهم الوجوب، لا تنافي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بانصراف نصوص عدم الإعادة عن الحاضر، لندرة عدم وجدان الماء في الحضر حين الصّلاة، مع اعتقاد استمرار العجز ووجدانه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السكوني، عن مولانا جعفر، عن آبائه،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يكون في وسط الزحام يوم الجمعة، أو يوم عرفة، لا يستطيع الخروج من كثرة الزحام‌؟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ويُصلّي معهم، ويُعيد إذا انصرف</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موثّق سماعة</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غير مرّةٍ من أنّ الانصراف الناشيء عن قلّة وجود فرد، لا يصلح أن يكون مقيّداً للإطلاق، مع أنّ ندرة وجود هذا الفرد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الخبران، فقد عرفت في مبحث المسوّغات</w:t>
      </w:r>
      <w:r>
        <w:rPr>
          <w:rStyle w:val="FootnoteAnchor"/>
          <w:rtl w:val="true"/>
        </w:rPr>
        <w:footnoteReference w:id="1322"/>
      </w:r>
      <w:r>
        <w:rPr>
          <w:rFonts w:ascii="Amiri" w:hAnsi="Amiri" w:eastAsia="Amiri" w:cs="Amiri"/>
          <w:color w:val="111111"/>
          <w:sz w:val="28"/>
          <w:sz w:val="28"/>
          <w:szCs w:val="28"/>
          <w:rtl w:val="true"/>
          <w:lang w:bidi="ar-SA"/>
        </w:rPr>
        <w:t>أنّهما أجنبيّان عن المقام، لورودهما في الصّلاة مع المخالفين،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وجوب الإعادة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يتوهّم وجوب الإعادة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تعمّد الجنابة مع كونه خائفاً من استعمال الماء</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3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13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Pr>
        <w:footnoteReference w:id="132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3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3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13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Style w:val="FootnoteAnchor"/>
          <w:rtl w:val="true"/>
        </w:rPr>
        <w:footnoteReference w:id="1329"/>
      </w:r>
      <w:r>
        <w:rPr>
          <w:rFonts w:ascii="Amiri" w:hAnsi="Amiri" w:eastAsia="Amiri" w:cs="Amiri"/>
          <w:color w:val="111111"/>
          <w:sz w:val="28"/>
          <w:sz w:val="28"/>
          <w:szCs w:val="28"/>
          <w:rtl w:val="true"/>
          <w:lang w:bidi="ar-SA"/>
        </w:rPr>
        <w:t>ذلك، واستدلّله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بصحيح عبد اللّه بن سنان،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الرجل تصيبه الجنابة في اللّيلة الباردة، ويخاف على نفسه التلف إنْ اغتسل‌؟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ويصلّي، فإذا أمِنَ البرد اغتسل وأعاد الصّلاة</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مع ما دلَّ على نفي الإعادة عمّن أجنَبَ فتيمّم ثمّ وجد الماء، بدعوى أنّه وإنْ كان وارداً في فاقد الماء، إلّاأنّ عدم دخل هذه الخصوصيّة في الحكم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يقتضيه ذلك صيرورته مطلقاً، فيقيّد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نصوص نفي الإعادة، لاشتمالها على التعليل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الماء هو ربّ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تقييدها، مع أنّ الصحيح لم يُعمل بإطلاقه، فيتعيّن حمله على الاستحباب أو التقيّة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منعه الزحام يوم الجمعة من الخروج، فالمحكيّ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3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3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13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Pr>
        <w:footnoteReference w:id="133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الكلام في هذا الفرع في المسوّغات عند ذكر المسوّغ الثالث،</w:t>
      </w:r>
      <w:r>
        <w:rPr>
          <w:rStyle w:val="FootnoteAnchor"/>
          <w:rtl w:val="true"/>
        </w:rPr>
        <w:footnoteReference w:id="1337"/>
      </w:r>
      <w:r>
        <w:rPr>
          <w:rFonts w:ascii="Amiri" w:hAnsi="Amiri" w:eastAsia="Amiri" w:cs="Amiri"/>
          <w:color w:val="111111"/>
          <w:sz w:val="28"/>
          <w:sz w:val="28"/>
          <w:szCs w:val="28"/>
          <w:rtl w:val="true"/>
          <w:lang w:bidi="ar-SA"/>
        </w:rPr>
        <w:t>وعرفت أنّ ما استدلّ به لهذا القول أجنبيٌ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أراق الماء الموجود عنده، مع العلم بعدم وجوده بعد ذلك، فالمحكيّ عن المفيد</w:t>
      </w:r>
      <w:r>
        <w:rPr>
          <w:rStyle w:val="FootnoteAnchor"/>
          <w:rtl w:val="true"/>
        </w:rPr>
        <w:footnoteReference w:id="1338"/>
      </w:r>
      <w:r>
        <w:rPr>
          <w:rFonts w:ascii="Amiri" w:hAnsi="Amiri" w:eastAsia="Amiri" w:cs="Amiri"/>
          <w:color w:val="111111"/>
          <w:sz w:val="28"/>
          <w:sz w:val="28"/>
          <w:szCs w:val="28"/>
          <w:rtl w:val="true"/>
          <w:lang w:bidi="ar-SA"/>
        </w:rPr>
        <w:t>والشهيد</w:t>
      </w:r>
      <w:r>
        <w:rPr>
          <w:rStyle w:val="FootnoteAnchor"/>
          <w:rtl w:val="true"/>
        </w:rPr>
        <w:footnoteReference w:id="1339"/>
      </w:r>
      <w:r>
        <w:rPr>
          <w:rFonts w:ascii="Amiri" w:hAnsi="Amiri" w:eastAsia="Amiri" w:cs="Amiri"/>
          <w:color w:val="111111"/>
          <w:sz w:val="28"/>
          <w:sz w:val="28"/>
          <w:szCs w:val="28"/>
          <w:rtl w:val="true"/>
          <w:lang w:bidi="ar-SA"/>
        </w:rPr>
        <w:t>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الكلام فيه في مبحث المسوّغات</w:t>
      </w:r>
      <w:r>
        <w:rPr>
          <w:rStyle w:val="FootnoteAnchor"/>
          <w:rtl w:val="true"/>
        </w:rPr>
        <w:footnoteReference w:id="1340"/>
      </w:r>
      <w:r>
        <w:rPr>
          <w:rFonts w:ascii="IRNazanin" w:hAnsi="IRNazanin" w:eastAsia="IRNazanin"/>
          <w:color w:val="111111"/>
          <w:sz w:val="28"/>
          <w:sz w:val="28"/>
          <w:szCs w:val="28"/>
          <w:rtl w:val="true"/>
          <w:lang w:bidi="fa-IR"/>
        </w:rPr>
        <w:t>وعرفت أنّ الأظهر عدم الوجوب</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492" w:name="pg11797_257174"/>
    </w:p>
    <w:p>
      <w:pPr>
        <w:pStyle w:val="BookText"/>
        <w:rPr/>
      </w:pPr>
      <w:bookmarkEnd w:id="492"/>
      <w:r>
        <w:rPr>
          <w:rFonts w:ascii="Amiri" w:hAnsi="Amiri" w:eastAsia="Amiri" w:cs="Amiri"/>
          <w:color w:val="111111"/>
          <w:sz w:val="28"/>
          <w:sz w:val="28"/>
          <w:szCs w:val="28"/>
          <w:rtl w:val="true"/>
          <w:lang w:bidi="ar-SA"/>
        </w:rPr>
        <w:t>ولا يجوزُ قَبل دخول الوقت</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10391266_73709187"/>
      <w:bookmarkStart w:id="494" w:name="_Toc184"/>
      <w:bookmarkEnd w:id="493"/>
      <w:r>
        <w:rPr>
          <w:rtl w:val="true"/>
        </w:rPr>
        <w:t>التيمّم قبل دخول الوقت</w:t>
      </w:r>
      <w:bookmarkEnd w:id="494"/>
    </w:p>
    <w:p>
      <w:pPr>
        <w:pStyle w:val="Heading6"/>
        <w:numPr>
          <w:ilvl w:val="5"/>
          <w:numId w:val="1"/>
        </w:numPr>
        <w:rPr/>
      </w:pPr>
      <w:bookmarkStart w:id="495" w:name="__RefHeading___Toc10391268_73709187"/>
      <w:bookmarkStart w:id="496" w:name="_Toc185"/>
      <w:bookmarkEnd w:id="495"/>
      <w:r>
        <w:rPr>
          <w:rtl w:val="true"/>
        </w:rPr>
        <w:t>اشارة</w:t>
      </w:r>
      <w:bookmarkEnd w:id="49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منقولاً مستفيضاً؛ لو لم يكن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مرادهم بذلك أنّ الوضوء والغُسل مستحبّان نفسيّان، أو للكون على الطهارة، مع قطع النظر عن أيّ غايةٍ فرضت، وليس كذلك التيمّم، لا سيّما على القول بأنّه مبيحٌ لا مطهّر، فلا يصحّ قبل دخول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كون التيمّم أيضاً كذلك كما يأتي في 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مرادهم أنّه بما أنّ فقدان الماء قبل الوقت غَير مُجزٍ في التيمّم وصحّة الصّلاة به، لأنّ أدلّة التشريع إنّما وردت في فقدان الماء في الوقت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يقتضيه ذلك، عدم جواز التيمّم قبل الوقت للصّلاة، لا لغايةٍ اُخرى أو الاستحباب النفسي، وعدم جوازه كذلك كما في الوضوء والغُسل ممّا تقتضيه القواعد، لأنّ وجوب الصّلاة مشروط بدخول الوقت، وليس وجوبها من قبيل المعلّق كما حقّقناه في محلّه، والوجوب الغيري تابعٌ في الإطلاق والاشتراط للوجوب النفسي، فلا أمر به قبل وقت الصّلاة، كما لا أمر بالصلاة، فلا يصحّ الإتيان به بداعي ذلك الأمر أو التوّصل إليها، كما حقّقناه في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مرادهم لو كان ذلك، كان الفرق بينه وبين الغُسل والوضوء بلا فارق</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مرادهم أنّ الوضوء التهيّؤي قبل الوقت يصحّ بخلاف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مع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صحّة ذلك الوضوء وهو المرسل</w:t>
      </w:r>
      <w:r>
        <w:rPr>
          <w:rStyle w:val="FootnoteAnchor"/>
          <w:rtl w:val="true"/>
        </w:rPr>
        <w:footnoteReference w:id="1341"/>
      </w:r>
      <w:r>
        <w:rPr>
          <w:rFonts w:ascii="Amiri" w:hAnsi="Amiri" w:eastAsia="Amiri" w:cs="Amiri"/>
          <w:color w:val="111111"/>
          <w:sz w:val="28"/>
          <w:sz w:val="28"/>
          <w:szCs w:val="28"/>
          <w:rtl w:val="true"/>
          <w:lang w:bidi="ar-SA"/>
        </w:rPr>
        <w:t xml:space="preserve">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وَقّر الصّلاة من أخّرَ الطهارة لها حتّى يدخل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المنجبر ضعفه باعتماد الأساطين عليه، يدلّ على مشروعيّة التيمّم التهيّؤي لإطلاق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يقيّد بالإجماع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لعدم معلوميّة مراد المجمعين، لا يقيّد ذلك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الطهارة المائيّة والترابيّة، فيما تقتضيه القواعد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مع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لذلك، ولأنّه المتيقّن من موارد مشروعيّة التيمّم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497" w:name="pg11797_257178"/>
    </w:p>
    <w:p>
      <w:pPr>
        <w:pStyle w:val="BookText"/>
        <w:rPr/>
      </w:pPr>
      <w:bookmarkEnd w:id="497"/>
      <w:r>
        <w:rPr>
          <w:rFonts w:ascii="Amiri" w:hAnsi="Amiri" w:eastAsia="Amiri" w:cs="Amiri"/>
          <w:color w:val="111111"/>
          <w:sz w:val="28"/>
          <w:sz w:val="28"/>
          <w:szCs w:val="28"/>
          <w:rtl w:val="true"/>
          <w:lang w:bidi="ar-SA"/>
        </w:rPr>
        <w:t>وفي حال السِّعة قولان</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10391270_73709187"/>
      <w:bookmarkStart w:id="499" w:name="_Toc186"/>
      <w:bookmarkEnd w:id="498"/>
      <w:r>
        <w:rPr>
          <w:rtl w:val="true"/>
        </w:rPr>
        <w:t>التيمّم في حال السِّعة</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حال السِّعة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34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34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3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34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3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34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المشهور مطلقاً أو بين المتقدّمين، وهو وجوب التأخير إلى آخر الوقت، كذلك وعن ناصريات السيّد</w:t>
      </w:r>
      <w:r>
        <w:rPr>
          <w:rStyle w:val="FootnoteAnchor"/>
          <w:rtl w:val="true"/>
        </w:rPr>
        <w:footnoteReference w:id="1348"/>
      </w:r>
      <w:r>
        <w:rPr>
          <w:rFonts w:ascii="Amiri" w:hAnsi="Amiri" w:eastAsia="Amiri" w:cs="Amiri"/>
          <w:color w:val="111111"/>
          <w:sz w:val="28"/>
          <w:sz w:val="28"/>
          <w:szCs w:val="28"/>
          <w:rtl w:val="true"/>
          <w:lang w:bidi="ar-SA"/>
        </w:rPr>
        <w:t>وجُمل القاضي</w:t>
      </w:r>
      <w:r>
        <w:rPr>
          <w:rStyle w:val="FootnoteAnchor"/>
          <w:rtl w:val="true"/>
        </w:rPr>
        <w:footnoteReference w:id="1349"/>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3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w:t>
      </w:r>
      <w:r>
        <w:rPr>
          <w:rStyle w:val="FootnoteAnchor"/>
          <w:rtl w:val="true"/>
        </w:rPr>
        <w:footnoteReference w:id="1351"/>
      </w:r>
      <w:r>
        <w:rPr>
          <w:rFonts w:ascii="Amiri" w:hAnsi="Amiri" w:eastAsia="Amiri" w:cs="Amiri"/>
          <w:color w:val="111111"/>
          <w:sz w:val="28"/>
          <w:sz w:val="28"/>
          <w:szCs w:val="28"/>
          <w:rtl w:val="true"/>
          <w:lang w:bidi="ar-SA"/>
        </w:rPr>
        <w:t xml:space="preserve">المصنّف رحمه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35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جواز التقديم مع العلم باستمرار العجز وعدمه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الثاني</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الأشهر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الأقوال فيما لم يعلم بزوال العُذر، وإلّا فلا يجوز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إنّها تقتضي التوسعة، وأنّ المدار على فقد الماء حين إرادة الصّلاة لا في تمام وقتها، والشاهد عليه إطلاق أدلّة البدليّة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بما أنّ البدليّة اضطراريّة، فمجرّد صدق عدم الوجدان في وقتٍ خاص لا يكفي في صدق الفقدان المأخوذ موضوعاً لجواز التيمّم، فإنّ الظاهر منها بقرينة مناسبة الحكم والموضوع، اختصاص مشروعيّة التيمّم بصورة سقوط التكليف بالمبدل منه رأساً، فغاية ما يستفاد منها جوازه في السِّعة، إذا علم ببقاء العُذر إلى آخر الوقت، فالأولى الاستدلال له بإطلاق ما دلَّ على جواز التيمّم والصّلاة بعد الفحص، وعدم وجدان الماء، كما لا يخفى‌،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فرض تماميّته، لا يبعد دعوى اختصاصه بما إذا لم يعلم بزوال العُذر، كما يظهر ممّا دلَّ على وجوب الطلب زائداً على الحَدّ إذا علم بوجود الماء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في السِّعة ما لم يعلم بزوال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الواردة في المقام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على الجواز مطلقاً بالالتزام لدلالته على عدم وجوب الإعادة لو وجد الماء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أصاب الماء وقد صلّى بتيمّمٍ وهو في وقت‌؟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ولا إعادة عليه</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تيمّم وصلّى‌، ثمّ بلغ الماء قبل أن يخرج الوقت‌؟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إعادة الصّلاة</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على عدم الجواز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يعقوب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تيمّم فصلّى‌، فأصاب بعد صلاته ماءً أيتوضّأ ويُعيد الصّلاة أم تجوز صلاته‌؟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الماء قبل أن يمضي الوقت توضّأ وأعاد، فإنْ مضى الوقت فلا أعادة عليه</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على لزوم الإتيان بالتيمّم في آخر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تجد ماءً وأردت التيمّم، فأخّر التيمّم إلى آخر الوقت، فإنْ فاتك الماء لم تفتك الأرض</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عبد اللّه بن بكير،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تيمّم الرجل فليكن ذلك في آخر الوقت، فإنْ فاته الماء فلن تفوته الأرض</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w:t>
      </w:r>
      <w:r>
        <w:rPr>
          <w:rStyle w:val="FootnoteAnchor"/>
          <w:rtl w:val="true"/>
        </w:rPr>
        <w:footnoteReference w:id="13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أجنَب فلم يجد ماءً يتيمّم ويُصلّي‌؟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آخر الوقت، إنْ فاته الماء لم تفته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عدم وجوب إعادة مَن صَلّى بتيمّمٍ صحيح إذا وجد الماء في الوقت، وليس في مقام البيان من جهة أن التيمّم في سعة الوقت جائزٌ مطلقاً أو في بعض الموارد، وعليه فالتمسّك بإطلاقها لجوازه في السِّعة مطلقاً، حتّى فيما لو علم بارتفاع العُذر، كما ذكره بعض المعاصرين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بالدلالة الالتزاميّة تدلّ على جوازه في السِّعة في الجملة، وحيث لا إطلاق لها لعدم ورودها في مقام البيان من هذه الجهة، فيتعيّن الأخذ بالمتيقّن، وهو الجواز لو علم باستمرار العُذر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ذُكر من أنّ حملها على خصوص هذه الصورة، ممّا تطمئن النفس بخلافه، لندرة حصول الأسباب الموجبة للعلم المذكور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وأضعفُ من ذلك كلّه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مطلقة آبية عن التقييد، لما في الجملة منها، من التعليل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الماء هو ربّ 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آبٍ عن التخصيص، لأنّ هذا التعليل لا نظر له إلى موارد الجواز، وإلّا كان مقتضاه جوازه مع وجود الماء، وإنّما يدلّ على عدم وجوب الإعادة لو صلّى بتيمّم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إنّما تدلّ على وجوب الإعادة لو وجد الماء في الوقت، ولا نظر لها إلى أنّ التيمّم في السِّعة جائزٌ أم لا، ولا تنافي جوازه، كما أنّه لورود ما دلَّ على وجوب إعادة الصّلاة جماعة عند انعقاد الجماعة لا ينافي مشروعيّة ما صلّاه فرادى قبل ذلك، فيلتزم به تعبّداً لو لم يعارضه ما دلَّ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ممّا ورد في ذيل صحيح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مضى الوقت فلا إعادة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في السِّعة في الجملة، فإنّ المتبادر منه أنّه في فرضٍ واحد فصّل عليه السلام بين ما لو وجد الماء في الوقت فحكم بالإعادة، وما لو وجده في خارج الوقت، فحكم بعدم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فمضافاً إلى عدم تعارض الطائفتين من هذه الجهة، هما متّفقتان في الدلالة على الجواز في السِّعة في الجملة، والمتيقّن منهما صورة العلم باستمرار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هما متنافيتان من حيث الدلالة على وجوب الإعادة وعدمه، ولكن مقتضى الجمع العرفي بينهما، كما عرفت، حمل الطائفة الثانية على الاستحباب، فراجع ماذكرناه</w:t>
      </w:r>
      <w:r>
        <w:rPr>
          <w:rFonts w:eastAsia="Amiri" w:cs="Amiri" w:ascii="Amiri" w:hAnsi="Amiri"/>
          <w:color w:val="111111"/>
          <w:sz w:val="28"/>
          <w:szCs w:val="28"/>
          <w:rtl w:val="true"/>
          <w:lang w:bidi="ar-SA"/>
        </w:rPr>
        <w:t>.</w:t>
      </w:r>
      <w:r>
        <w:rPr>
          <w:rStyle w:val="FootnoteAnchor"/>
          <w:rtl w:val="true"/>
        </w:rPr>
        <w:footnoteReference w:id="136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ظهر أنّ ما اُفيد في مقام الجمع بين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تعارضهما من جهة دلالة الأُولى على الجواز مطلقاً، والثانية على عدم الجواز كذلكقة </w:t>
      </w:r>
    </w:p>
    <w:p>
      <w:pPr>
        <w:pStyle w:val="BookText"/>
        <w:rPr/>
      </w:pPr>
      <w:r>
        <w:rPr>
          <w:rFonts w:ascii="Amiri" w:hAnsi="Amiri" w:eastAsia="Amiri" w:cs="Amiri"/>
          <w:color w:val="111111"/>
          <w:sz w:val="28"/>
          <w:sz w:val="28"/>
          <w:szCs w:val="28"/>
          <w:rtl w:val="true"/>
          <w:lang w:bidi="ar-SA"/>
        </w:rPr>
        <w:t xml:space="preserve">تارةً بحمل الأُولى على صورة وجدان الماء قبل الفراغ من الصّلاة بالتيمّم، واُخرى بحملها على صورة التيمّم قبل الوقت لغايةٍ اُخرى‌، فدخل وقت الصّلاة فصلّاها في السِّعة، وثالثةً بحملها على صورة الجهل بأنّ الحكم المضايقة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قوله عليه السلام في تلك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ثمّ بلغ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عن الحمل الأوّل، وقوله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تيمّم 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عن الثاني، والثالث خلاف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ظاهرٌ بما حقّقناه أنّ ما أفاده بعض المعاصرين</w:t>
      </w:r>
      <w:r>
        <w:rPr>
          <w:rStyle w:val="FootnoteAnchor"/>
          <w:rtl w:val="true"/>
        </w:rPr>
        <w:footnoteReference w:id="1364"/>
      </w:r>
      <w:r>
        <w:rPr>
          <w:rFonts w:ascii="Amiri" w:hAnsi="Amiri" w:eastAsia="Amiri" w:cs="Amiri"/>
          <w:color w:val="111111"/>
          <w:sz w:val="28"/>
          <w:sz w:val="28"/>
          <w:szCs w:val="28"/>
          <w:rtl w:val="true"/>
          <w:lang w:bidi="ar-SA"/>
        </w:rPr>
        <w:t>في توجيه القول الثالث؛ بأنّ الطائفة الأُولى تُحمل على صورة العلم بعدم وجدان الماء، لظهور الطائفة الثالثة في الاختصاص بصورة احتمال وجدان الماء، فتكون أخصّ مطلقاً منها، ولأجل ذلك تكون أخصّ مطلقاً من الطائفة الثانية فتحمل هي على صورة الرجاء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كون الطائفتين مطلقتين، مضافاً إلى عدم التنافي بينهما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ذلك لا يتمّ الجمع المذكور لتوقّفه على القول بانقلاب النسبة، ولا نقول به في هذه الموارد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دلَّت على وجوب التأخير، وعدم جواز البدار، إلّا أنّها لاشتمالها على الشرطيّة المزبورة، ظاهرة في الاختصاص بصورة رجاء وجدان الماء، وعليه فهي لا تنافي مع الطائفتين الأوّليتين، وبها يخرج عمّا تقتضيه القواعد من الجواز، مع الاحتمال أيضاً، مع أنّه لو منع من ذلك وبنى على كونها شاملة لجميع الصور، فيقيّد إطلاقها بالطائفة الأُولى الدالّة على الجواز في صورة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العلم باستمرار العُذر،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مناص عن البناء على ذلك، لأنّ من جملة تلك النصوص صحيح زرارة،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المسافر الماء، فليطلب ما دام في الوقت، فإذا خاف أن يفوته الوقت، فليتيمّم وليصلِّ في آخر الوقت</w:t>
      </w:r>
      <w:r>
        <w:rPr>
          <w:rFonts w:eastAsia="Amiri" w:cs="Amiri" w:ascii="Amiri" w:hAnsi="Amiri"/>
          <w:color w:val="111111"/>
          <w:sz w:val="28"/>
          <w:szCs w:val="28"/>
          <w:rtl w:val="true"/>
          <w:lang w:bidi="ar-SA"/>
        </w:rPr>
        <w:t>»</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مطلقٌ شاملٌ لجميع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 وجوب الطلب في تمام الوقت، وحيثُ أنّ الإجماع عليخلافه، فيُحمل على إرادة أنّه يطلب إنْ كان الوقت يسَع الطلب، وإلّا فليتيمّم بلا طلب، فلا دلالة له على وجوب التأخير، فهو ليس من هذه الطائفة، بل قد عرفت في مبحث وجوب الطلب أنّه يمكن دعوى ظهوره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بواسطة النصوص الاُخر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فالمتحصّل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القواعد والنصوص الخاصّة، وجوب التأخير مع العلم بارتفاع العُذر، ومقتضى النصوص الخاصّة وجوبه مع احتمال الارتفاع أيضاً، وبها يخرج عمّا تقتضيه القاعدة من جواز البدار في هذه الصورة، ومقتضى كلتا الطائفتين من الأدلّة جوازه في السِّعة مع الاعتقاد ببقاء العُذر ولو كان خطاءً‌</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هو الحقّ من جريان الاستصحاب في الاُمور الاستقباليّة؛ ولو كانت تدريجيّة، يجري استصحاب بقاء العُذر إلى آخر الوقت، فتلحق صورة احتمال الارتفاع بصورة العلم بالبقاء، غاية الأمر يكون جواز البدار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حينئذٍ جوازاً ظاهريّاً لا واقعيّاً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الدليل لا مجال للرجوع إلى الأصل، وقد تقدّم أنّ الطائفة الثالثة مختصّة بصورة الاحتمال، وتدلّ على وجوب التأخير، ومعها لا وجه للرجوع إلى الأصل</w:t>
      </w:r>
      <w:r>
        <w:rPr>
          <w:rFonts w:eastAsia="Amiri" w:cs="Amiri" w:ascii="Amiri" w:hAnsi="Amiri"/>
          <w:color w:val="111111"/>
          <w:sz w:val="28"/>
          <w:szCs w:val="28"/>
          <w:rtl w:val="true"/>
          <w:lang w:bidi="ar-SA"/>
        </w:rPr>
        <w:t>.</w:t>
      </w:r>
      <w:bookmarkStart w:id="500" w:name="pg11797_257195"/>
    </w:p>
    <w:p>
      <w:pPr>
        <w:pStyle w:val="Heading6"/>
        <w:numPr>
          <w:ilvl w:val="5"/>
          <w:numId w:val="1"/>
        </w:numPr>
        <w:rPr/>
      </w:pPr>
      <w:bookmarkStart w:id="501" w:name="__RefHeading___Toc10391272_73709187"/>
      <w:bookmarkStart w:id="502" w:name="_Toc187"/>
      <w:bookmarkEnd w:id="500"/>
      <w:bookmarkEnd w:id="501"/>
      <w:r>
        <w:rPr>
          <w:rtl w:val="true"/>
        </w:rPr>
        <w:t>لا يجبُ تجديد التيمّم لكلّ صلاة</w:t>
      </w:r>
      <w:bookmarkEnd w:id="50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اُمورٌ يجب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تيمّم لصلاةٍ سابقةٍ وصلّى‌، فإنّه لا ريب في جواز إتيان الصلوات التي لم يدخل وقتها بعد دخوله، ما لم يُحْدِث أو يجد ماءً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الظاهر أنّه لا خلاف فيه بين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3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لا يجد الماء أيتيمّم لكلّ 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بمنزلة الماء</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تيمّم‌؟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ذلك إلى أن يجد الماء</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w:t>
      </w:r>
      <w:r>
        <w:rPr>
          <w:rStyle w:val="FootnoteAnchor"/>
          <w:rtl w:val="true"/>
        </w:rPr>
        <w:footnoteReference w:id="13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الرَّجل بتيمّمٍ واحد صلاة اللّيل والنهار كلّها؟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يُحْدِث أو يُصيب ماءً‌</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وبإزائها طائفتان 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يتيمّم لكلّ صلاة، كخبر أبي همّام،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لكلّ صلاةٍ حتّى يوجد الماء</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يتيمّم لصلاةٍ واحدة ونافلتها، كخبر السكوني،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يتمتّع بالتيمّم إلّاصلاة واحدة ونافلتها</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العرفي يقتضي حملهما على الاستحباب، وما فيهما من الاختلافات على اختلاف مراتب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صحّة ما قيل من حملهما على التقيّة، إذ لا يُحمل الخبر على التقيّة مع عدم المعارض، وعدم القرينة عليه، وموافقة مضمونه لمذهب المخالفين لا تصلح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هل يجوز الإتيان بها في أوّل وقتها أم لا؟</w:t>
      </w:r>
    </w:p>
    <w:p>
      <w:pPr>
        <w:pStyle w:val="BookText"/>
        <w:rPr/>
      </w:pPr>
      <w:r>
        <w:rPr>
          <w:rFonts w:ascii="Amiri" w:hAnsi="Amiri" w:eastAsia="Amiri" w:cs="Amiri"/>
          <w:color w:val="111111"/>
          <w:sz w:val="28"/>
          <w:sz w:val="28"/>
          <w:szCs w:val="28"/>
          <w:rtl w:val="true"/>
          <w:lang w:bidi="ar-SA"/>
        </w:rPr>
        <w:t xml:space="preserve">فعن غير واحدٍ؛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مع قولهم بالمضايقة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الجواز، مع إلتزامه في تلك المسألة ولو في بعض صورها بالمواسعة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حكم هذا الفرع للحكم في تلك المسألة، وهي الأقوى، وذلك لأنّ نصوص الاكتفاء بتيمّمٍ واحد لصلواتٍ متعدّدة، ليست في مقام بيان جواز الصّلاة في السِّعة كي يتمسّك بإطلاقها، بل في مقام بيان عدم وجوب تجديد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التيمّم لكلّ صلاةٍ‌، بل الظاهر منها هو عدم وجوب التجديد وجواز الصّلاة معه في مورد جواز التيمّم، لو كان مُحْدِثاً، كما يظهر لمن لاحظ ما فيها من السؤال والجواب، فهي لا تدلّ على جواز الصّلاة إلّافي موردٍ يجوز التيمّم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يجوز في صورتي العلم بزوال العذر واحتماله، اللّتين عرفت وجوب التأخير فيهما، ويجوز مع العلم بالاستمرار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ما استدلّ به على الجواز في صورة الاحتمال، من اختصاص نصوص التأخير بغير المتيمّم، وأمّا هو فيرجع إلى ما تقتضيه القاعدة وهو الجواز كما تقدّم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دعوى اختصاص تلك النصوص بغير المتيمّم ممنوعة، إذ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بعد ملاحظة جواز التيمّم لغير تلك الصّلاة من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الصّلاة به في السِّعة لا مجرّد عدم جواز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عدم ترشّح الأمر الغيري من الصّلاة إلى التيمّم، وعدم صحّة الإتيان به للتوّصل إلى الصّلاة لا عدم صحّة التيمّم، فإنّه يصحّ إذا اتى به لغايةٍ اُخرى‌، أو استحبابه النفسي، ولا يتصوّر وجهٌ لذلك سوى لزوم تأخير الصّلاة، وعدم جواز الإتيان بها في السِّعة كما لا يخفى‌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الأظهر لزوم تأخير الصّلاة الثانية فيها أيضاً</w:t>
      </w:r>
      <w:r>
        <w:rPr>
          <w:rFonts w:eastAsia="Amiri" w:cs="Amiri" w:ascii="Amiri" w:hAnsi="Amiri"/>
          <w:color w:val="111111"/>
          <w:sz w:val="28"/>
          <w:szCs w:val="28"/>
          <w:rtl w:val="true"/>
          <w:lang w:bidi="ar-SA"/>
        </w:rPr>
        <w:t xml:space="preserve">. </w:t>
      </w:r>
      <w:bookmarkStart w:id="503" w:name="pg11797_257201"/>
    </w:p>
    <w:p>
      <w:pPr>
        <w:pStyle w:val="Heading6"/>
        <w:numPr>
          <w:ilvl w:val="5"/>
          <w:numId w:val="1"/>
        </w:numPr>
        <w:rPr/>
      </w:pPr>
      <w:bookmarkStart w:id="504" w:name="__RefHeading___Toc10391274_73709187"/>
      <w:bookmarkStart w:id="505" w:name="_Toc188"/>
      <w:bookmarkEnd w:id="503"/>
      <w:bookmarkEnd w:id="504"/>
      <w:r>
        <w:rPr>
          <w:rtl w:val="true"/>
        </w:rPr>
        <w:t>المرادُ بآخِر الوقت</w:t>
      </w:r>
      <w:bookmarkEnd w:id="505"/>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بآخِر الوقت الذي يجب التأخير إليه، هو الآخر العرفي دون الآخر الحقيقي، لتعذّر العمل على الحقيقي غالباً أو دائماً، فيكون تكليفاً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البحث عن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يجب الصبر إلى زمان لا يبقى من الوقت إلّابقدر الواجبات‌؟</w:t>
      </w:r>
    </w:p>
    <w:p>
      <w:pPr>
        <w:pStyle w:val="BookText"/>
        <w:rPr/>
      </w:pPr>
      <w:r>
        <w:rPr>
          <w:rFonts w:ascii="Amiri" w:hAnsi="Amiri" w:eastAsia="Amiri" w:cs="Amiri"/>
          <w:color w:val="111111"/>
          <w:sz w:val="28"/>
          <w:sz w:val="28"/>
          <w:szCs w:val="28"/>
          <w:rtl w:val="true"/>
          <w:lang w:bidi="ar-SA"/>
        </w:rPr>
        <w:t>أم يكفي عدم زيادة الوقت عن الصّلاة المشتملة على الواجبات والمندوبات المتعارفة، مثل القنوت، والمقدّمات المتعارفة، كالمشي إلى مكان المصلّى ونحوه‌؟</w:t>
      </w:r>
    </w:p>
    <w:p>
      <w:pPr>
        <w:pStyle w:val="BookText"/>
        <w:rPr/>
      </w:pPr>
      <w:r>
        <w:rPr>
          <w:rFonts w:ascii="Amiri" w:hAnsi="Amiri" w:eastAsia="Amiri" w:cs="Amiri"/>
          <w:color w:val="111111"/>
          <w:sz w:val="28"/>
          <w:sz w:val="28"/>
          <w:szCs w:val="28"/>
          <w:rtl w:val="true"/>
          <w:lang w:bidi="ar-SA"/>
        </w:rPr>
        <w:t>أم يكفي عدم زيادة الوقت عن الصّلاة المشتملة على المستحباب حتّي غير المتعارفة‌؟</w:t>
      </w:r>
    </w:p>
    <w:p>
      <w:pPr>
        <w:pStyle w:val="BookText"/>
        <w:rPr/>
      </w:pPr>
      <w:r>
        <w:rPr>
          <w:rFonts w:ascii="Amiri" w:hAnsi="Amiri" w:eastAsia="Amiri" w:cs="Amiri"/>
          <w:color w:val="111111"/>
          <w:sz w:val="28"/>
          <w:sz w:val="28"/>
          <w:szCs w:val="28"/>
          <w:rtl w:val="true"/>
          <w:lang w:bidi="ar-SA"/>
        </w:rPr>
        <w:t>وجوهٌ خيرها أوسطها، ولا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جمعٌ من فضلاء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عليه فائتة، فالأوقات كلّها صالحة لتيمّمه،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بعض</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قوله عليه السلام</w:t>
      </w:r>
      <w:r>
        <w:rPr>
          <w:rStyle w:val="FootnoteAnchor"/>
          <w:rtl w:val="true"/>
        </w:rPr>
        <w:footnoteReference w:id="13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ما ذكرتَ صلاةً فاتتك صلّيتها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وباختصاص أخبار</w:t>
      </w:r>
      <w:r>
        <w:rPr>
          <w:rStyle w:val="FootnoteAnchor"/>
          <w:rtl w:val="true"/>
        </w:rPr>
        <w:footnoteReference w:id="1380"/>
      </w:r>
      <w:r>
        <w:rPr>
          <w:rFonts w:ascii="Amiri" w:hAnsi="Amiri" w:eastAsia="Amiri" w:cs="Amiri"/>
          <w:color w:val="111111"/>
          <w:sz w:val="28"/>
          <w:sz w:val="28"/>
          <w:szCs w:val="28"/>
          <w:rtl w:val="true"/>
          <w:lang w:bidi="ar-SA"/>
        </w:rPr>
        <w:t>المضايقة بالتيمّم لصاحبة الوقت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وباستفادة حكمها من أخبار</w:t>
      </w:r>
      <w:r>
        <w:rPr>
          <w:rStyle w:val="FootnoteAnchor"/>
          <w:rtl w:val="true"/>
        </w:rPr>
        <w:footnoteReference w:id="1381"/>
      </w:r>
      <w:r>
        <w:rPr>
          <w:rFonts w:ascii="Amiri" w:hAnsi="Amiri" w:eastAsia="Amiri" w:cs="Amiri"/>
          <w:color w:val="111111"/>
          <w:sz w:val="28"/>
          <w:sz w:val="28"/>
          <w:szCs w:val="28"/>
          <w:rtl w:val="true"/>
          <w:lang w:bidi="ar-SA"/>
        </w:rPr>
        <w:t>المواسعة الواردة في الفرائض الموقّتة، لاشتمالها على التعليل الموجب للتعدّي عن موردها إلى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نظر له إلى غير الوقت من الشروط، كي يستدلّ به لإثبات طهوريّة التيمّم والاكتفاء به، وإنّما يدلّ على أنّ الأوقات كلّها صالحة لوقوع الصّلاة القضائيّة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سقوط اعتبار الطهارة المائيّة، كما لا يدلّ على سقوط غيرها ممّا يعتبر في الصّلاة إذا تعذّر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متيناً في نفسه، إلّاأنّه لا يدلّ على جوازه في السِّعة بعد ما عرفت من أنّ مقتضى الآية الشريفة وما شابهها من النصوص، عدم جواز البدار إذا علم بعدم استمرار العُذر إلى آخر الوقت، الذي يجوز تأخير الصّلاة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يمكن إثباته بتلك النصوص، جواز الإتيان به إذا علم باستمرار العُذر، لما عرفت من اختصاص الحكم في الملحق به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بالمضايقة في القضاء كما هو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إنّ وقتها العمر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على القول بالمضايقة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التيمّم لها، حتّى إذا علم بزوال العُذر في الزمان اللّاحق، لإطلاق أدلّة مشروعيّة التيمّم للصّلاة من الآية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أن يكون أمد الزوال بعيداً، وإلّا فلا يصدق عدم الوجدان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القول بالمواسعة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بزوال العذر في الزمان اللّاحق، لا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التيمّم، وإلّا فيجوز، لما عرفت من أنّ هذا ممّا تقتضيه القاعدة، وعليها الاعتماد بعد فرض عدم شمول النصوص الخاصّة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اتّحاد حكمها مع الفرائض الأدائيّة التي عرفت أنّه مع احتمال زوال العُذر لا يجوز البدار فيها،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منهم المحقّق</w:t>
      </w:r>
      <w:r>
        <w:rPr>
          <w:rStyle w:val="FootnoteAnchor"/>
          <w:rtl w:val="true"/>
        </w:rPr>
        <w:footnoteReference w:id="1382"/>
      </w:r>
      <w:r>
        <w:rPr>
          <w:rFonts w:ascii="Amiri" w:hAnsi="Amiri" w:eastAsia="Amiri" w:cs="Amiri"/>
          <w:color w:val="111111"/>
          <w:sz w:val="28"/>
          <w:sz w:val="28"/>
          <w:szCs w:val="28"/>
          <w:rtl w:val="true"/>
          <w:lang w:bidi="ar-SA"/>
        </w:rPr>
        <w:t>والشهيد</w:t>
      </w:r>
      <w:r>
        <w:rPr>
          <w:rStyle w:val="FootnoteAnchor"/>
          <w:rtl w:val="true"/>
        </w:rPr>
        <w:footnoteReference w:id="1383"/>
      </w:r>
      <w:r>
        <w:rPr>
          <w:rFonts w:ascii="Amiri" w:hAnsi="Amiri" w:eastAsia="Amiri" w:cs="Amiri"/>
          <w:color w:val="111111"/>
          <w:sz w:val="28"/>
          <w:sz w:val="28"/>
          <w:szCs w:val="28"/>
          <w:rtl w:val="true"/>
          <w:lang w:bidi="ar-SA"/>
        </w:rPr>
        <w:t>بجواز التيمّم لصلاة النافلة الراتبة بدخول وقتها كصلاة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عدم جوازه إلّامع العلم باستمرار العُذر إلى آخر وقتها، لعين ما ذكرناه في الفرائض، لشمول الأدلّة 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النوافل غير الموقّتة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لها التيمّم حتّى مع العلم بزوال العُذر في الزمان اللّاحق، لأنّها مضيّقة، تفوت بفوات الوقت، فلو لم يأت بها عند فَقْد الماء فَقَدْ فاتت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ضيق الوقت وتيمّم وصلّى‌، ثمّ انكشف 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 في جملةٍ من كتبه</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w:t>
      </w:r>
      <w:r>
        <w:rPr>
          <w:rStyle w:val="FootnoteAnchor"/>
          <w:rtl w:val="true"/>
        </w:rPr>
        <w:footnoteReference w:id="1385"/>
      </w:r>
      <w:r>
        <w:rPr>
          <w:rFonts w:ascii="Amiri" w:hAnsi="Amiri" w:eastAsia="Amiri" w:cs="Amiri"/>
          <w:color w:val="111111"/>
          <w:sz w:val="28"/>
          <w:sz w:val="28"/>
          <w:szCs w:val="28"/>
          <w:rtl w:val="true"/>
          <w:lang w:bidi="ar-SA"/>
        </w:rPr>
        <w:t>والشهيد</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تَطَهر طهارةً شرعيّة، وصلّى صلاةً مأموراً بها، فتكون مُجزية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من النصوص</w:t>
      </w:r>
      <w:r>
        <w:rPr>
          <w:rStyle w:val="FootnoteAnchor"/>
          <w:rtl w:val="true"/>
        </w:rPr>
        <w:footnoteReference w:id="1387"/>
      </w:r>
      <w:r>
        <w:rPr>
          <w:rFonts w:ascii="Amiri" w:hAnsi="Amiri" w:eastAsia="Amiri" w:cs="Amiri"/>
          <w:color w:val="111111"/>
          <w:sz w:val="28"/>
          <w:sz w:val="28"/>
          <w:szCs w:val="28"/>
          <w:rtl w:val="true"/>
          <w:lang w:bidi="ar-SA"/>
        </w:rPr>
        <w:t>على أنّه لا إعادة على من تيمّم وصلّى‌، ثمّ بلغ الماء قبل خروج الوقت، إذ لا وجه على القول بالتضييق إلّاذلك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القول بالتضييق لم يطهر طهارة شرعيّة، ولا صلّى صلاةً مأموراً بها، بل كان يتخيّل كونها كذلك، فلا تكون مُجزية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فلماعرفت من دلالتهافي أنفسهاعلى التوسعة في الجملة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بوجوب التأخير إلى آخر الوقت، يجب عليه الإعادة، وأمّا على القول بالتوسعة، فبناءً على المختار لا تجب الإعادة، إذا علم حين التيمّم باستمرار العُذر إلى أمدٍ يساوي آخر الوقت واقعاً، وتجب إذا علم بزوال العُذر أو احتمل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الحكم بناءً على المسلك الآخر الذي اختاره جماعةٌ منهم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506" w:name="pg11797_257210"/>
    </w:p>
    <w:p>
      <w:pPr>
        <w:pStyle w:val="Heading6"/>
        <w:numPr>
          <w:ilvl w:val="5"/>
          <w:numId w:val="1"/>
        </w:numPr>
        <w:rPr/>
      </w:pPr>
      <w:bookmarkStart w:id="507" w:name="__RefHeading___Toc10391276_73709187"/>
      <w:bookmarkStart w:id="508" w:name="_Toc189"/>
      <w:bookmarkEnd w:id="506"/>
      <w:bookmarkEnd w:id="507"/>
      <w:r>
        <w:rPr>
          <w:rtl w:val="true"/>
        </w:rPr>
        <w:t>اتّحاد غايات الطهارة المائيّة مع الترابيّة</w:t>
      </w:r>
      <w:bookmarkEnd w:id="508"/>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غايات الوضوء والغُسل غاياتٌ للتيمّم، كما هو المشهور شهرة 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رحمه الله</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الدالّة على أنّ التيمّم طهور العاجز، كما أنّ الماء طهور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حمران، وجميل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تيمّم‌؟ قال عليهم السلام يُجزيه ذلك إلى أن يجد الماء</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يكفيك الصَّعيد عشر سنين</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التيمّم أحد الطهورين</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ربّ الماء هو ربّ الصَّعيد، فقد فعل أحد الطهورين</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إطلاقها أنّه يستباح به جميع ما يستباح بالطهارة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أنّه لا يفيد الطهارة، بل هو مبيحٌ‌، ستعرف ما فيها في 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وقع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فخر المحقّقين رحمه الله</w:t>
      </w:r>
      <w:r>
        <w:rPr>
          <w:rStyle w:val="FootnoteAnchor"/>
          <w:rtl w:val="true"/>
        </w:rPr>
        <w:footnoteReference w:id="1396"/>
      </w:r>
      <w:r>
        <w:rPr>
          <w:rFonts w:ascii="Amiri" w:hAnsi="Amiri" w:eastAsia="Amiri" w:cs="Amiri"/>
          <w:color w:val="111111"/>
          <w:sz w:val="28"/>
          <w:sz w:val="28"/>
          <w:szCs w:val="28"/>
          <w:rtl w:val="true"/>
          <w:lang w:bidi="ar-SA"/>
        </w:rPr>
        <w:t>ابن المصنّف رحمه الله أنّه منع من استباحة اللبث في المساجد، ودخول المسجدين، ومسّ كتابة القرآن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جُنُباً إِلاّ عابِرِي سَبِيلٍ حَتَّى تَغْتَسِلُوا </w:t>
      </w:r>
      <w:r>
        <w:rPr>
          <w:rStyle w:val="FootnoteAnchor"/>
          <w:rtl w:val="true"/>
        </w:rPr>
        <w:footnoteReference w:id="1397"/>
      </w:r>
      <w:r>
        <w:rPr>
          <w:rFonts w:ascii="Amiri" w:hAnsi="Amiri" w:eastAsia="Amiri" w:cs="Amiri"/>
          <w:color w:val="111111"/>
          <w:sz w:val="28"/>
          <w:sz w:val="28"/>
          <w:szCs w:val="28"/>
          <w:rtl w:val="true"/>
          <w:lang w:bidi="ar-SA"/>
        </w:rPr>
        <w:t>حيثُ جَعل نهاية التحريم الغُسل، فلا يستباح بغيره، وإلّا لم تكن الغاية غاية، وكذا مسّ كتابة القرآن إذ الاُمّة لم تفرّق بين المسّ واللّبث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39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إرادة المساجد من الصّلاة مجازٌ، لا يصار إليه إلّامع القرينة، مع احتمالها لغير ذلك المعنى احتمالاً ظاهراً، وهو أن يكون متعلّق النهي الصّلاة في أحوال الجنابة إلّافي حال السّفر، لجواز تأديتها حينئذٍ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التفسير الذي عليه بنى الفخر رحمه الله استدلاله وهو كون المراد مواضع الصّلاة، أي المساجد ممّا دلّت عليه النصوص الواردة عن المعصومين عليهم السلام في تفسير الآية الشريفة، كصحيح</w:t>
      </w:r>
      <w:r>
        <w:rPr>
          <w:rStyle w:val="FootnoteAnchor"/>
          <w:rtl w:val="true"/>
        </w:rPr>
        <w:footnoteReference w:id="1399"/>
      </w:r>
      <w:r>
        <w:rPr>
          <w:rFonts w:ascii="Amiri" w:hAnsi="Amiri" w:eastAsia="Amiri" w:cs="Amiri"/>
          <w:color w:val="111111"/>
          <w:sz w:val="28"/>
          <w:sz w:val="28"/>
          <w:szCs w:val="28"/>
          <w:rtl w:val="true"/>
          <w:lang w:bidi="ar-SA"/>
        </w:rPr>
        <w:t>زراره ومحمّد بن مسلم، عن الإمام الباقر عليه السلام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والجُنُب يدخلان المسجد أم 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والجُنُب لا يدخلان المسجد إلّامُجتازَين، 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جُنُباً إِلاّ عابِرِي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سَبِيلٍ حَتَّى تَغْتَسِلُوا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يورد على دليل الفخر رحمه الله بأنّ أدلّة البدليّة حاكمة على الآية الشريفة، كما أنّها حاكمة على سائر ما دلَّ على اعتبار الوضوء أو الغُسل في شيء من العبادات، كالصّلاة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401"/>
      </w:r>
      <w:r>
        <w:rPr>
          <w:rFonts w:ascii="Amiri" w:hAnsi="Amiri" w:eastAsia="Amiri" w:cs="Amiri"/>
          <w:color w:val="111111"/>
          <w:sz w:val="28"/>
          <w:sz w:val="28"/>
          <w:szCs w:val="28"/>
          <w:rtl w:val="true"/>
          <w:lang w:bidi="ar-SA"/>
        </w:rPr>
        <w:t>إلى السيّد أنّه في مداركه التزم بأنّ ما ثبت توقّفه على مطلق الطهارة من العبادات يبيحها التيمّم، وما ثبت توقّفه على نوعٍ خاصّ منها كالغُسل في صوم الجُنُب لا يبيحه التيمّم، لاختصاص أدلّة كونه مبيحاً بالقسم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الأدلّة، قيام التيمّم مقام الغُسل والوضوء في جميع أحكامهما، لا سيّما بناءً على المختار من كون الطهارة من العناوين المنطبقة عليهما لا أمراً متولّداً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403"/>
      </w:r>
      <w:r>
        <w:rPr>
          <w:rFonts w:ascii="Amiri" w:hAnsi="Amiri" w:eastAsia="Amiri" w:cs="Amiri"/>
          <w:color w:val="111111"/>
          <w:sz w:val="28"/>
          <w:sz w:val="28"/>
          <w:szCs w:val="28"/>
          <w:rtl w:val="true"/>
          <w:lang w:bidi="ar-SA"/>
        </w:rPr>
        <w:t xml:space="preserve">الإشكال في مشروعيّة التيمّم بدلاً عن الوضوء التجديدي، ولكن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404"/>
      </w:r>
      <w:r>
        <w:rPr>
          <w:rFonts w:ascii="Amiri" w:hAnsi="Amiri" w:eastAsia="Amiri" w:cs="Amiri"/>
          <w:color w:val="111111"/>
          <w:sz w:val="28"/>
          <w:sz w:val="28"/>
          <w:szCs w:val="28"/>
          <w:rtl w:val="true"/>
          <w:lang w:bidi="ar-SA"/>
        </w:rPr>
        <w:t xml:space="preserve">ادّعى دخوله في ظاهر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فيشهد لبدليّته عنه إطلاق أدلّة البدليّة،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نصوص الوضوء التجديدي بأنفسها صالحة لإثبات استحباب التيمّم التجديدي، لاحظ قوله عليه السلام في مرسل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الطُهر على الطُهر عَشْرُ حَسَنات</w:t>
      </w:r>
      <w:r>
        <w:rPr>
          <w:rFonts w:eastAsia="Amiri" w:cs="Amiri" w:ascii="Amiri" w:hAnsi="Amiri"/>
          <w:color w:val="111111"/>
          <w:sz w:val="28"/>
          <w:szCs w:val="28"/>
          <w:rtl w:val="true"/>
          <w:lang w:bidi="ar-SA"/>
        </w:rPr>
        <w:t>»</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بضميمة ما دلَّ على طهوريّة التيمّم، وأنّه أحد الطهورين يدلّ على استحباب التيمّم التجديدي، وضعف السند لا يضرّ للتسامح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الموارد التي وقع الخلاف فيها، كونه مستحبّاً نفسيّاً بالمعنى الذي سلّموه في الوضوء، والأظهر كونه كذلك، فإنّ ما دلَّ من الأدلّة على أنّ التيمّم أحد الطهورين</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دلَّ على محبوبيّة الطُهر في نفسه، المتقدّم في مبحث استحباب الوضوء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استحباب التيمّم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يستفاد منه سوى محبوبيّة الكون على الطهارة قد عرفت دفعه في ذلك المبحث،</w:t>
      </w:r>
      <w:r>
        <w:rPr>
          <w:rStyle w:val="FootnoteAnchor"/>
          <w:rtl w:val="true"/>
        </w:rPr>
        <w:footnoteReference w:id="140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المسألة المتقدّمة، الإشكال في التيمّم لاستقبال الفريضة ودفعه، وعرفت أنّ الأظهر مشروعيّة التيمّم التهيّوئي كالوضوء التهيّوئي، فراجع ما ذكرناه</w:t>
      </w:r>
      <w:r>
        <w:rPr>
          <w:rFonts w:eastAsia="Amiri" w:cs="Amiri" w:ascii="Amiri" w:hAnsi="Amiri"/>
          <w:color w:val="111111"/>
          <w:sz w:val="28"/>
          <w:szCs w:val="28"/>
          <w:rtl w:val="true"/>
          <w:lang w:bidi="ar-SA"/>
        </w:rPr>
        <w:t>.</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إباحة الوطء بالتيمّم، الذي هو بدلٌ عن غُسل الحيض، بناءً على حرمته قبل الاغتسال، وانتقاض كلّ تيمّمٍ بمطلق الحَدَث؛ قولان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تحقّق ما يوجب الجنابة، وهو دخول الحشفة، يوجب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ارتفاع أثر التيمّم، فلا يجوز الوطء بعده، وقد تقدّم الكلام فيه في أحكام الحائض،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تيمّم لغايةٍ من الغايات، كان بحكم الطاهر، كما هو المشهور، فله الإتيان بكلّ ما يحتاج فعله إلى الطهارة، فيما إذا كانت الغاية من الغايات التي يشرع لها التيمّم للأخبار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في صحيح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لا يجد الماء، بعد سؤاله عن أنّه يتيمّم لكلّ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هو بمنزلة الماء</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تيمّم‌؟ يجزيه ذلك إلى أن يجد الماء</w:t>
      </w:r>
      <w:r>
        <w:rPr>
          <w:rFonts w:eastAsia="Amiri" w:cs="Amiri" w:ascii="Amiri" w:hAnsi="Amiri"/>
          <w:color w:val="111111"/>
          <w:sz w:val="28"/>
          <w:szCs w:val="28"/>
          <w:rtl w:val="true"/>
          <w:lang w:bidi="ar-SA"/>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يكفيك الصَّعيد عشر سنين</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نصوص البدليّة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509" w:name="pg11797_257220"/>
    </w:p>
    <w:p>
      <w:pPr>
        <w:pStyle w:val="Heading6"/>
        <w:numPr>
          <w:ilvl w:val="5"/>
          <w:numId w:val="1"/>
        </w:numPr>
        <w:rPr/>
      </w:pPr>
      <w:bookmarkStart w:id="510" w:name="__RefHeading___Toc10391278_73709187"/>
      <w:bookmarkStart w:id="511" w:name="_Toc190"/>
      <w:bookmarkEnd w:id="509"/>
      <w:bookmarkEnd w:id="510"/>
      <w:r>
        <w:rPr>
          <w:rtl w:val="true"/>
        </w:rPr>
        <w:t>التيمّم بدلُ الغسل يُغني عن الوضوء</w:t>
      </w:r>
      <w:bookmarkEnd w:id="511"/>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الذي بدلٌ عن غُسل الجنابة، حاله كحاله من الإغناء عن الوضوء،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 الشريفتان، وغيرهما من أدلّة البدليّة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هو بدلٌ عن سائر الأغسال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المفيد،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الإجتزاء بتيمّمٍ واحد، وأنّه لا حاجة إلى تيمّمين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ظاهر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نتحقّق ما نسباه إلي ظاهر الأصحاب، إنْ لم يكن قد تحقّقنا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له بإطلاق</w:t>
      </w:r>
      <w:r>
        <w:rPr>
          <w:rStyle w:val="FootnoteAnchor"/>
          <w:rtl w:val="true"/>
        </w:rPr>
        <w:footnoteReference w:id="1416"/>
      </w:r>
      <w:r>
        <w:rPr>
          <w:rFonts w:ascii="Amiri" w:hAnsi="Amiri" w:eastAsia="Amiri" w:cs="Amiri"/>
          <w:color w:val="111111"/>
          <w:sz w:val="28"/>
          <w:sz w:val="28"/>
          <w:szCs w:val="28"/>
          <w:rtl w:val="true"/>
          <w:lang w:bidi="ar-SA"/>
        </w:rPr>
        <w:t>أدلّة تنزيل التّراب منزلة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رواه أبو بصير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 الجُنُب والحائض سواء</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الاكتفاء بتيمّمٍ واحدٍ، بناءً على ما اخترناه من اتّحاد الكيفيّة، وعدم اعتبار نيّة البدليّة، فيكون جارياً مجرى أسباب الوضوء والُغسل المختلفة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تنزيل التّراب منزلة الماء، بعد كون الحكم في ما يتعلّق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الغُسل 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متعدّداً، يقتضي اعتبار التعدّد في التّراب، لا الاكتفاء بتيمّمٍ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إنكار كون مفاد الأدلّة تنزيل التّراب منزلة الماء أوّلاً، وعدم الإطلاق لدليل البدليّة على فرض وجوده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لمن لاحظ نصوص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إنّما يدلّ على التساوي في الكيفيّة، لا في الكميّة، نظير 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الحيض كغُسل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الاتّحاد في الكيفيّة لا يُلازم الوحدة، بعد كون مقتضى الأصل عدم التداخل في الأسباب والمسبّبات، وإنّما التزمنا به في أسباب الغُسل والوضوء لأجل الدليل لا لاتّحاد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إغنائه عن الوضوء، فيجبُ الوضوء أو التيمّم بدلاً عنه، بناءً على ما هو المشهور من عدم أجزاء الغسل مطلقاً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اخترناه من الإجزاء، فلا يجب لإطلاق نصوص البدليّة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وجدت الحائض بعد أن تيمّمت تيمّمين الماءَ بقدر الوضوء، بطل تيمّمها الذي هو بدلٌ عنه خاصّة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وجدتْ ما يكفي للغُسل، ولم يمكن صرفه في الوضوء، بطل تيمّمها الذي هو بدلٌ عن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وجدتْ ما يكفي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ينتقضان معاً؟</w:t>
      </w:r>
    </w:p>
    <w:p>
      <w:pPr>
        <w:pStyle w:val="BookText"/>
        <w:rPr/>
      </w:pPr>
      <w:r>
        <w:rPr>
          <w:rFonts w:ascii="IRNazanin" w:hAnsi="IRNazanin" w:eastAsia="IRNazanin"/>
          <w:color w:val="111111"/>
          <w:sz w:val="28"/>
          <w:sz w:val="28"/>
          <w:szCs w:val="28"/>
          <w:rtl w:val="true"/>
          <w:lang w:bidi="fa-IR"/>
        </w:rPr>
        <w:t>أو ما تختار منهما؟</w:t>
      </w:r>
    </w:p>
    <w:p>
      <w:pPr>
        <w:pStyle w:val="BookText"/>
        <w:rPr/>
      </w:pPr>
      <w:r>
        <w:rPr>
          <w:rFonts w:ascii="Amiri" w:hAnsi="Amiri" w:eastAsia="Amiri" w:cs="Amiri"/>
          <w:color w:val="111111"/>
          <w:sz w:val="28"/>
          <w:sz w:val="28"/>
          <w:szCs w:val="28"/>
          <w:rtl w:val="true"/>
          <w:lang w:bidi="ar-SA"/>
        </w:rPr>
        <w:t>أم خصوص ما هو بدلٌ عن الغسل‌؟ أم ترجع إلى القرعة‌؟ وجوه ولعلّهاأقوال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الوجدان في كلٍّ منهما، وعدم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ما هو الظاهر من تسالمهم على أهميّة الغسل، يتعيّن صرف الماء فيه، وهو يوجبُ العُذر عن الوضوء، فلا يكون مأموراً به، فلا ينتقض التيمّم الذي هو بدلٌ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خالفت تكليفها وتوضّأت، صحّ وضوؤها، لقاعدة الترتّب، ومقتضاها انتقاض ما هو بدلٌ عن الوضوء أيضاً، على تقدير ترك الغُسل، فلو أتلفت الماء انتقض التيمّمان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حقّقناه في محلّه وأشرنا إليه في هذا المبحث مراراً من عدم جريان قاعدة الترتّب في مثل الوضوء، ممّا هو مقيّدٌ شرعاً بالقدرة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ضعف الوجه الثاني أيضاً، فيتعيّن الثالث، بناءً على ما هو الصحيح من عدم العمل بالقُرعة في تشخيص الأحكام الشرعيّة وموضوعاتها</w:t>
      </w:r>
      <w:r>
        <w:rPr>
          <w:rFonts w:eastAsia="Amiri" w:cs="Amiri" w:ascii="Amiri" w:hAnsi="Amiri"/>
          <w:color w:val="111111"/>
          <w:sz w:val="28"/>
          <w:szCs w:val="28"/>
          <w:rtl w:val="true"/>
          <w:lang w:bidi="ar-SA"/>
        </w:rPr>
        <w:t>.</w:t>
      </w:r>
      <w:bookmarkStart w:id="512" w:name="pg11797_257226"/>
    </w:p>
    <w:p>
      <w:pPr>
        <w:pStyle w:val="Heading6"/>
        <w:numPr>
          <w:ilvl w:val="5"/>
          <w:numId w:val="1"/>
        </w:numPr>
        <w:rPr/>
      </w:pPr>
      <w:bookmarkStart w:id="513" w:name="__RefHeading___Toc10391280_73709187"/>
      <w:bookmarkStart w:id="514" w:name="_Toc191"/>
      <w:bookmarkEnd w:id="512"/>
      <w:bookmarkEnd w:id="513"/>
      <w:r>
        <w:rPr>
          <w:rtl w:val="true"/>
        </w:rPr>
        <w:t>إذا أحدث المتيمّم</w:t>
      </w:r>
      <w:bookmarkEnd w:id="514"/>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تيمّم المُحْدِث بالأكبر بدلاً عن الغُسل، ثمّ أحدث بالأصغر،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يبطل تيمّمه، فيُعيد التيمّم بدلاً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المشهور بين الأصحاب شهرة عظيمة، كادت تكون إجماعاً، بل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يبطل التيمّم الذي هو بدلٌ عن الغُسل، وهو الذي اختاره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 xml:space="preserve">، وتبعه جماعةٌ من المتأخّرين كالمحدّث الكاشاني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421"/>
      </w:r>
      <w:r>
        <w:rPr>
          <w:rFonts w:ascii="Amiri" w:hAnsi="Amiri" w:eastAsia="Amiri" w:cs="Amiri"/>
          <w:color w:val="111111"/>
          <w:sz w:val="28"/>
          <w:sz w:val="28"/>
          <w:szCs w:val="28"/>
          <w:rtl w:val="true"/>
          <w:lang w:bidi="ar-SA"/>
        </w:rPr>
        <w:t>، وكاشف اللّثام</w:t>
      </w:r>
      <w:r>
        <w:rPr>
          <w:rStyle w:val="FootnoteAnchor"/>
          <w:rtl w:val="true"/>
        </w:rPr>
        <w:footnoteReference w:id="1422"/>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423"/>
      </w:r>
      <w:r>
        <w:rPr>
          <w:rFonts w:ascii="Amiri" w:hAnsi="Amiri" w:eastAsia="Amiri" w:cs="Amiri"/>
          <w:color w:val="111111"/>
          <w:sz w:val="28"/>
          <w:sz w:val="28"/>
          <w:szCs w:val="28"/>
          <w:rtl w:val="true"/>
          <w:lang w:bidi="ar-SA"/>
        </w:rPr>
        <w:t xml:space="preserve">، والسيّدفي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التيمّم الذي بدلٌ عن غُسل الجنابة، وما هو بدلٌ عن غيره، فيبطل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يقع أوّلاً فيما هو بدلٌ عن غُسل الجنابة، ثمّ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للمشهور بوجوه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التيمّم لا يرفعُ الحَدَث الذي هو مانعٌ‌، بل إنّما هو مبيحٌ‌، فيوجب رفع المنع، وذلك للإجماع المُدّعى عليه في كلمات الأساطين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لا يرفعُ الحَدَث، وهو مذهب العلماء كافّة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4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عُلماء الإسلام إلّاشاذّاً على أنّ التيمّم لا يرفع الحَدَث وإنّما يفيد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كلام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المتيمّم تجبُ عليه الطهارة عند وجود الماء بحسب الحَدَث السابق، فلو لم يكن الحَدَث السابق باقياً، لكان وجوب الطهارة بوجود الماء، إذ لا وجه غيره، ووجود الماء ليس حَدَثاً بالإجماع، وعليه فمتى أحدثَ زالت الاستباحة، وعاد حكم الحَدَث الأوّل، فيجبُ التيمّم بدلاً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قوله تعالى في ذيل آية التيمّم ما يُرِيدُ اَللّهُ لِيَجْعَلَ عَلَيْكُمْ مِنْ حَرَجٍ وَ لكِنْ يُرِيدُ لِيُطَهِّرَكُمْ‌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 آله في الحديث النبوي المرويّ بعدّة طرق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 في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التيمّم كالوضوء والغُسل طهارةٌ على المختار ومطهّر على المشهور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به على كونه مبيحاً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 كونه تعبّديّاً، مع أنّ للمنع عنه مجالاً واسعاً، لاحتمال استناد المجمعين إلى الوجه الاعتباري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يدلّ عليه الجواز، لاحتمال أن يكون المراد بما ادّعوا عليه الإجماع عدم كون التيمّم رافعاً للحَدَث كالوضوء والغُسل، مزيلاً لأثره بالمرّة، على وجهٍ لا يحتاج إلى فعل الطهور ما لم يحصل سببٌ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العقلي المذكور 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انتقاض التيمّم حتّى على القول بكونه رافعاً بوجدان الماء، ليس لأجل كون الماء حَدَثاً، بل لأجل أنّ رافعيّته إنّما تكون في صورة فقدان الماء، فمع تبدّله بالوجدان يتبدّل الموضوع، وينعدم موضوع مشروعيّة التيمّم، ولا مانع من الالتزام بكونه طهوراً ما دام كونه عاجزاً عن استعمال الماء، إذا ساعدنا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الشهيد الثاني في محكيّ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w:t>
      </w:r>
      <w:r>
        <w:rPr>
          <w:rStyle w:val="FootnoteAnchor"/>
          <w:rtl w:val="true"/>
        </w:rPr>
        <w:footnoteReference w:id="1430"/>
      </w:r>
      <w:r>
        <w:rPr>
          <w:rFonts w:ascii="Amiri" w:hAnsi="Amiri" w:eastAsia="Amiri" w:cs="Amiri"/>
          <w:color w:val="111111"/>
          <w:sz w:val="28"/>
          <w:sz w:val="28"/>
          <w:szCs w:val="28"/>
          <w:rtl w:val="true"/>
          <w:lang w:bidi="ar-SA"/>
        </w:rPr>
        <w:t>على القول بأنّه مبيحٌ لا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نتعقّل من الحَدَث إلّاالحالة التي لا يصحّ معها الدخول في الصّلاة، فمتى اُبيحت الصّلاة زالت تلك الحالة، وارتفع الحَدَث بالنسبة إلى هذه الصّلاة، ممّا يعني زوال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الحَدَث وإنْ لم يكن من الصفات الحقيقيّة الواقعيّة على ما سيمرّ عليك، إلّاأنّه من الأحكام الوضعيّة الاعتباريّة، وعدم جواز الصّلاة من آثاره، فعدم ترتّب الأثر أعمٌّ من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يكون مراده أنّه لكونه من الاُمور الاعتباريّة، لا يُعقل بقاءه مع عدم الأثر، إذ الاعتبار من الحكيم بلا أثرٍ مترتّب عليه محال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عن ذلك، وسلّمنا أنّه مبيحٌ‌، فيرد عليه أنّه بعد دلالة الدليل على رفع مانعيّة الجنابة بالتيمّم، وإباحة الغايات به، لا دليل على عودها بالحَدَث الأصغر، فإنّه إنّما يوجبُ الوضوء أو التيمّم بدلاً عنه لا مانعيّة الجنابة، لا سيّما وأنّ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مقتضى إطلاق ما دلَّ على كونه بمنزلة الوضوء والغُسل، رفع المانعيّة ما دام العُذر يكون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يُصغى إلى ما قيل من إنّ التيمّم لا يقتضي إلّارفع مانعيّتها قبل أن يحدث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الهمداني رحمه الله</w:t>
      </w:r>
      <w:r>
        <w:rPr>
          <w:rStyle w:val="FootnoteAnchor"/>
          <w:rtl w:val="true"/>
        </w:rPr>
        <w:footnoteReference w:id="1431"/>
      </w: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الطهارة صفة وجوديّة تحصل بأسبابها، وأنّ الحَدَثَ قذارةٌ معنويّة حادثة بأسبابها، مانعةٌ من الدخول في الصّلاة، وليس بين ذاتيهما تضادٌّ، بل التنافي إنّما هو بين أثريهما؛ وهما جواز الدخول في الصّلاة، والامتناع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الجنابة إنّما يكون رافعاً للقذارة الحاصلة بها، ومفيداً للطهارة، وأمّا التيمّم الذي بدلٌ عنه، فغاية ما تدلّ عليه الأدلّة، كونه مفيدٌ للطهارة، وأمّا كونه بمنزلته في رفع القذارة، فالأدلّة قاصرة عن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دلَّ على طهوريّة التيمّم إنّما يقتضي جواز الصّلاة، ورفع مانعيّة الجنابة ما دام بقاء أثره، لعدم اقتضاء طهوريّة التيمّم إلّامزاحمتها للتأثير ما دام بقاء أثره، فمتى انتقض عادت الجنابة مانعةً بالفعل، ولا يمكن إزالة مانعيّتها إلّابالتيمّم الذي هو بدلٌ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قدس سره مواقع للنظر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كلامه كون الحَدَث والطهارة من الاُمور الواقعيّة الخارجيّة وهو غير تامّ‌، إذ لو كانا منها لكانا من جملة المقولات، وما يحتمل منها ليس إلّامقولة الكيف القائم بالنفس، وكونهما منها غير ظاهر، إذ الاُمور القائمة بالنفس على ثلاثة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العلميّة من الاعتقادات الصحيحة، والاعتقادات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صدور الفعل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المَلَكات الفاضلة والأخلاق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كونهما من القسمين الأولين،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كونهما من القسم الأخير، فلأنّ الالتزام بكون الحَدَث من الأخلاق الرذيلة الموجبة للبُعد، مع أنّه يحصل للمعصومين عليهم السلام، وربما يقع على وجه العباديّة المكمّلة للنفس،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فبما أنّهما ليسا حكمين تكليفيين، ولا أمرين منتزعين من الحكم التكليفي، لأنّه من آثارهما، فيتعيّن الالتزام بكونهما اعتبارين وضعيين شرعيين، وحيثُ أنّه لا يترتّب على اعتبارهما سوى إباحة الصّلاة ونحوها وعدمها، فالالتزام ببقاء الحَدَث، مع عدم منعه من الغايات، لغوٌ لا يصدر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من عدم التضادّ بين الطهارة والحَدَث، لا يخلو من منعٍ‌، إذ المستفاد من الآية الشريفة والنصوص هو التنافي بينهما، على وجهٍ لا يمكن رفعهما ولا اجتماعهما، إذ قوله تعالى وَ إِنْ كُنْتُمْ جُنُباً فَاطَّهَّرُوا كالصريح في أنّ الطهارة رافعة للجنابة، وكذا غيره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أنّه متى انتقض عادت الجنابة مانعة، فإنّه يرد عليه أنّه بعد دلالة الدليل على أنّ التيمّم أوجب الطهارة، ورفع مانعيّة الجنابة، فعود مانعيّتها بالحَدَث الأصغر، الموجب لِحَدثٍ آخر غير حَدَثِ الجنابة الذي يرفعه الوضوء، يحتاجُ إلى دليلٍ مفقود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زرارة في صحيحه، عن الإمام الباقر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أصبتَ الماءَ فعليك الغُسل إنْ كُنتَ جُنُباً، والوضوء إنْ لم تكن جُنُباً</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بمفهومه يدلّ على عدم وجوب الوضوء على الجُنُب، وبطلان قول السيّد القائل بوجوب الوضوء على الجُنُب على تقدير عدم كفاية الماء لغُسله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 الماء الكافي لرفع الحَدَث السابق، فالمُحْدِث بالأكبر الذي يصيبُ الماء غير الكافي لغُسله، خارجٌ عن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شموله له أيضاً، فهو داخلٌ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والوضوء إنْ لم تكن جُنُباً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الجُنُب الذي تيمّم ثمّ وجد الماء غير الكافي لغُسله، لا يكون جُنُباً عند السيّد حقيقةً أو حكماً، بل هو مُحْدِثٌ وجد الماء بقدر الوضوء، فعليه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انتقاضه بالحَدَث من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الرجل بتيمّمٍ واحد صلاة اللّيل والنهار كلّها؟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يحدث أو يصبّ ماءاً</w:t>
      </w:r>
      <w:r>
        <w:rPr>
          <w:rFonts w:eastAsia="Amiri" w:cs="Amiri" w:ascii="Amiri" w:hAnsi="Amiri"/>
          <w:color w:val="111111"/>
          <w:sz w:val="28"/>
          <w:szCs w:val="28"/>
          <w:rtl w:val="true"/>
          <w:lang w:bidi="ar-SA"/>
        </w:rPr>
        <w:t>»</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وهي تدلّ على أنّ مطلق الحَدَث ناقضٌ لمطلق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تدلّ على عدم جواز الدخول في الصّلاة، مع التيمّم الذي أحدث بعده، وهذا ممّا لا كلام فيه، وإنّما الكلام في أنّه هل يوجب الوضوء أو التيمّم بدل الغُسل، فإنّ هذه النصوص قاصرة عن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 السلام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أجنَبَ في سفر، ومعه قدر ما يتوضّأ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ولا يتوضّأ</w:t>
      </w:r>
      <w:r>
        <w:rPr>
          <w:rFonts w:eastAsia="Amiri" w:cs="Amiri" w:ascii="Amiri" w:hAnsi="Amiri"/>
          <w:color w:val="111111"/>
          <w:sz w:val="28"/>
          <w:szCs w:val="28"/>
          <w:rtl w:val="true"/>
          <w:lang w:bidi="ar-SA"/>
        </w:rPr>
        <w:t>»</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هذه النصوص أجنبيٌ عن المقام، فإنّها تدلّ على أنّ الجُنُب يتيمّم ولا يتوضّأ، وأمّا إذا أحدثَ بالأصغر بعد التيمّم الأوّل، فهل يتيمّم أيضاً، أم يتوضّأ الذي هو محلّ الكلام‌؟ فهذه النصوص غير متعرّضة لبيان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المتيمّم غير جُنُبٍ عند السيّد وأتباعه حقيقةً أو حكماً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أطلق الجُنُب على المتيمّم في بعض النصوص، كالمرسل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قال لبعض أصحابه الذي تيمّم من الجنابة وصَلّى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بأصحابك وأنتَ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ضعيفُ السند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مشروعيّة الوضوء في حقّه، الثابت قبل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يُعتمد عليه، مع ثبوت عموم سببيّة الحَدَث الأصغر للوضوء، فإنّ تخصيصه بالحَدَث بعد الجنابة قبل التيمّم، لا يمنعُ عن التمسّك به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جعل التيمّم رافعاً للحَدَث الأكبر بعد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بقاء أثر التيمّم بعد تحقّق الحَدَث الأصغر، مسبّبٌ عن الشكّ في الجعل بنحوٍ يكون باقياً بعده، وحيث أنّ رافعيّته للأكبر بعد حصول الأصغر لم تكن مجعولة في أوّل الشريعة قطعاً، فيشكّ في جعلها، فيستصحب عدم الجعل، وتثبت به عدم الرافعيّة، بناءً على ما حقّقناه في محلّه من أنّ استصحاب عدم الجعل يجري ويثبت به عدم المجعول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الرافعيّة للتيمّم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ما بعد الحَدَث الأصغر إلى أن يُصيب الماء، أو إلى تحقّق الحَدَث، فاستصحاب عدم جَعلها إلى إصابة الماء، يُعارض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استصحاب عدم جَعلها في خصوص ما قبل الحَدَث، فيتساقطان، فيرجع إلى الأصل المحكوم، وهو استصحاب بقاء أثر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 استصحاب عدم جعله رافعاً إلى حصول الحَدَث، إذ رافعيّته في ذلك الوقت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في نفسه تامّاً، ومعه لا مورد للرجوع إلى استصحاب بقاء أثر التيمّم، إلّاأنّه إنّما يرجع إليه مع عدم الدليل على بقاء أثره، وستعرف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شيئاً ممّا استدلّ به على المشهور، لا يدلّ عليه، فالأظهر هو القول الآخر، وهو عدم بطلانه بالحَدَث الأصغر، لما دلَّ على تنزيله منزلة الماء، وأنّه يجزيه إلى أن يجد الماء، كما هو صريح الخبرين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حمّاد،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لا يجدُ الماء أيتيمّم لكلّ 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بمنزلة الماء</w:t>
      </w:r>
      <w:r>
        <w:rPr>
          <w:rFonts w:eastAsia="Amiri" w:cs="Amiri" w:ascii="Amiri" w:hAnsi="Amiri"/>
          <w:color w:val="111111"/>
          <w:sz w:val="28"/>
          <w:szCs w:val="28"/>
          <w:rtl w:val="true"/>
          <w:lang w:bidi="ar-SA"/>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تيمّم‌؟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ذلك إلى أن يجد الماء</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إطلاقهما، كونه بمنزلة الماء حتّى في عدم الانتقاض بالحَدَث الأصغر، وأنّه يُجزيه من هذه الجنابة ما لم يجد الماء، وإنْ أحدث بالأصغر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نظر لهما إلى انتقاضه بالحَدَث وعدمه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إنّما يدلّان بالإطلاق على بقاء أثره بعد حَدَث الأصغر، ولا معنى لعدم الانتقاض إلّاذلك</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وأضعف منها دعوى أنّ مفادهما مجرّد الحدوث، فلا مجال للرجوع إليه عند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الشكّ في البقاء، فإنّهما إنّما سيقا لبيان البقاء لا الحدوث،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التيمّم الذي هو بدل عن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هو بدلٌ عن غيره، كغُسل الحيض ونحوه، فبناءً على ما استظهرناه من الأدلّة من الاجتزاء بكلّ غُسلٍ عن الوضوء، فالكلام فيه الكلام في ما هو بدلٌ عن غسل الجنابة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ما هو المشهور من عدم الاجتزاء، فعدم البطلان أولى، فإنّه من أوّل تحقّق التيمّم كان يجتمع أثره مع الحَدَث الأصغر، فلو تيمّمت الحائض بدلاً عن الغُسل، يباح لها دخول المساجد ونحوه كمبدله، سواءٌ توضّأت أم لا، فهذه الاستباحة تُجامع مع الحَدَث الأصغر، فلا يؤثّر الحَدَث الأصغر في إزالتها</w:t>
      </w:r>
      <w:r>
        <w:rPr>
          <w:rFonts w:eastAsia="Amiri" w:cs="Amiri" w:ascii="Amiri" w:hAnsi="Amiri"/>
          <w:color w:val="111111"/>
          <w:sz w:val="28"/>
          <w:szCs w:val="28"/>
          <w:rtl w:val="true"/>
          <w:lang w:bidi="ar-SA"/>
        </w:rPr>
        <w:t>.</w:t>
      </w:r>
      <w:bookmarkStart w:id="515" w:name="pg11797_257245"/>
    </w:p>
    <w:p>
      <w:pPr>
        <w:pStyle w:val="Heading6"/>
        <w:numPr>
          <w:ilvl w:val="5"/>
          <w:numId w:val="1"/>
        </w:numPr>
        <w:rPr/>
      </w:pPr>
      <w:bookmarkStart w:id="516" w:name="__RefHeading___Toc10391282_73709187"/>
      <w:bookmarkStart w:id="517" w:name="_Toc192"/>
      <w:bookmarkEnd w:id="515"/>
      <w:bookmarkEnd w:id="516"/>
      <w:r>
        <w:rPr>
          <w:rtl w:val="true"/>
        </w:rPr>
        <w:t>البحث عن اجتماع الأسباب المتعدّدة</w:t>
      </w:r>
      <w:bookmarkEnd w:id="517"/>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أسبابٌ متعدّدة للغُسل، بحيث لو كان واجداً للماء كان عليه أغسال متعدّدة، وكان فاقداً للماء، وحينئذٍ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يُكتفى بتيمّمٍ واحد عن الجميع، كما يُكتفى بغُسلٍ واحدٍفي صورة 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يكتفى به لو نوى الجميع، ولا يكتفى لو نوى واحداً منها، ولو كان المنويّ ما هو بدلٌ عن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لا يجتزي بما لو نوى غير الجنابة، وإنْ كان في الغسل لو نوى غير الجنابة كان مُجزياً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لا يُجتزى مطلقاً؟</w:t>
      </w:r>
    </w:p>
    <w:p>
      <w:pPr>
        <w:pStyle w:val="BookText"/>
        <w:rPr/>
      </w:pPr>
      <w:r>
        <w:rPr>
          <w:rFonts w:ascii="Amiri" w:hAnsi="Amiri" w:eastAsia="Amiri" w:cs="Amiri"/>
          <w:color w:val="111111"/>
          <w:sz w:val="28"/>
          <w:sz w:val="28"/>
          <w:szCs w:val="28"/>
          <w:rtl w:val="true"/>
          <w:lang w:bidi="ar-SA"/>
        </w:rPr>
        <w:t>وجوهٌ وأقوال، أقواها الأوّل، لإطلاق أدلّة البدليّة، فكما أنّ الغُسل الواحد يرفع جميع الأحداث، فكذلك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أدلّة البدليّة، ترتيب جميع آثار الغُسل عليه، ولذا التزمنا بأنّ التيمّم الذي هو بدلٌ عن غُسل الحيض يُغني عن الوضوء، بناءً على إغناء كلّ غُسلٍ عنه، وليس ذلك إلّالأجل إطلاق أدلّة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عدم شمول أدلّة البدليّة لمثل ذلك، لا سيّما وأنّ التيمّم مبيحٌ لا رافع، والأصل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إطلاق أدلّة البدليّة وكونه رافعاً لا مُبيحاً، مع أنّ كونه مبيحاً لا ينافي ذلك، ولذا حكموا بالتداخل في أغسال المستحاضة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تُرفع اليد عمّا تقتضيه أصالة عدم التداخل، كما أنّ كون التيمّم طهارة </w:t>
      </w:r>
    </w:p>
    <w:p>
      <w:pPr>
        <w:pStyle w:val="BookText"/>
        <w:rPr/>
      </w:pPr>
      <w:r>
        <w:rPr>
          <w:rFonts w:ascii="Amiri" w:hAnsi="Amiri" w:eastAsia="Amiri" w:cs="Amiri"/>
          <w:color w:val="111111"/>
          <w:sz w:val="28"/>
          <w:sz w:val="28"/>
          <w:szCs w:val="28"/>
          <w:rtl w:val="true"/>
          <w:lang w:bidi="ar-SA"/>
        </w:rPr>
        <w:t>ضعيفة لا ينافيه بعد إطلاق أدلّة البدليّة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كلّه ظهر ضعف القولين الآخرين، الذين اختار أوّلهما الشيخ قدس سره، واحتمل ثانيهما المحقّق الثاني</w:t>
      </w:r>
      <w:r>
        <w:rPr>
          <w:rFonts w:eastAsia="Amiri" w:cs="Amiri" w:ascii="Amiri" w:hAnsi="Amiri"/>
          <w:color w:val="111111"/>
          <w:sz w:val="28"/>
          <w:szCs w:val="28"/>
          <w:rtl w:val="true"/>
          <w:lang w:bidi="ar-SA"/>
        </w:rPr>
        <w:t>.</w:t>
      </w:r>
      <w:bookmarkStart w:id="518" w:name="pg11797_257249"/>
    </w:p>
    <w:p>
      <w:pPr>
        <w:pStyle w:val="Heading6"/>
        <w:numPr>
          <w:ilvl w:val="5"/>
          <w:numId w:val="1"/>
        </w:numPr>
        <w:rPr/>
      </w:pPr>
      <w:bookmarkStart w:id="519" w:name="__RefHeading___Toc10391284_73709187"/>
      <w:bookmarkStart w:id="520" w:name="_Toc193"/>
      <w:bookmarkEnd w:id="518"/>
      <w:bookmarkEnd w:id="519"/>
      <w:r>
        <w:rPr>
          <w:rtl w:val="true"/>
        </w:rPr>
        <w:t>إذا اجتمع جُنُبٌ وميّتٌ ومُحْدِثٌ بالأصغر</w:t>
      </w:r>
      <w:bookmarkEnd w:id="520"/>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جُنُبٌ وميّتٌ ومُحْدِثٌ بالأصغر، وماءٌ لا يكفي إلّا لأحدهم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مملوكاً لأحدهم، اختصّ به، وحَرُم على غيره تناوله من غير رضاه، بلا خلافٍ ولا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أنّه لو كان المالك هو الميّت، تعيّن صرفه في تغسيله، وليس لورّاثه بذل لغيره لأنّه أولى بماء غُسله من ورّاثه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ينتقل إليهم كي يسمحون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المالك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بعدم جواز إيثاره، بتقديم صاحبيه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المحقّق الهمداني رحمه الله</w:t>
      </w:r>
      <w:r>
        <w:rPr>
          <w:rStyle w:val="FootnoteAnchor"/>
          <w:rtl w:val="true"/>
        </w:rPr>
        <w:footnoteReference w:id="1438"/>
      </w:r>
      <w:r>
        <w:rPr>
          <w:rFonts w:ascii="Amiri" w:hAnsi="Amiri" w:eastAsia="Amiri" w:cs="Amiri"/>
          <w:color w:val="111111"/>
          <w:sz w:val="28"/>
          <w:sz w:val="28"/>
          <w:szCs w:val="28"/>
          <w:rtl w:val="true"/>
          <w:lang w:bidi="ar-SA"/>
        </w:rPr>
        <w:t>فقد اختار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لعموم ما دلَّ على وجوب الطهارة المائيّة، المانع عن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غاية ما أمكننا إثباته من الأدلّة اللُّبيّة، هي حرمة تفويت التكليف بالطهارة المائيّة بالإراقة ونحوها، ممّا يعدّ في العرف فراراً عن التكليف، وأمّا صرفه في المقاصد العُقلائيّة، الّتي من أهمّها احترام الموتى بالتغسيل، فلا دليل على حرمته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دام لم يُصرف، ليس له التيمّم، لكونه واجداً للماء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عبد الرحمن بن أبي نجران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الحسن موسى بن جعفر عليه السلام عن ثلاثة نفر كانوا في سفرٍ، أحدهم جُنُبٌ‌، والثاني ميّتٌ‌، والثالث على غير وضوء، وحضرت الصّلاة، ومعهم من الماء قَدَر ما يكفي أحدهم، مَنْ يأخذ الماء، وكيف يصنعون‌؟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الجُنُب، ويُدفن الميّت بتيمّم، ويتيمّم الذي هو على غير وضوء، لأنّ الغُسل من الجنابة فريضة، وغُسل الميّت سُنّة، والتيمّم للآخرجائز</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أنّ مقتضى ما زعموه من إطلاق وجوب الطهارة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لحرمة البذل على تقدير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الصحيح، إذ الماء الموجود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مِلكاً لأحدهم، لم يَجُز له بذله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مِلكاً لهم جميعاً، وجب على كلٍّ من الجُنُب والمُحْدِث السّعي في تملّك حصّة 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مُدّخراً لقضاء حوائجهم، من غير أن يقصدوا به التملّك فبتبع إنائه، بمعنى أنّ لمالك الإناء منع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جميع التقادير، لا وجه على هذا القول لتقديم الجُنُب على المُحْدِث بالأصغر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قلّما يتّفق قصور سهم المُحْدِث من الماء الذي يكفي لغُسل الميّت والجُنُب، عن أن يتوضّأ به ولو بمثل الدهن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ففرض مشاركة المُحْدِث معهم في الماء، وعدم قدرته من الوضوء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سهمه، فرضٌ لا يكاد يتحقّق موضوعه، حتّى تُحمل الصحيحة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في مسألة حرمة إراقة الماء، من أنّ الدليل عليها هو إطلاق ما دلَّ على وجوب الطهارة المائيّة، فليس الدليل منحصراً بالأدلّة اللُّبيّة كي يُقتصر على القدر المتيقّن، ولا تشمل البذل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يرد على ما اُفيد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الظاهر منه كون الماء الموجود مِلْكاً للجميع، أو مدّخراً لقضاء حوائجهم، غير قاصدين به التملّك، لأنّه موضوعٌ في إناءٍ جائز التصرّف للجميع، وعليه فمقتضى إطلاق ما دلَّ على وجوب الطهارة المائيّة، وجوب حفظ كلٍّ من الجُنُب والمُحْدِث حصّته، والسّعي في تحصيل الباقي في الفرض الأوّل، ووجوب سبقه إلى الاستعمال في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لأجل عدم قدرتهما معاً على ذلك، يتعيّن سقوط الخطاب المتوجّه إلى أحدهما، فقد حكم الشارع بسقوط الخطاب المتوجّه إلى المُحْدِث بالأصغر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مضافاً إلى كونه أجنبيّاً عن مفروض المسألة، لا ينافي مع القاعدة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ما اُفيد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إنّما يكون عن موردٍ يكفي جميع الماء للوضوء، لا حصّة خصوص المتوضّي، مع أنّ الظاهر من السؤال عن حكم ما كان متعارفاً في ذلك الزمان، من عدم اختصاص كلّ مسافرٍ بماءٍ مخصوص، بل كان يجمع كلّ جماعةٍ منهم ما يحتاجون إليه من الماء في مكانٍ واحد، بل لا يقصد مَنْ حازه </w:t>
      </w:r>
    </w:p>
    <w:p>
      <w:pPr>
        <w:pStyle w:val="BookText"/>
        <w:rPr/>
      </w:pPr>
      <w:r>
        <w:rPr>
          <w:rFonts w:ascii="Amiri" w:hAnsi="Amiri" w:eastAsia="Amiri" w:cs="Amiri"/>
          <w:color w:val="111111"/>
          <w:sz w:val="28"/>
          <w:sz w:val="28"/>
          <w:szCs w:val="28"/>
          <w:rtl w:val="true"/>
          <w:lang w:bidi="ar-SA"/>
        </w:rPr>
        <w:t xml:space="preserve">الاختصاص به والملكيّة له دون الأصحاب، ولا يداق بعضهم بعضاً بالنسبة إلى كثير الاحتياج إليه وعدمه،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يختصّ به فيما إذا كان مِلْكاً لأحدهم، ويلحق به ما لو كان للغير وأذن لواحدٍ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مباحاً أو كان للغير وأذن للكلّ‌، أو كان مملوكاً لجميعهم، يختصّ به الجُنُب كما هو المشهور، ويشهد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عبد الرحمن المتقدّم</w:t>
      </w:r>
      <w:r>
        <w:rPr>
          <w:rStyle w:val="FootnoteAnchor"/>
          <w:rtl w:val="true"/>
        </w:rPr>
        <w:footnoteReference w:id="1440"/>
      </w:r>
      <w:r>
        <w:rPr>
          <w:rFonts w:ascii="Amiri" w:hAnsi="Amiri" w:eastAsia="Amiri" w:cs="Amiri"/>
          <w:color w:val="111111"/>
          <w:sz w:val="28"/>
          <w:sz w:val="28"/>
          <w:szCs w:val="28"/>
          <w:rtl w:val="true"/>
          <w:lang w:bidi="ar-SA"/>
        </w:rPr>
        <w:t>، وخبر الحسين بن النضر الأرمني،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يكونون في السّفر، فيموت منهم ميّت، ومعهم جُنُب ومعهم ماءٌ قليل قدَرَ ما يكفي أحدهما، يبدأ به‌؟</w:t>
      </w:r>
    </w:p>
    <w:p>
      <w:pPr>
        <w:pStyle w:val="BookText"/>
        <w:rPr/>
      </w:pPr>
      <w:r>
        <w:rPr>
          <w:rFonts w:ascii="Amiri" w:hAnsi="Amiri" w:eastAsia="Amiri" w:cs="Amiri"/>
          <w:color w:val="111111"/>
          <w:sz w:val="28"/>
          <w:sz w:val="28"/>
          <w:szCs w:val="28"/>
          <w:rtl w:val="true"/>
          <w:lang w:bidi="ar-SA"/>
        </w:rPr>
        <w:t>قال عليه السلام يغتسل الجُنُب، ويُدفن الميّت، لأنّ هذا فريضة وهذا سُنّة</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الحسن التفليسي</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يعارضهما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الصادق عليه السلام عن قومٍ كانوا في سفرٍ، فأصاب بعضهم جنابة، وليس معهم من الماء إلّاما يكفي الجُنُب لغسله، يتوضّؤون هم هو أفضل‌؟ أو يعطون الجُنُب فيغتسل وهم لا يتوضّؤن‌؟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يتوضّؤون هم، ويتيمّم الجُنُب</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مورده التزاحم بين وضوء جماعةٍ مُحْدِثين، وغُسل جُنُب، ومورد تلك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النصوص التزاحم بين وضوء مُحْدِثٍ وغُسل جُنُبٍ‌، فلا مانع من العمل بالجميع،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444"/>
      </w:r>
      <w:r>
        <w:rPr>
          <w:rFonts w:ascii="Amiri" w:hAnsi="Amiri" w:eastAsia="Amiri" w:cs="Amiri"/>
          <w:color w:val="111111"/>
          <w:sz w:val="28"/>
          <w:sz w:val="28"/>
          <w:szCs w:val="28"/>
          <w:rtl w:val="true"/>
          <w:lang w:bidi="ar-SA"/>
        </w:rPr>
        <w:t xml:space="preserve">وإنْ لم يُعرف قائله كما اعترف به غير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يختصّ به الميّت، ويشهد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 محمّد بن علي، عن بعض أصحابنا،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والجُنُب يتّفقان في مكانٍ لا يكون فيه الماء إلّابقدر ما يكتفى به أحدهما، أيّهما أولى أن يُجعل الماء 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الجُنُب، ويُغسّل الميّت بالماء</w:t>
      </w:r>
      <w:r>
        <w:rPr>
          <w:rFonts w:eastAsia="Amiri" w:cs="Amiri" w:ascii="Amiri" w:hAnsi="Amiri"/>
          <w:color w:val="111111"/>
          <w:sz w:val="28"/>
          <w:szCs w:val="28"/>
          <w:rtl w:val="true"/>
          <w:lang w:bidi="ar-SA"/>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لإرساله ومعارضته بما هو أصحّ سنداً منه، وأكثر عدداً،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غُسله خاتمة طهارته، فهو أولى بالمراعاة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يُعتمد على هذه الوجوه الاستحسانيّة في مقابل النص</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النصوص وجملة من الفتاوى، هو تعيّن صرفه في غُسل الجنابة، إلّا أنّ ظاهر كلام المحقّق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446"/>
      </w:r>
      <w:r>
        <w:rPr>
          <w:rFonts w:ascii="Amiri" w:hAnsi="Amiri" w:eastAsia="Amiri" w:cs="Amiri"/>
          <w:color w:val="111111"/>
          <w:sz w:val="28"/>
          <w:sz w:val="28"/>
          <w:szCs w:val="28"/>
          <w:rtl w:val="true"/>
          <w:lang w:bidi="ar-SA"/>
        </w:rPr>
        <w:t>، والمحقّق الثاني</w:t>
      </w:r>
      <w:r>
        <w:rPr>
          <w:rStyle w:val="FootnoteAnchor"/>
          <w:rtl w:val="true"/>
        </w:rPr>
        <w:footnoteReference w:id="1447"/>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الوجوب، ولأجله تُحْمل النصوص على الاستحباب، ولكن برغم ذلك لا يُترك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الجزء الرابع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مؤلّفه الأحقر،</w:t>
      </w:r>
    </w:p>
    <w:p>
      <w:pPr>
        <w:pStyle w:val="BookText"/>
        <w:rPr/>
      </w:pPr>
      <w:r>
        <w:rPr>
          <w:rFonts w:ascii="Amiri" w:hAnsi="Amiri" w:eastAsia="Amiri" w:cs="Amiri"/>
          <w:color w:val="111111"/>
          <w:sz w:val="28"/>
          <w:sz w:val="28"/>
          <w:szCs w:val="28"/>
          <w:rtl w:val="true"/>
          <w:lang w:bidi="ar-SA"/>
        </w:rPr>
        <w:t>محمّد صادق الحسيني الروحاني عفى اللّه عنه،</w:t>
      </w:r>
    </w:p>
    <w:p>
      <w:pPr>
        <w:pStyle w:val="BookText"/>
        <w:rPr/>
      </w:pPr>
      <w:r>
        <w:rPr>
          <w:rFonts w:ascii="Amiri" w:hAnsi="Amiri" w:eastAsia="Amiri" w:cs="Amiri"/>
          <w:color w:val="111111"/>
          <w:sz w:val="28"/>
          <w:sz w:val="28"/>
          <w:szCs w:val="28"/>
          <w:rtl w:val="true"/>
          <w:lang w:bidi="ar-SA"/>
        </w:rPr>
        <w:t>ويتلوه الجزء الخامس إنْ شاء اللّه تعالى</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توفيقي إلّاباللّه، والحمدُ للّه أوّلاً وآخراً وظاهراً وباطناً</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11797_257265"/>
      <w:bookmarkStart w:id="522" w:name="pg11797_257265"/>
      <w:bookmarkEnd w:id="522"/>
    </w:p>
    <w:p>
      <w:pPr>
        <w:pStyle w:val="Heading2"/>
        <w:numPr>
          <w:ilvl w:val="1"/>
          <w:numId w:val="1"/>
        </w:numPr>
        <w:rPr/>
      </w:pPr>
      <w:bookmarkStart w:id="523" w:name="pg11797_257265"/>
      <w:bookmarkStart w:id="524" w:name="__RefHeading___Toc10391286_73709187"/>
      <w:bookmarkStart w:id="525" w:name="_Toc194"/>
      <w:bookmarkEnd w:id="523"/>
      <w:bookmarkEnd w:id="524"/>
      <w:r>
        <w:rPr>
          <w:rtl w:val="true"/>
        </w:rPr>
        <w:t>فهرس الموضوعات</w:t>
      </w:r>
      <w:bookmarkEnd w:id="525"/>
    </w:p>
    <w:p>
      <w:pPr>
        <w:pStyle w:val="BookText"/>
        <w:rPr/>
      </w:pPr>
      <w:r>
        <w:rPr>
          <w:rFonts w:ascii="Amiri" w:hAnsi="Amiri" w:eastAsia="Amiri" w:cs="Amiri"/>
          <w:color w:val="111111"/>
          <w:sz w:val="28"/>
          <w:sz w:val="28"/>
          <w:szCs w:val="28"/>
          <w:rtl w:val="true"/>
          <w:lang w:bidi="ar-SA"/>
        </w:rPr>
        <w:t>كيفيّة صلاة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اشتراط بلوغ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اشتراط وقوع الصَّلاة بعد الغُسل والتكفين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الصَّلاة على العاري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كراهة الصَّلاة على الجنازة مرّتين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الصَّلاة على الميّت بعد الدفن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وقوف الإمام عند وسط الرَّجل وصدر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استحبابُ إتيان الصَّلاة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في الدَّفن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كيفيّة تجهيز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في معنى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اعتبار الموت في المعركة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البحث عن عمر الشهيد وجنسه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في حكم الشهيد المُجنب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دفن الشهيد بثيابه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في مَن شُكَّ في شهادته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في حكم المقتول برجمٍ أو 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في حكم صَدر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حكم غير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حكم السِّقط وبعض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أخذ الكَفن من أصل التركة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إذا لم يكن للميّت كفنٌ‌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كفن الزوجة على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شروط كون الكفن على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في حكم الميّت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وجوب الغُسل بمسّ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فروع غُسل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حكم الغُسل الاضطراري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وجوب الغُسل بمسّ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لا فرق في الممسوس بين ما تحلّه الحياة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مسّ الشهيد والمقتول بقصاصٍ أو 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مسّ القِطعة المُبانة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وجوب غُسل المسّ شَرطي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حكم الشكّ في المسّ الموجب للغُسل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حكم مَسّ القطعة المشكوكة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في الأغسال المَسنُونة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البحث عن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مسوّغات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تعذّر استعمال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تنبيهات باب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في حكم من تحمّل الضَّرر وتوضّأ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تيمّم باعتقاد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توضّأ باعتقاد عدم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لو خاف العَطَش على نفسه أو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عدم الوصلة إلى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الخوف من سَبُعٍ أو لِصّ‌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وجوبُ شِراء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المزاحمة بالتكليف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تنبيهات باب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ضيق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فروع الشكّ في ضيق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التيمّم لأجل الضيق لا تُباح به الغايات الاُخر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في جواز ترك السّورة أو الوضوء لضيق الوقت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في حكم المستحبّات عند ضيق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في ما لو تيمّم باعتقاده ضيق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وجوب الطّلب عند عدم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مقدار الفحص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تنبيهات حول الفحص عن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اشتراط الفحص بالعلم بوجود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العلم بوجود الماء فيما زاد على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الإستنابة في 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الإكتفاء بالطلب قبل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لو ترك الطَّلب حتّى ضاق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صحّة الصلاة لو ترك الطلب حتّى ضاق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وجوب القضاء في الفرض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إذا ترك الطَّلب في سعة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إذا طلب وصلّى ثمّ تبيّن وجود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إذا اعتقد ضيق الوقت ثمّ تبيّن السِّعة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لو اعتقد عدم الماء ثمّ تبيّن وجوده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إراقة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إراقة الماء قبل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سقوط الطلب عند 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في جواز الوضوء بخلط المطلق بما يكفي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دوران الأمر بين الطهارة المائيّة وإزالة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التيمّم مع التمكّن من استعمال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يصحّ التيمّم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التيمّم بأرض النُّورة والجِصّ والحَجَر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التيمّم على المعادن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ما يصحّ التيمّم به عند فَقْد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تنبيهات باب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فاقد الطهورين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حكم فاقد الطهورين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شروط ما يتيمّم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اعتبار الإباحة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فروع باب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اعتبار العَلوق</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كيفيّة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في اعتبار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مَسحُ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المسح باليدين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مسح اليدين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بقيّة واجبات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اعتبار الموالاة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الابتداء بالأعلى</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طهارة الماسح والممسوح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في اعتبار الضربتين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في استواء الأغسال في الكيفيّة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في كفاية المسح على الشَّعر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في كيفيّة تيمّم النائب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في سقوط التيمّم عن أقطع اليدين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القيد والدّاعي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جريان قاعدة التجاوز في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أحكام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لو وجد الماء في أثناء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فروع باب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لا يُعيد الصّلاة إذا وجد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التيمّم قبل دخول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التيمّم في حال السِّعة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لا يجبُ تجديد التيمّم لكلّ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المرادُ بآخِر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اتّحاد غايات الطهارة المائيّة مع الترابيّة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التيمّم بدلُ الغسل يُغني عن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إذا أحدث المتيمّم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البحث عن اجتماع الأسباب المتعدّدة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إذا اجتمع جُنُبٌ وميّتٌ ومُحْدِثٌ بالأصغر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صلاة الجنازة وجملة من أحكامها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دلّت على ذلك رواية الحلبي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تسليم في صلاة الجنازة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ليس في صلاة الجنازة قراءة ولا دعاء معيّن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أمر الصبيان بالصلاة لستّ سنين أو سبع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3/1343215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ما لو وجد بعض الميّت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في الجزئيّة أو الشرطيّة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الصَّلاة إلّابعد التغسيل والتكفين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والصَّلاة على الميّت تكره أن تعاد بدليل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إعادة الصَّلاة على الميّت وتكرارها على كراهية واستحباب ذلك على أهل الصلاح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3/873094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إعادة الصَّلاة على الميّت وتكرارها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3/873094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بأس أن تصلّي بعدما دُفن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الصَّلاة على الميّت بعد الدفن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صلاة الجنازة قبل التكفين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اعتبر أنّ الصَّلاة على الغائب دعاء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يجزي صلاة واحدة على جنائز متعدّدة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يجزي صلاة واحدة على جنائز متعدّدة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10/425</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فاته بعض التكبير في صلاة الجنازة قضاه متتابعاً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استحباب الإعادة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ظاهر الأكثر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دفنه فعليه إجماع المسلمين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عمل الصحابة والتابعين،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في البحر ولم يمكن دفنه في الأرض، وجب وضعه في إناء وسدّ رأسه أو تثقيله وإرساله في الماء</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المقنعة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الكافي في الفقه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أحكام الشهيد ووجوب تغسيل كلّ مسلم ميّت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الرسائل العشر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إجزاء الغسل الواحد للميّت إذا كان جُنباً أو حائضاً أو نفساء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5/385</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ما لو وُجِد بعض الميّت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 الجنان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إشارة السبق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تعرّض لذلك في موردين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المختصر النافع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حكايته في 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24706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10/606</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على سبيل الوجوب لأنّ بيت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بعد ذكر استحباب الكفن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يبعد القول بوجوبها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مع وجود بيت المال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رفع القلم عن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23801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يلزم الذي عليه الدَّين بيع ما لابدّ له منه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صاحب الجواهر وغيره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رسائل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المحرم إذا مات فهو كالمحلّ إلّاأنّه لا يقرب كافوراً ولا غيره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 كمال الدِّين وتمام النعمة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وجامع الخلاف والوفاق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الغُسل بمسّ الميّت الآدمي بعد برده وقبل غُسله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وجب الغسل على مَن مسّ ثوب الميّت الذي يلي جلده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الميّت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إليهما في 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أحكام الشهيد ووجوب تغسيل كلّ ميّتٍ مسلم سواه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التحفة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السرائر والحدائق</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في مستمك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الصدوق أفتى بمضونه في الفقيه والمقنع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 مجهولي التاريخ</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يمم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المقدّس الأردبيلي في زبدة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المحقّق السبزواري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عدّة أحاديث</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تحرير الأحكام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ومدارك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عليه الشيخ الطوسي إجماع الفرقة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نهاية 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أبواب التيمّم، فإنّ فيه عدّة روايات دالّة على ذلك</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ادّعى إجماع الفرقة على أنّ من لم يكفيه الماء، ينتقل حكمه إلى التيمّم، بخلاف الشافعي الذي قال باستعمال ما يجده من الماء ثمّ يتيمّم، راجع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تيمّم الجُنُب وإنْ وجد من الماء ما يكفيه للوضوء وحده وعدم إجزاء الوضوء له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3816</w:t>
      </w:r>
      <w:r>
        <w:rPr>
          <w:rFonts w:ascii="IRNazanin" w:hAnsi="IRNazanin" w:eastAsia="IRNazanin"/>
          <w:b w:val="false"/>
          <w:b w:val="false"/>
          <w:bCs w:val="false"/>
          <w:i w:val="false"/>
          <w:i w:val="false"/>
          <w:iCs w:val="false"/>
          <w:color w:val="333333"/>
          <w:sz w:val="20"/>
          <w:sz w:val="20"/>
          <w:szCs w:val="20"/>
          <w:rtl w:val="true"/>
        </w:rPr>
        <w:t>، فإنّ فيها دلالة على أنّ خوف الضَّرر والحَرَج موجب للإنتقال إلى التيمّم،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 أكون في السّفر وتحضر الصّلاة، وليس معي ماء، ويقال إنّ الماء قريبٌ منّا، فأطلب الماء وأنا في وقت يميناً وشمالاً؟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تطلب الماء، ولكن تيمّم، فإنّي أخاف عليك التخلّف عن أصحابك فتضلّ ويأكلك السّبع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التيمّم مع عدم التمكّن من استعمال الماء لمرضٍ وبرد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تحمّل المشقّة الشديدة في الغسل لمن تعمّد الجنابة دون من احتلم، وعدم جواز التيمّم للمتعمّد حينئذٍ</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الحكيم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يحدث في ظاهر الجلد من الخشونة، يحصل به تشوّه الخِلْقة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شين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قوله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عن اُمّتي تسعة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23073</w:t>
      </w:r>
      <w:r>
        <w:rPr>
          <w:rFonts w:ascii="IRNazanin" w:hAnsi="IRNazanin" w:eastAsia="IRNazanin"/>
          <w:b w:val="false"/>
          <w:b w:val="false"/>
          <w:bCs w:val="false"/>
          <w:i w:val="false"/>
          <w:i w:val="false"/>
          <w:iCs w:val="false"/>
          <w:color w:val="333333"/>
          <w:sz w:val="20"/>
          <w:sz w:val="20"/>
          <w:szCs w:val="20"/>
          <w:rtl w:val="true"/>
        </w:rPr>
        <w:t>، وفي غيره من الأجزاء</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السيّد الخوئي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9/422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5/342</w:t>
      </w:r>
      <w:r>
        <w:rPr>
          <w:rFonts w:ascii="IRNazanin" w:hAnsi="IRNazanin" w:eastAsia="IRNazanin"/>
          <w:b w:val="false"/>
          <w:b w:val="false"/>
          <w:bCs w:val="false"/>
          <w:i w:val="false"/>
          <w:i w:val="false"/>
          <w:iCs w:val="false"/>
          <w:color w:val="333333"/>
          <w:sz w:val="20"/>
          <w:sz w:val="20"/>
          <w:szCs w:val="20"/>
          <w:rtl w:val="true"/>
        </w:rPr>
        <w:t>، من أبواب التيمّم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عدّة مرّات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12523</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الصدقة إبراد كبد حَرّاء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ورد في النص موجود في مكارم الأخلاق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في فضل إطعام الطعام، وأيضاً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الكبد الحرّاء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حرّاء</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المُشار إليه هنا الظاهر أنّه مأخوذ من روايتين؛ فإنّ رواية صدقة لم تَذكر التيمّم والزحام بل ذكرت الوضوء، وأنّ من تركه في الصّلاة يخاف عليه الخسف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والذي دلَّ على الزحام والتيمّم الراوايات المتقدّمة في الصفحة السابقة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3949</w:t>
      </w:r>
      <w:r>
        <w:rPr>
          <w:rFonts w:ascii="IRNazanin" w:hAnsi="IRNazanin" w:eastAsia="IRNazanin"/>
          <w:b w:val="false"/>
          <w:b w:val="false"/>
          <w:bCs w:val="false"/>
          <w:i w:val="false"/>
          <w:i w:val="false"/>
          <w:iCs w:val="false"/>
          <w:color w:val="333333"/>
          <w:sz w:val="20"/>
          <w:sz w:val="20"/>
          <w:szCs w:val="20"/>
          <w:rtl w:val="true"/>
        </w:rPr>
        <w:t>، تفشير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المصنّف دام ظلّه في هذا الشرح مراراً إلى أنّ الأظهر هو الرجوع إلى المرجّحات السنديّة في تعارض العامين من وجه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غسل الحائض وما يجزيها من الماء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حيثُ لا مرجّح لأحد الدليلين يُحكم بالتخيّر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حفظه المولى‌</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صلّى ركعة ثمّ خرج الوقت أتمّ صلاته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مسوّغات التيمّم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أن يستبيح بالتيمّم ما زاد على الصّلاة الواحدة من الفرائض والنوافل أداءاً وقضاءاً، وهو مذهب علمائنا أجمع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الوقت الذي يوجب التيمّم ومن يتيمّم ثمّ يجد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شراء الماء للطهارة ح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انتقاض التيمّم بكلّ ما ينقض الوضوء ح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وجوب الطلب عند عدم الماء</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الدالّ‌، داود بن كثير الرِّقي رقم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يُكنّى أبا سليمان ضعيف جدّاً، والغلاة تروي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عدَّة روايات فيها مدح له،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ويذكر الغلاة أنّه من أركانهم، وقد يروي عنه المناكير من الغلوّ، وينسب إليهم، ولم أسمع أحد من مشايخ العصابة يطعن فيه، ولا عثرت من الرواية على شيء غير ما أثبته في هذا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والطوسي، راجع الاختصاص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المفضّل وخلق أرواح الشيعة من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منزلة داود بن كثير الرّقي منكم‌؟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المقداد من رسول اللّه صلى الله عليه و آله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كثير الرّقي</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الوجيزة الوحيد البهبهاني في تعليقه على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والوجيزة حكم بضعفه، ثمّقال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يضرّ ضعفه لكونه من مشايخ الإجازة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من نقد الرِّجال للتفرشي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3579/109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عليّ 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هو البطائني كما ورد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فإنّه قد يظهر ذلك من تصحيحه التيمّم لو ترك طلب الماء ثمّ ظهر عدم الماء، فإنّ الطلب لو كان شرطاً لصحّة التيمّم لا يصحّ تيمّمه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حكاه عنه السيّد في مستمسك العروة الوثقى المصدر الآتي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الأوامر والنواهي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الطريحي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 وكشف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الغين والتاء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 غلي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الطريحي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ليث في باب غ وغيره أيضاً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غير واحد من علماء اللّغة؛ فقد قال الفراهيدي في 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باب العين والزاي والنون معهما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الغليظة ذات حجارة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وقريب منه ما في لسان العرب في غير موردٍ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اُشير إليه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ظاهر الإطلاق يدلّ على ذلك ويؤكّده ما ورد 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الطلب من أوّل الوقت إلى أن يخشى الفوت ولم يستبعده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صاحب المعالم ذلك مفصّلاً في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تأخير التيمّم إلى آخر الوقت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أمر غيره بالطلب لم يبح له التيمّم، على إشكال ينشأ من الاعتماد على الظنّ‌، وقد حصل بإخبار الثقة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فروع، الفرع د بعد المسألة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التزم باعتبار الطلب قبل الوقت لو بقي اليأس من إدراك الماء إلى ما بعد الوقت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قد طلب قبل الوقت ودخل الوقت ولم يتجدّد حدوث ماء، كان طلبه عبثاً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يتحقّق أنّه لم يحدث إذا كان ناظراً إلى مواضع الطلب ولم يتجدّد فيها شيء، وهذا يجزيه بعد دخول الوقت، لأنّ هذا هو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الظاهر من السيّد الحكيم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بني على المناقشة فيما ذكرنا، وعلى الحكم بعدم وجوب التجديد لو طلب في الوقت، كان اللّازم أيضاً الحكم بعدم وجوب التجديد، لو وقع قبل الوقت، عملاً بالاستصحاب المذكور، لعدم الفرق بينهما في شمول الإطلاق وجريان الاستصحاب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الجديدة،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وقد تقدّم مراراً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العلّامة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إليه في الجامع للشرائع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الوقت الذي يوجب التيمّم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عمّار السّاباطي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أصلٌ وكان فطحيّاً إلّاأنّه ثقة وأصله معتمدٌ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الجماع على غير ماء ح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 المصدر السابق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الطهارة عند دخول وقت الصّلاة وأنّه يجوز تقديمهما قبل دخوله بل يستحبّ‌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الحرّ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وجوب طلب الماء مع الخوف</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المحدّث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المعتبر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قصر الماء عن إزالة النجاسة عن بدنه والوضوء وكفى أحدهما صرفه في إزالة النجاسة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غسل الحائض وما يجزئها من الماء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ترجيح ما لا بدل له على ما له بدل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يصلّي على الجنازة وهو علي غير 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ذكرى الشيعة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تعليقه على الرواية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الزيارات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ويجوز أن يتيمّم الإنسان بدلاً من الطهارة إذا خاف أن تفوته الصلاة، روى ذلك محمّد بن يعقوب، ثمّ ذكر رواية سماعة، وكان في البداية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للصلاة على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وأنّه تجوز الصلاة من غير طهارة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يقول الرجل إذا آوى إلى 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النوم على 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العلّة التي من أجلها يستحبّ أن يكون الإنسان في جميع الأحوال على وضوء</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وفي 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علماؤنا لا يجوز التيمّم إلّافي التّراب والأرض</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نقلاً عن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وقد يظهر ذلك ممّا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 عن جواز التيمّم بالنورة، وقريب منه ما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الحديث عن التيمّم بالحَجَر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الطهارة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العرب يطلق على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التّراب الذي على وجه الأرض وعلى وجه الأرض وعلى الطريق وتجمع هذه على 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في ترتيب 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الصاد مع العين،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 وجهُ الأرض تُراباً كان أو غيره، قال الزجّاج لا أعلم اختلافاً بين أهل اللّغة في ذلك</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صعد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الأرض قلَّ أو كثُر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 للراغب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لوجه الأرض</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الخليل بن أحمد البصري وهو صاحب كتاب العين، المصدر السابق</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وقد عبّر عن المشهور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علماؤنا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يتيمّم به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المغرب في ترتيب 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الصّاد مع العين،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 وجهُ الأرض تُراباً كان أو غيره، قال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اختلافاً بين أهل اللّغة في ذلك</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78/143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الوسيلة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الزُّلفى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المحشر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 معنى العاقلة، وذكره في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والتسعون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التيمّم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الهمداني في مصباح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حكاه أيضاً السيّد الخوانساري في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 نصّاً، فراجع</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الوقت الذي يوجب التيمّم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التيمّم مع عدم الوصلة إلى الماء</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فضّلتُ بأربع</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الشرائع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عن أبي أيّوب الخرّاز،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رواه عن داود بن النعمان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كتاب المجمل، وقد نقل عنه القول كلّ من البهائي العاملي في مشارق الشموس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القول عنه ابن دريد في الجمهرة كما حكاه البهائي العاملي والمُحدِّث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الطهارة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النبيّ صلى الله عليه و آله عشرة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العلّة التي من أجلها سمّي النبيّ صلى الله عليه و آله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 الأوّل من الرواية وردت بطرق متعدّدة وأسانيد مختلفة وقد مرّ جملة منها، منها ما رواه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3840</w:t>
      </w:r>
      <w:r>
        <w:rPr>
          <w:rFonts w:ascii="IRNazanin" w:hAnsi="IRNazanin" w:eastAsia="IRNazanin"/>
          <w:b w:val="false"/>
          <w:b w:val="false"/>
          <w:bCs w:val="false"/>
          <w:i w:val="false"/>
          <w:i w:val="false"/>
          <w:iCs w:val="false"/>
          <w:color w:val="333333"/>
          <w:sz w:val="20"/>
          <w:sz w:val="20"/>
          <w:szCs w:val="20"/>
          <w:rtl w:val="true"/>
        </w:rPr>
        <w:t xml:space="preserve">، وأمّا ذيل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أتيمّم من ترابها أو تربتها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في بشارة المصطفى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نفض اليدين بعد الضّرب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رب الماء هو رب 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ورواه الشيخ في التهذيب والاستبصار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وأحكامه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يكون معه الماء القليل في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 الرأس والقدمين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3878</w:t>
      </w:r>
      <w:r>
        <w:rPr>
          <w:rFonts w:ascii="IRNazanin" w:hAnsi="IRNazanin" w:eastAsia="IRNazanin"/>
          <w:b w:val="false"/>
          <w:b w:val="false"/>
          <w:bCs w:val="false"/>
          <w:i w:val="false"/>
          <w:i w:val="false"/>
          <w:iCs w:val="false"/>
          <w:color w:val="333333"/>
          <w:sz w:val="20"/>
          <w:sz w:val="20"/>
          <w:szCs w:val="20"/>
          <w:rtl w:val="true"/>
        </w:rPr>
        <w:t>، مع اختلافات يسيرة في النقل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العرب يُطلق على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التراب الذي على وجه الأرض، وعلى وجه الأرض، وعلى الطريق، وتجمع هذه على 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الكلام تفصيلاً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الوَحَل والغبار وغيره مع فقد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الرابعة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والشهيد في روض الجنان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يتيمّم به، مسألة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وأحكامه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أن يكون الغبار من الجنس الذي يجوز التيمّم بمثله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وأحكامه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التيمّم عند الضرورة بغبار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التيمّم عند الضرورة بغبار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وأيضاً بقيّة روايات الباب فإنّ فيها دلالة على المطلوب</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المظفّريّة في إرشاد 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مكتبة المرعشي رقم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حكى القول عنه السيّدالعاملي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فقال نقلاً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يستخرج الغبار حتّى يعلو وجه الثوب ثمّ يضرب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نقل في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الغبار تراب فإذا نفض أحد هذه الأشياء عاد إلى أصله فصار تراباً مطلقاً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وأحكامه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وأحكامه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وأحكامه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 فَقْد التّراب يتيمّم بغبار ثوبه، أو لبد سرجه، أو عُرف دابّته، ومع فَقْد ذلك يتيمّم بالوَحَل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وافقه حيث لم يعلّق على خلافه في المسألة، نعم أضاف قيداً للتيمّم بالوَحَل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يمكن تجفيفه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يده جميعاً على الوَحَل ويمسح إحداهما بالاُخرى وينفضهما حتّى يزول عنهما الوَحَل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 بمصباح الشريعة لقطب الدِّين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يجد إلّاالثّلج يعتمد عليه حتّى تتندّى يده ويتطهّر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ظاهر الكتاب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التطهير بالثّلج</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يجزي في الوضوء أقلّ من مدّ بل مُسمّى الغُسل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يصيبه الجنابة فلا يجد إلّاالثّلج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وأحكامه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وأحكامه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وأحكامه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الطهارة بالثّلج مع إمكان إذابته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النفساء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تَدَع الصّلاة على حال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عدم الماء والتّراب الطاهرين، وما في حكم التّراب من غبار ووحل سقطت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النفاس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وليس الذي ذكر هو نصّ الحديث بل مستفاد من مضمون الحديث حيث حدّد الحديث مواد ترك الصّلاة فتبقي بقيّة الموارد لا يمكن ترك الصّلاة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استفادة ذلك من غيره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والأقرب إلى هذا اللّفظ صحيح زرارة المتقدّم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تلميذه آية اللّه الخوئي قدس سره في 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تعذّر بعض الأجزاء</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قضاء ما فات كما فات</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من شرط التّراب اليبوسة، ولو كان نديّاً لا يَعلّق باليد منه غبار جاز التيمّم به عند علمائنا، نعم في خصوص الوَحَل مع فقد التّراب استوجه الجفاف إنْ لم يخف فوت الوقت، وإلّا عمل بقول الشيخ، وهو فرك اليدين بعد وضعهما على التّراب ثمّ التيمّم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ويشترط في التراب أمران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علماؤنا أجمع</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تأخير التيمّم والصّلاة إلى آخر الوقت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خلاف الخبيث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والخبيث يقابل الطيّب بمعانيه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الوجه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xml:space="preserve">، وهو اختيار المحقّق الهمداني بحسب الظاهر في مصباح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اجتناب الإنائين إذا كان أحدهما نجساً واشتبها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الظاهر، وسيأتي مفصّلاً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الجديدة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كان نديّاً لا يعلق باليد منه غبار جاز التيمّم به عند علمائنا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مسح الرأس والقدمين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كيفيّة التيمّم وجملة من أحكامه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المتيمّم يستبيح ما يستبيحه المتطهِّر بالماء</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يضع يديه على الأرض ثمّ يمسح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ووضع اليدين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التيمّم وقد عبّر بالضرب</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 الأصحاب على اعتبار الضّرب في التيمّم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4/430</w:t>
      </w:r>
      <w:r>
        <w:rPr>
          <w:rFonts w:ascii="IRNazanin" w:hAnsi="IRNazanin" w:eastAsia="IRNazanin"/>
          <w:b w:val="false"/>
          <w:b w:val="false"/>
          <w:bCs w:val="false"/>
          <w:i w:val="false"/>
          <w:i w:val="false"/>
          <w:iCs w:val="false"/>
          <w:color w:val="333333"/>
          <w:sz w:val="20"/>
          <w:sz w:val="20"/>
          <w:szCs w:val="20"/>
          <w:rtl w:val="true"/>
        </w:rPr>
        <w:t xml:space="preserve">، وحاشية الإرشاد كتابٌ 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موجود في مكتبة المرعشي تحت 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للنيلي تلميذ فخر المحقّقين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الضربتين في التيمّم سواء كان عن وضوء أو عن غُسل ويتخيّر في الثانية بين الجمع والتفريق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عبّر في جملة من رواياته بالضّرب</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التيمّم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الأظهر من عبارة الأصحاب وجوب مسح الوجه بالكفّين معاً، فلو مسح بأحدهما لم يجزئ، ويحتمل الجواز</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التيمّم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كيفيّة التيمّم وجملة من أحكامه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 كيفيّة التيمّم وجملة من أحكامه، ح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كيفيّة التيمّم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النيّة في العبادات الواجبة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فَتَيَمَّمُوا صَعِيداً طَيِّباً فَامْسَحُوا بِوُجُوهِكُمْ وَأَيْدِيكُمْ‌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في الأرض الوحلة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التيمّم وأحكام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التيمّمم، فإنّ فيهما جملة من الروايات الدالّة على اعتبار الضّرب قد يستفاد منها ذلك، وقد مرَّ بعضها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وفي 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يستحبّ بعد الضّرب نفض اليدين من التّراب لأنّ النبيّ صلى الله عليه و آله فعله، وليس واجباً إجماعاً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التيمّم وجملة من أحكامه، ح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الرموزللفاضل الآبي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 الأصحاب عدا عليّ بن بابويه علي مسح الجبهة وظاهر الكفّين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الواجب الرابع مسح الجبهة، إلى أن قال في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لا يقتصر على أقلّ من الجبهة وهو حسنٌ‌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التيمّم وأحكام المحدثين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3866</w:t>
      </w:r>
      <w:r>
        <w:rPr>
          <w:rFonts w:ascii="IRNazanin" w:hAnsi="IRNazanin" w:eastAsia="IRNazanin"/>
          <w:b w:val="false"/>
          <w:b w:val="false"/>
          <w:bCs w:val="false"/>
          <w:i w:val="false"/>
          <w:i w:val="false"/>
          <w:iCs w:val="false"/>
          <w:color w:val="333333"/>
          <w:sz w:val="20"/>
          <w:sz w:val="20"/>
          <w:szCs w:val="20"/>
          <w:rtl w:val="true"/>
        </w:rPr>
        <w:t>، وما هو في التهذيب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ببعض ألفاظه عمّا ذكر في المتن، فراجع</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التيمّم وجملة من أحكامه، ح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وعليه مضى مشايخنا 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نسبته إلى دين الإماميّة فإنّ في مقدّمة المجلس الثالث والتسعون طُلب منه أن يُملي على الحاضرين وصف دين الإماميّة، فقال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الإماميّة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روي أن يمسح الرجل جبينه وحاجبيه ويمسح على ظهر كفّيه، وعليه مضى مشايخنا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القول عن المفيد غير واحدٍ من الأعلام، وعزاه المحقّق الهمداني إلى رواية زرارة الذي رواهاالمفيد بطريق غير الذي رواها في الكافي، وفيها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جبينيه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مسح جبهته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وتعبيره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ويمسح بهما وجهه من قصاص شعر الرأس إلى طرف الأنف</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8139</w:t>
      </w:r>
      <w:r>
        <w:rPr>
          <w:rFonts w:ascii="IRNazanin" w:hAnsi="IRNazanin" w:eastAsia="IRNazanin"/>
          <w:b w:val="false"/>
          <w:b w:val="false"/>
          <w:bCs w:val="false"/>
          <w:i w:val="false"/>
          <w:i w:val="false"/>
          <w:iCs w:val="false"/>
          <w:color w:val="333333"/>
          <w:sz w:val="20"/>
          <w:sz w:val="20"/>
          <w:szCs w:val="20"/>
          <w:rtl w:val="true"/>
        </w:rPr>
        <w:t>،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صلاة لمن لا يُصيب أنفه ما يُصيب جبينه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وصفتها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روايات الباب الرابع من أبواب السجود من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منفرداً عن الجبهة ولم يعبّر عن الجبين فيه منفرداً عن الأنف</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تعليقه على الرواية 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قال في ذكره كيفيّة التيمّم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تيمّم الرَّجل للوضوء، ضرب يديه على الأرض مرّةً واحدة، ثمّ نفضهما، ومسح بهما جبينيه وحاجبيه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الحاجبين وفاقاً للصدوق، وقد حكى به رواية، وأنّه لابدَّ من إدخال جزء من غير محلّ الفرض من باب المقدّمة، فملاحظته يقرب من ذلك وإنْ لم يكن عينه، ولا يبعد إطلاق الجبهة في الأخبار على ذلك تجوّزاً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وأوجب الصدوق مسح الحاجبين أيضاً ولا بأس به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مسح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الوجه في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انفردت الإماميّة به القول بأنّ مسح الوجه بالتراب في التيمّم إنّما هو إلى طرف الأنف من غير استيعاب له، فإنّ باقي الفقهاء يوجبون الاستيعاب له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التيمّم،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ويمسح بهما وجهه من قصاص شعر رأسه إلى طرف أنفه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بعد ذكر الإجماع والآية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وفائدة الباء هاهنا التبعيض على ما سبق</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أجزاء مسح الوجه بكفّ واحد إشكال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الأظهر من عبارة الأصحاب وجوب مسح الوجه بالكفّين معاً، فلو مسح بأحدهما لم يجزئ، ويحتمل الجواز</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التيمّم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التيمّم وجملة من أحكامه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وعليه مضى مشايخنا 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نسبته إلى دين الإماميّة فإنّ في مقدّمة المجلس الثالث والتسعون طُلب منه أن يُملي على الحاضرين وصف دين الإماميّة، فقال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 الإماميّة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أن يمسح الرجل جبينه وحاجبيه ويمسح على ظهر كفّيه، وعليه مضى مشايخنا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التيمّم،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أروي إذا أردت التيمّم، اضرب كفّيك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تضع أصابعك اليسرى على أصابعك اليمنى من أصل الأصابع من فوق الكفّ‌، ثمّ تمرّها على مقدمها على ظهر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ذهب بعض أصحابنا إلى المسح على اليدين من اُصول الأصابع إلي رؤوس الأصابع</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التيمّم وجملة من أحكامه، ح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كيفيّة التيمّم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يجب فيه المولاة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قلنا بوجوب التضييق، وإلّا فإشكال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يظهر من المحقّق السبزواري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نظر، لأنّ المراد بالتيمّم هاهنا المعنى اللّغوي، وهو القصد لا المعنى الاصطلاحي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وعليه أيضاً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المولاة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 روايات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المتيمّم يستبيح ما يستبيحه المتطهّر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 روايات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من ح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جعل التراب طهوراً كما جعل الماء طهوراً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فبعد ذكره الرواية،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وعليه مضى مشايخنا رضوان اللّه عليهم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 والسيّد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الشهيد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أراد الرجل أن يتيمّم ضرب بيديه على الأرض مرّةً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يضرب بيده 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يضرب بيده اليمنى‌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ويظهر منه أنّه قائل بثلاث ضربات، وقد تحمل ضرب اليسرى واليمنى منفردتين على ضربة واحدة فيتحقّق المطلوب، راجع وتأمّل، وكان في بداية 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 ذلك أنّه من دين الإماميّة، ومرّت الإشارة إليه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ولكنّه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التفصيل،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المُحْدِث لما يوجب طهارته بالغُسل إذا لم يقدر عليه تيمّم بضربتين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والمُحْدِث لما يوجب طهارته بالوضوء يتيمّم بضربة واحدة لوجهه ويديه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في جمل العلم والعمل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المرتضى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بعد ذكر التيمّم بدلاً عن الوضوءقال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ويجزيه ماذكرناه في تيمّمه إنْكان عن جنابة وما أشبهها أثناء ما ذكرناه من الضربة ومسح الوجه واليدين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صفة التيمّم، فإنّ ظاهر إطلاق روايات هذا الباب اعتبار الضربة الواحدة في التيمّم، دون الضربتين أو التفصيل بين ما كان نيابة عن غسل أو وضوء، فتأمّل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أراد الرجل أن يتيمّم ضرب بيديه على الأرض مرّةً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يضرب بيده 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يضرب بيده اليمنى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مرّ تخريجه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3880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التيمّم وأحكام المحدثين،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التيمّم وأحكامه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التيمّم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التيمّم وآدابه وأحكامه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والأصوب عندي حمل أخبار الضربتين على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الوقت الذي يوجب التيمّم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التيمّم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الجبائر والقروح والجراحات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الكسير والمجدور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الكسير والمجدور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عبد اللّه بن سليمان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عمّن أصابته جنابة وكان شديد الوَجَع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وأحكامه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5/129</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حول حديث ما لا يدرك</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التيمّم، 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أو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التيمّم عند الضرورة بغبار الثوب</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كيفيّة الوضوء،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القيد والدّاعي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 عدم جريان القاعدة في أفعال الطهارات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الخروج</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الحكيم قدس سره في مستمسك العروة الوثقى حيث عبّر غير مرّة بعدم قياس التيمّم على الوضوء في إجراء قاعدة التجاوز منها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والفرض منه 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للآخوند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الوقت الذي يوجب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3916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 وغيرهما من روايات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نواقض التيمّم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الطهارة الترابيّة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انتقاض التيمّم بكلّ ما ينقض الوضوءوبالتمكّن من استعمال الماء فإن تعذّر وجب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لو كان الماء بعيداً بحيث لو سعى إليه لخرج الوقت فتيمّم وصلّى مع الضيق فلا إعادة عليه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 قوله بعد ذكر الأقوال والروايات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يترجّح القول الثاني، لأنّه رتّب النقض على مجرّد الإصابة أعمّ من أن يمضي زمان يتمكّن فيه من الإتيان بالطهارة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 للبهائي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مجرّد إصابته كافٍ في النقض وإنْ لم يمض زمان يتمكّن فيه من فعل الطهارة المائيّة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حيث فصّل في المسألة أربعة أقوال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يمضي مطلقاً ولو تلبّس بتكبيرة الإحرام،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أعمل</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 العلم والعمل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البهائي العاملي في 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وجدانه بعد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غلب على ظنّه أنّه إن قطع وتطهّر بالماء لم تفته الصّلاة، وجب عليه القطع والطهارة، وإلّا فلا إذا كبّر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الإيراد للسيّد الحكيم قدس سره كما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جمل العلم والعمل، راجع 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8054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صلاة أحدكم الركوع</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8049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ابتداءً من حديث رقم </w:t>
      </w:r>
      <w:r>
        <w:rPr>
          <w:rFonts w:eastAsia="IRNazanin" w:cs="IRNazanin"/>
          <w:b w:val="false"/>
          <w:bCs w:val="false"/>
          <w:i w:val="false"/>
          <w:iCs w:val="false"/>
          <w:color w:val="333333"/>
          <w:sz w:val="20"/>
          <w:szCs w:val="20"/>
        </w:rPr>
        <w:t>10962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الإصباح صاحب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من كان متيمّماً لصلاة قد ضاق وقتها أو نافلة أو لفائتة ثمّ حضر وقت صلاة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التيمّم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17997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الحاوي لابن فهد الحلّي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ويجب تغسيل الميّت لو وجد الماء بعد تيمّمه ولم يدفن فيعاد الصلاة عليه بعد الغُسل</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الدرس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أوجبنا الغسل ففي إعادة الصّلاة إشكال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تيمّم الميّت ثمّ وجد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التيمّم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حكى عن الشيخ قوله بانتقاض التيمّم،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الأقوى عندي</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ابتداءً من حديث رقم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وجده وهو في الصّلاة،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ما لم يركع،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يمضي في صلاته، ولو تلبّس بتكبيرة الإحرام حسب، وهو الأظهر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الأقوال وأدلّتها ومناقشتها، فراجع</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ابتداءً من ح رقم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تعليقه على رواية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التيمّم وأحكامه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تيمّم لفقد الماء وصلّى فلا إعادة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إلّامن تعمّد الجنابة على نفسه فإنّه يصلّي بتيمّم ثمّ يُعيد الصّلاة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فرّط في ذلك حتّى يفوته الماء</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فالأقرب عندي أنّ التأخير مستحبّ والتقديم جائز</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الجواز مع السِّعة قولان، أقواهما الجواز</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والأولى تأخيره إلى آخر وقت الصّلاة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4/468</w:t>
      </w:r>
      <w:r>
        <w:rPr>
          <w:rFonts w:ascii="IRNazanin" w:hAnsi="IRNazanin" w:eastAsia="IRNazanin"/>
          <w:b w:val="false"/>
          <w:b w:val="false"/>
          <w:bCs w:val="false"/>
          <w:i w:val="false"/>
          <w:i w:val="false"/>
          <w:iCs w:val="false"/>
          <w:color w:val="333333"/>
          <w:sz w:val="20"/>
          <w:sz w:val="20"/>
          <w:szCs w:val="20"/>
          <w:rtl w:val="true"/>
        </w:rPr>
        <w:t>، وفي الحاشية في 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جواز التيمّم مع السِّعة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المسألة الحادية والخمسون</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فإنّه بعد ذكر الأقوال تعرّض لقول ابن الجنيد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المعتمد</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السادس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زادت مسافة الطلب على غلوة 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بعد ذكر الأقوال اختار رأي ابن الجنيد من التفصيل بين احتمال إدراك الماء فالانتظار إلى آخر الوقت، ومع اليأس ففي أوّل الوقت</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معاوية بن ميسرة،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الوقت الذي يوجب التيمّم ومن تيمّم ثمّ وجد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إيقاع صلوات كثيرة بتيمّمٍ واحد ما لم يُحْدِث أو يجد الماء</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وأحكامه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وأحكامه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السبزواري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عليه تيمّم فالأوقات كلّها تصلح للتيمّم، صرّح بذلك جماعة من عظماء الأصحاب</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وجوب إعادة الصّلاة الواقعة بالتيمّم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تأخير التيمّم والصّلاة إلى آخر الوقت مع رجاء زوال العذر خاصّة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تيمّم لاستباحة نافلة صحّ نفلاً وذلك وقتها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 من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التيمّم إلّافي آخر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وجوب إعادة الصّلاة الواقعة بالتيمّم</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أحكام التيمّم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جواز التيمّم لكلّ ما يتطهّر له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التيمّم لغاية يستباح به جميع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في ظاهر المنتهى أو صريحه الاتّفاق عليه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ح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ح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التيمّم وأحكامه، قوله بعد ذكر تيمّم الجُنُب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تصنع الحائض والنفساء والمستحاضة، بدلاً من الغسل إذا فقدن الماء أو كان يضرّ بهنّ استعماله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المتيمّم يستبيح ما يستبيحه المتطهّر بالماء</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التيمّم 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مفاتيح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4/516</w:t>
      </w:r>
      <w:r>
        <w:rPr>
          <w:rFonts w:ascii="IRNazanin" w:hAnsi="IRNazanin" w:eastAsia="IRNazanin"/>
          <w:b w:val="false"/>
          <w:b w:val="false"/>
          <w:bCs w:val="false"/>
          <w:i w:val="false"/>
          <w:i w:val="false"/>
          <w:iCs w:val="false"/>
          <w:color w:val="333333"/>
          <w:sz w:val="20"/>
          <w:sz w:val="20"/>
          <w:szCs w:val="20"/>
          <w:rtl w:val="true"/>
        </w:rPr>
        <w:t>، وفي هامشه 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وأيضاً حكاه السيّد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الشهيد في القواعد صاحب المدارك واستحسنه، راجع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اجتمع ميّت، ومُحْدِث، وجُنُب، ومعهم ما يكفي أحدهم فالأشهر من الروايتين اختصاص الجُنُب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ويستحبّ تخصيص الجُنُب بالماء المباح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472</Pages>
  <Words>71706</Words>
  <Characters>322671</Characters>
  <CharactersWithSpaces>390730</CharactersWithSpaces>
  <Paragraphs>4085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2026-08-22T07:45:56Z</dcterms:created>
  <dc:creator>ghaemiyeh.com</dc:creator>
  <dc:description/>
  <dc:language>en-US</dc:language>
  <cp:lastModifiedBy/>
  <dcterms:modified xsi:type="dcterms:W3CDTF">2026-08-22T11:16:14Z</dcterms:modified>
  <cp:revision>1</cp:revision>
  <dc:subject/>
  <dc:title>فقه الصادق علیه السلام جلد 4</dc:title>
</cp:coreProperties>
</file>

<file path=docProps/custom.xml><?xml version="1.0" encoding="utf-8"?>
<Properties xmlns="http://schemas.openxmlformats.org/officeDocument/2006/custom-properties" xmlns:vt="http://schemas.openxmlformats.org/officeDocument/2006/docPropsVTypes"/>
</file>