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6173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6173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61736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10361738_73709187">
            <w:r>
              <w:rPr>
                <w:webHidden/>
                <w:rStyle w:val="IndexLink"/>
                <w:rtl w:val="true"/>
              </w:rPr>
              <w:t>تتمة الباب الثالث في الغسل</w:t>
            </w:r>
            <w:r>
              <w:rPr>
                <w:rStyle w:val="IndexLink"/>
                <w:rtl w:val="true"/>
              </w:rPr>
              <w:tab/>
            </w:r>
            <w:r>
              <w:rPr>
                <w:rStyle w:val="IndexLink"/>
              </w:rPr>
              <w:t>12</w:t>
            </w:r>
          </w:hyperlink>
        </w:p>
        <w:p>
          <w:pPr>
            <w:pStyle w:val="Contents4"/>
            <w:tabs>
              <w:tab w:val="clear" w:pos="8176"/>
              <w:tab w:val="right" w:pos="9026" w:leader="dot"/>
            </w:tabs>
            <w:rPr/>
          </w:pPr>
          <w:hyperlink w:anchor="__RefHeading___Toc10361740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0361742_73709187">
            <w:r>
              <w:rPr>
                <w:webHidden/>
                <w:rStyle w:val="IndexLink"/>
                <w:rtl w:val="true"/>
              </w:rPr>
              <w:t>تتمة الفصل الثاني في الحيض</w:t>
            </w:r>
            <w:r>
              <w:rPr>
                <w:rStyle w:val="IndexLink"/>
                <w:rtl w:val="true"/>
              </w:rPr>
              <w:tab/>
            </w:r>
            <w:r>
              <w:rPr>
                <w:rStyle w:val="IndexLink"/>
              </w:rPr>
              <w:t>12</w:t>
            </w:r>
          </w:hyperlink>
        </w:p>
        <w:p>
          <w:pPr>
            <w:pStyle w:val="Contents5"/>
            <w:tabs>
              <w:tab w:val="clear" w:pos="7892"/>
              <w:tab w:val="right" w:pos="9026" w:leader="dot"/>
            </w:tabs>
            <w:rPr/>
          </w:pPr>
          <w:hyperlink w:anchor="__RefHeading___Toc10361744_73709187">
            <w:r>
              <w:rPr>
                <w:webHidden/>
                <w:rStyle w:val="IndexLink"/>
                <w:rtl w:val="true"/>
              </w:rPr>
              <w:t>فصل في أحكام الحائض</w:t>
            </w:r>
            <w:r>
              <w:rPr>
                <w:rStyle w:val="IndexLink"/>
                <w:rtl w:val="true"/>
              </w:rPr>
              <w:tab/>
            </w:r>
            <w:r>
              <w:rPr>
                <w:rStyle w:val="IndexLink"/>
              </w:rPr>
              <w:t>12</w:t>
            </w:r>
          </w:hyperlink>
        </w:p>
        <w:p>
          <w:pPr>
            <w:pStyle w:val="Contents6"/>
            <w:tabs>
              <w:tab w:val="clear" w:pos="7609"/>
              <w:tab w:val="right" w:pos="9026" w:leader="dot"/>
            </w:tabs>
            <w:rPr/>
          </w:pPr>
          <w:hyperlink w:anchor="__RefHeading___Toc10361746_73709187">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10361748_73709187">
            <w:r>
              <w:rPr>
                <w:webHidden/>
                <w:rStyle w:val="IndexLink"/>
                <w:rtl w:val="true"/>
              </w:rPr>
              <w:t>أحدها</w:t>
            </w:r>
            <w:r>
              <w:rPr>
                <w:rStyle w:val="IndexLink"/>
                <w:rtl w:val="true"/>
              </w:rPr>
              <w:t>: (</w:t>
            </w:r>
            <w:r>
              <w:rPr>
                <w:rStyle w:val="IndexLink"/>
                <w:rtl w:val="true"/>
              </w:rPr>
              <w:t>يحرم عليها دخول المساجد إلّااجتيازاً</w:t>
            </w:r>
            <w:r>
              <w:rPr>
                <w:rStyle w:val="IndexLink"/>
                <w:rtl w:val="true"/>
              </w:rPr>
              <w:t>):</w:t>
              <w:tab/>
            </w:r>
            <w:r>
              <w:rPr>
                <w:rStyle w:val="IndexLink"/>
              </w:rPr>
              <w:t>12</w:t>
            </w:r>
          </w:hyperlink>
        </w:p>
        <w:p>
          <w:pPr>
            <w:pStyle w:val="Contents6"/>
            <w:tabs>
              <w:tab w:val="clear" w:pos="7609"/>
              <w:tab w:val="right" w:pos="9026" w:leader="dot"/>
            </w:tabs>
            <w:rPr/>
          </w:pPr>
          <w:hyperlink w:anchor="__RefHeading___Toc10361750_73709187">
            <w:r>
              <w:rPr>
                <w:webHidden/>
                <w:rStyle w:val="IndexLink"/>
                <w:rtl w:val="true"/>
              </w:rPr>
              <w:t>(</w:t>
            </w:r>
            <w:r>
              <w:rPr>
                <w:rStyle w:val="IndexLink"/>
                <w:rtl w:val="true"/>
              </w:rPr>
              <w:t>و</w:t>
            </w:r>
            <w:r>
              <w:rPr>
                <w:rStyle w:val="IndexLink"/>
                <w:rtl w:val="true"/>
              </w:rPr>
              <w:t xml:space="preserve">) </w:t>
            </w:r>
            <w:r>
              <w:rPr>
                <w:rStyle w:val="IndexLink"/>
                <w:rtl w:val="true"/>
              </w:rPr>
              <w:t>الثاني ممّا يحرم عليها</w:t>
            </w:r>
            <w:r>
              <w:rPr>
                <w:rStyle w:val="IndexLink"/>
                <w:rtl w:val="true"/>
              </w:rPr>
              <w:t>: (</w:t>
            </w:r>
            <w:r>
              <w:rPr>
                <w:rStyle w:val="IndexLink"/>
                <w:rtl w:val="true"/>
              </w:rPr>
              <w:t>قراءة</w:t>
            </w:r>
            <w:r>
              <w:rPr>
                <w:rStyle w:val="IndexLink"/>
                <w:rtl w:val="true"/>
              </w:rPr>
              <w:t xml:space="preserve">) </w:t>
            </w:r>
            <w:r>
              <w:rPr>
                <w:rStyle w:val="IndexLink"/>
                <w:rtl w:val="true"/>
              </w:rPr>
              <w:t xml:space="preserve">سُور </w:t>
            </w:r>
            <w:r>
              <w:rPr>
                <w:rStyle w:val="IndexLink"/>
                <w:rtl w:val="true"/>
              </w:rPr>
              <w:t>(</w:t>
            </w:r>
            <w:r>
              <w:rPr>
                <w:rStyle w:val="IndexLink"/>
                <w:rtl w:val="true"/>
              </w:rPr>
              <w:t>العزائم</w:t>
            </w:r>
            <w:r>
              <w:rPr>
                <w:rStyle w:val="IndexLink"/>
                <w:rtl w:val="true"/>
              </w:rPr>
              <w:t>):</w:t>
              <w:tab/>
            </w:r>
            <w:r>
              <w:rPr>
                <w:rStyle w:val="IndexLink"/>
              </w:rPr>
              <w:t>15</w:t>
            </w:r>
          </w:hyperlink>
        </w:p>
        <w:p>
          <w:pPr>
            <w:pStyle w:val="Contents6"/>
            <w:tabs>
              <w:tab w:val="clear" w:pos="7609"/>
              <w:tab w:val="right" w:pos="9026" w:leader="dot"/>
            </w:tabs>
            <w:rPr/>
          </w:pPr>
          <w:hyperlink w:anchor="__RefHeading___Toc10361752_73709187">
            <w:r>
              <w:rPr>
                <w:webHidden/>
                <w:rStyle w:val="IndexLink"/>
                <w:rtl w:val="true"/>
              </w:rPr>
              <w:t>(</w:t>
            </w:r>
            <w:r>
              <w:rPr>
                <w:rStyle w:val="IndexLink"/>
                <w:rtl w:val="true"/>
              </w:rPr>
              <w:t>و</w:t>
            </w:r>
            <w:r>
              <w:rPr>
                <w:rStyle w:val="IndexLink"/>
                <w:rtl w:val="true"/>
              </w:rPr>
              <w:t xml:space="preserve">) </w:t>
            </w:r>
            <w:r>
              <w:rPr>
                <w:rStyle w:val="IndexLink"/>
                <w:rtl w:val="true"/>
              </w:rPr>
              <w:t>الثالث</w:t>
            </w:r>
            <w:r>
              <w:rPr>
                <w:rStyle w:val="IndexLink"/>
                <w:rtl w:val="true"/>
              </w:rPr>
              <w:t>: (</w:t>
            </w:r>
            <w:r>
              <w:rPr>
                <w:rStyle w:val="IndexLink"/>
                <w:rtl w:val="true"/>
              </w:rPr>
              <w:t>مَسّ كتابة القرآن</w:t>
            </w:r>
            <w:r>
              <w:rPr>
                <w:rStyle w:val="IndexLink"/>
                <w:rtl w:val="true"/>
              </w:rPr>
              <w:t>).</w:t>
              <w:tab/>
            </w:r>
            <w:r>
              <w:rPr>
                <w:rStyle w:val="IndexLink"/>
              </w:rPr>
              <w:t>15</w:t>
            </w:r>
          </w:hyperlink>
        </w:p>
        <w:p>
          <w:pPr>
            <w:pStyle w:val="Contents6"/>
            <w:tabs>
              <w:tab w:val="clear" w:pos="7609"/>
              <w:tab w:val="right" w:pos="9026" w:leader="dot"/>
            </w:tabs>
            <w:rPr/>
          </w:pPr>
          <w:hyperlink w:anchor="__RefHeading___Toc10361754_73709187">
            <w:r>
              <w:rPr>
                <w:webHidden/>
                <w:rStyle w:val="IndexLink"/>
                <w:rtl w:val="true"/>
              </w:rPr>
              <w:t>(</w:t>
            </w:r>
            <w:r>
              <w:rPr>
                <w:rStyle w:val="IndexLink"/>
                <w:rtl w:val="true"/>
              </w:rPr>
              <w:t>و</w:t>
            </w:r>
            <w:r>
              <w:rPr>
                <w:rStyle w:val="IndexLink"/>
                <w:rtl w:val="true"/>
              </w:rPr>
              <w:t xml:space="preserve">) </w:t>
            </w:r>
            <w:r>
              <w:rPr>
                <w:rStyle w:val="IndexLink"/>
                <w:rtl w:val="true"/>
              </w:rPr>
              <w:t>الرابع</w:t>
            </w:r>
            <w:r>
              <w:rPr>
                <w:rStyle w:val="IndexLink"/>
                <w:rtl w:val="true"/>
              </w:rPr>
              <w:t>: (</w:t>
            </w:r>
            <w:r>
              <w:rPr>
                <w:rStyle w:val="IndexLink"/>
                <w:rtl w:val="true"/>
              </w:rPr>
              <w:t>يَحرُم على زوجها وطؤها</w:t>
            </w:r>
            <w:r>
              <w:rPr>
                <w:rStyle w:val="IndexLink"/>
                <w:rtl w:val="true"/>
              </w:rPr>
              <w:t>):</w:t>
              <w:tab/>
            </w:r>
            <w:r>
              <w:rPr>
                <w:rStyle w:val="IndexLink"/>
              </w:rPr>
              <w:t>16</w:t>
            </w:r>
          </w:hyperlink>
        </w:p>
        <w:p>
          <w:pPr>
            <w:pStyle w:val="Contents6"/>
            <w:tabs>
              <w:tab w:val="clear" w:pos="7609"/>
              <w:tab w:val="right" w:pos="9026" w:leader="dot"/>
            </w:tabs>
            <w:rPr/>
          </w:pPr>
          <w:hyperlink w:anchor="__RefHeading___Toc10361756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0361758_73709187">
            <w:r>
              <w:rPr>
                <w:webHidden/>
                <w:rStyle w:val="IndexLink"/>
                <w:rtl w:val="true"/>
              </w:rPr>
              <w:t>فروع</w:t>
            </w:r>
            <w:r>
              <w:rPr>
                <w:rStyle w:val="IndexLink"/>
                <w:rtl w:val="true"/>
              </w:rPr>
              <w:t>:</w:t>
              <w:tab/>
            </w:r>
            <w:r>
              <w:rPr>
                <w:rStyle w:val="IndexLink"/>
              </w:rPr>
              <w:t>17</w:t>
            </w:r>
          </w:hyperlink>
        </w:p>
        <w:p>
          <w:pPr>
            <w:pStyle w:val="Contents6"/>
            <w:tabs>
              <w:tab w:val="clear" w:pos="7609"/>
              <w:tab w:val="right" w:pos="9026" w:leader="dot"/>
            </w:tabs>
            <w:rPr/>
          </w:pPr>
          <w:hyperlink w:anchor="__RefHeading___Toc10361760_73709187">
            <w:r>
              <w:rPr>
                <w:webHidden/>
                <w:rStyle w:val="IndexLink"/>
                <w:rtl w:val="true"/>
              </w:rPr>
              <w:t>عدم الفرق في الحرمة بين الدائمة و المنقطعة و</w:t>
            </w:r>
            <w:r>
              <w:rPr>
                <w:rStyle w:val="IndexLink"/>
                <w:rtl w:val="true"/>
              </w:rPr>
              <w:t>...</w:t>
              <w:tab/>
            </w:r>
            <w:r>
              <w:rPr>
                <w:rStyle w:val="IndexLink"/>
              </w:rPr>
              <w:t>17</w:t>
            </w:r>
          </w:hyperlink>
        </w:p>
        <w:p>
          <w:pPr>
            <w:pStyle w:val="Contents6"/>
            <w:tabs>
              <w:tab w:val="clear" w:pos="7609"/>
              <w:tab w:val="right" w:pos="9026" w:leader="dot"/>
            </w:tabs>
            <w:rPr/>
          </w:pPr>
          <w:hyperlink w:anchor="__RefHeading___Toc10361762_73709187">
            <w:r>
              <w:rPr>
                <w:webHidden/>
                <w:rStyle w:val="IndexLink"/>
                <w:rtl w:val="true"/>
              </w:rPr>
              <w:t>الإستمتاع بما بين السُرّة والرُّكبة</w:t>
            </w:r>
            <w:r>
              <w:rPr>
                <w:rStyle w:val="IndexLink"/>
                <w:rtl w:val="true"/>
              </w:rPr>
              <w:tab/>
            </w:r>
            <w:r>
              <w:rPr>
                <w:rStyle w:val="IndexLink"/>
              </w:rPr>
              <w:t>20</w:t>
            </w:r>
          </w:hyperlink>
        </w:p>
        <w:p>
          <w:pPr>
            <w:pStyle w:val="Contents6"/>
            <w:tabs>
              <w:tab w:val="clear" w:pos="7609"/>
              <w:tab w:val="right" w:pos="9026" w:leader="dot"/>
            </w:tabs>
            <w:rPr/>
          </w:pPr>
          <w:hyperlink w:anchor="__RefHeading___Toc10361764_73709187">
            <w:r>
              <w:rPr>
                <w:webHidden/>
                <w:rStyle w:val="IndexLink"/>
                <w:rtl w:val="true"/>
              </w:rPr>
              <w:t>حكم وطي الحائض لو اشتبه الحال</w:t>
            </w:r>
            <w:r>
              <w:rPr>
                <w:rStyle w:val="IndexLink"/>
                <w:rtl w:val="true"/>
              </w:rPr>
              <w:tab/>
            </w:r>
            <w:r>
              <w:rPr>
                <w:rStyle w:val="IndexLink"/>
              </w:rPr>
              <w:t>24</w:t>
            </w:r>
          </w:hyperlink>
        </w:p>
        <w:p>
          <w:pPr>
            <w:pStyle w:val="Contents6"/>
            <w:tabs>
              <w:tab w:val="clear" w:pos="7609"/>
              <w:tab w:val="right" w:pos="9026" w:leader="dot"/>
            </w:tabs>
            <w:rPr/>
          </w:pPr>
          <w:hyperlink w:anchor="__RefHeading___Toc10361766_73709187">
            <w:r>
              <w:rPr>
                <w:webHidden/>
                <w:rStyle w:val="IndexLink"/>
                <w:rtl w:val="true"/>
              </w:rPr>
              <w:t>في حكم الدّم الخارج عن غير الفرج</w:t>
            </w:r>
            <w:r>
              <w:rPr>
                <w:rStyle w:val="IndexLink"/>
                <w:rtl w:val="true"/>
              </w:rPr>
              <w:tab/>
            </w:r>
            <w:r>
              <w:rPr>
                <w:rStyle w:val="IndexLink"/>
              </w:rPr>
              <w:t>27</w:t>
            </w:r>
          </w:hyperlink>
        </w:p>
        <w:p>
          <w:pPr>
            <w:pStyle w:val="Contents6"/>
            <w:tabs>
              <w:tab w:val="clear" w:pos="7609"/>
              <w:tab w:val="right" w:pos="9026" w:leader="dot"/>
            </w:tabs>
            <w:rPr/>
          </w:pPr>
          <w:hyperlink w:anchor="__RefHeading___Toc10361768_73709187">
            <w:r>
              <w:rPr>
                <w:webHidden/>
                <w:rStyle w:val="IndexLink"/>
                <w:rtl w:val="true"/>
              </w:rPr>
              <w:t>جواز الوطء قبل الغُسل بعد انقطاع الدّم</w:t>
            </w:r>
            <w:r>
              <w:rPr>
                <w:rStyle w:val="IndexLink"/>
                <w:rtl w:val="true"/>
              </w:rPr>
              <w:tab/>
            </w:r>
            <w:r>
              <w:rPr>
                <w:rStyle w:val="IndexLink"/>
              </w:rPr>
              <w:t>28</w:t>
            </w:r>
          </w:hyperlink>
        </w:p>
        <w:p>
          <w:pPr>
            <w:pStyle w:val="Contents6"/>
            <w:tabs>
              <w:tab w:val="clear" w:pos="7609"/>
              <w:tab w:val="right" w:pos="9026" w:leader="dot"/>
            </w:tabs>
            <w:rPr/>
          </w:pPr>
          <w:hyperlink w:anchor="__RefHeading___Toc10361770_73709187">
            <w:r>
              <w:rPr>
                <w:webHidden/>
                <w:rStyle w:val="IndexLink"/>
                <w:rtl w:val="true"/>
              </w:rPr>
              <w:t>اشتراط غَسل الفرج</w:t>
            </w:r>
            <w:r>
              <w:rPr>
                <w:rStyle w:val="IndexLink"/>
                <w:rtl w:val="true"/>
              </w:rPr>
              <w:tab/>
            </w:r>
            <w:r>
              <w:rPr>
                <w:rStyle w:val="IndexLink"/>
              </w:rPr>
              <w:t>34</w:t>
            </w:r>
          </w:hyperlink>
        </w:p>
        <w:p>
          <w:pPr>
            <w:pStyle w:val="Contents6"/>
            <w:tabs>
              <w:tab w:val="clear" w:pos="7609"/>
              <w:tab w:val="right" w:pos="9026" w:leader="dot"/>
            </w:tabs>
            <w:rPr/>
          </w:pPr>
          <w:hyperlink w:anchor="__RefHeading___Toc10361772_73709187">
            <w:r>
              <w:rPr>
                <w:webHidden/>
                <w:rStyle w:val="IndexLink"/>
                <w:rtl w:val="true"/>
              </w:rPr>
              <w:t>يشرع الغَسل لو وجب التمكين</w:t>
            </w:r>
            <w:r>
              <w:rPr>
                <w:rStyle w:val="IndexLink"/>
                <w:rtl w:val="true"/>
              </w:rPr>
              <w:tab/>
            </w:r>
            <w:r>
              <w:rPr>
                <w:rStyle w:val="IndexLink"/>
              </w:rPr>
              <w:t>37</w:t>
            </w:r>
          </w:hyperlink>
        </w:p>
        <w:p>
          <w:pPr>
            <w:pStyle w:val="Contents6"/>
            <w:tabs>
              <w:tab w:val="clear" w:pos="7609"/>
              <w:tab w:val="right" w:pos="9026" w:leader="dot"/>
            </w:tabs>
            <w:rPr/>
          </w:pPr>
          <w:hyperlink w:anchor="__RefHeading___Toc10361774_73709187">
            <w:r>
              <w:rPr>
                <w:webHidden/>
                <w:rStyle w:val="IndexLink"/>
                <w:rtl w:val="true"/>
              </w:rPr>
              <w:t>الوطء مع التيمّم</w:t>
            </w:r>
            <w:r>
              <w:rPr>
                <w:rStyle w:val="IndexLink"/>
                <w:rtl w:val="true"/>
              </w:rPr>
              <w:tab/>
            </w:r>
            <w:r>
              <w:rPr>
                <w:rStyle w:val="IndexLink"/>
              </w:rPr>
              <w:t>39</w:t>
            </w:r>
          </w:hyperlink>
        </w:p>
        <w:p>
          <w:pPr>
            <w:pStyle w:val="Contents6"/>
            <w:tabs>
              <w:tab w:val="clear" w:pos="7609"/>
              <w:tab w:val="right" w:pos="9026" w:leader="dot"/>
            </w:tabs>
            <w:rPr/>
          </w:pPr>
          <w:hyperlink w:anchor="__RefHeading___Toc10361776_73709187">
            <w:r>
              <w:rPr>
                <w:webHidden/>
                <w:rStyle w:val="IndexLink"/>
                <w:rtl w:val="true"/>
              </w:rPr>
              <w:t>الخامس ممّا يحرم على الحائض</w:t>
            </w:r>
            <w:r>
              <w:rPr>
                <w:rStyle w:val="IndexLink"/>
                <w:rtl w:val="true"/>
              </w:rPr>
              <w:t xml:space="preserve">: </w:t>
            </w:r>
            <w:r>
              <w:rPr>
                <w:rStyle w:val="IndexLink"/>
                <w:rtl w:val="true"/>
              </w:rPr>
              <w:t>الوطء عمداً</w:t>
            </w:r>
            <w:r>
              <w:rPr>
                <w:rStyle w:val="IndexLink"/>
                <w:rtl w:val="true"/>
              </w:rPr>
              <w:t>.</w:t>
              <w:tab/>
            </w:r>
            <w:r>
              <w:rPr>
                <w:rStyle w:val="IndexLink"/>
              </w:rPr>
              <w:t>42</w:t>
            </w:r>
          </w:hyperlink>
        </w:p>
        <w:p>
          <w:pPr>
            <w:pStyle w:val="Contents6"/>
            <w:tabs>
              <w:tab w:val="clear" w:pos="7609"/>
              <w:tab w:val="right" w:pos="9026" w:leader="dot"/>
            </w:tabs>
            <w:rPr/>
          </w:pPr>
          <w:hyperlink w:anchor="__RefHeading___Toc10361778_73709187">
            <w:r>
              <w:rPr>
                <w:webHidden/>
                <w:rStyle w:val="IndexLink"/>
                <w:rtl w:val="true"/>
              </w:rPr>
              <w:t>السادس ممّا يترتّب على الحائض</w:t>
            </w:r>
            <w:r>
              <w:rPr>
                <w:rStyle w:val="IndexLink"/>
                <w:rtl w:val="true"/>
              </w:rPr>
              <w:t xml:space="preserve">: </w:t>
            </w:r>
            <w:r>
              <w:rPr>
                <w:rStyle w:val="IndexLink"/>
                <w:rtl w:val="true"/>
              </w:rPr>
              <w:t>الكفّارة</w:t>
            </w:r>
            <w:r>
              <w:rPr>
                <w:rStyle w:val="IndexLink"/>
                <w:rtl w:val="true"/>
              </w:rPr>
              <w:t>.</w:t>
              <w:tab/>
            </w:r>
            <w:r>
              <w:rPr>
                <w:rStyle w:val="IndexLink"/>
              </w:rPr>
              <w:t>44</w:t>
            </w:r>
          </w:hyperlink>
        </w:p>
        <w:p>
          <w:pPr>
            <w:pStyle w:val="Contents6"/>
            <w:tabs>
              <w:tab w:val="clear" w:pos="7609"/>
              <w:tab w:val="right" w:pos="9026" w:leader="dot"/>
            </w:tabs>
            <w:rPr/>
          </w:pPr>
          <w:hyperlink w:anchor="__RefHeading___Toc10361780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0361782_73709187">
            <w:r>
              <w:rPr>
                <w:webHidden/>
                <w:rStyle w:val="IndexLink"/>
                <w:rtl w:val="true"/>
              </w:rPr>
              <w:t>فروع</w:t>
            </w:r>
            <w:r>
              <w:rPr>
                <w:rStyle w:val="IndexLink"/>
                <w:rtl w:val="true"/>
              </w:rPr>
              <w:t>:</w:t>
              <w:tab/>
            </w:r>
            <w:r>
              <w:rPr>
                <w:rStyle w:val="IndexLink"/>
              </w:rPr>
              <w:t>50</w:t>
            </w:r>
          </w:hyperlink>
        </w:p>
        <w:p>
          <w:pPr>
            <w:pStyle w:val="Contents6"/>
            <w:tabs>
              <w:tab w:val="clear" w:pos="7609"/>
              <w:tab w:val="right" w:pos="9026" w:leader="dot"/>
            </w:tabs>
            <w:rPr/>
          </w:pPr>
          <w:hyperlink w:anchor="__RefHeading___Toc10361784_73709187">
            <w:r>
              <w:rPr>
                <w:webHidden/>
                <w:rStyle w:val="IndexLink"/>
                <w:rtl w:val="true"/>
              </w:rPr>
              <w:t>مقدار الكفّارة</w:t>
            </w:r>
            <w:r>
              <w:rPr>
                <w:rStyle w:val="IndexLink"/>
                <w:rtl w:val="true"/>
              </w:rPr>
              <w:tab/>
            </w:r>
            <w:r>
              <w:rPr>
                <w:rStyle w:val="IndexLink"/>
              </w:rPr>
              <w:t>50</w:t>
            </w:r>
          </w:hyperlink>
        </w:p>
        <w:p>
          <w:pPr>
            <w:pStyle w:val="Contents6"/>
            <w:tabs>
              <w:tab w:val="clear" w:pos="7609"/>
              <w:tab w:val="right" w:pos="9026" w:leader="dot"/>
            </w:tabs>
            <w:rPr/>
          </w:pPr>
          <w:hyperlink w:anchor="__RefHeading___Toc10361786_73709187">
            <w:r>
              <w:rPr>
                <w:webHidden/>
                <w:rStyle w:val="IndexLink"/>
                <w:rtl w:val="true"/>
              </w:rPr>
              <w:t>في عمومية الحكم للأجنبية</w:t>
            </w:r>
            <w:r>
              <w:rPr>
                <w:rStyle w:val="IndexLink"/>
                <w:rtl w:val="true"/>
              </w:rPr>
              <w:tab/>
            </w:r>
            <w:r>
              <w:rPr>
                <w:rStyle w:val="IndexLink"/>
              </w:rPr>
              <w:t>51</w:t>
            </w:r>
          </w:hyperlink>
        </w:p>
        <w:p>
          <w:pPr>
            <w:pStyle w:val="Contents6"/>
            <w:tabs>
              <w:tab w:val="clear" w:pos="7609"/>
              <w:tab w:val="right" w:pos="9026" w:leader="dot"/>
            </w:tabs>
            <w:rPr/>
          </w:pPr>
          <w:hyperlink w:anchor="__RefHeading___Toc10361788_7370918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0361790_73709187">
            <w:r>
              <w:rPr>
                <w:webHidden/>
                <w:rStyle w:val="IndexLink"/>
                <w:rtl w:val="true"/>
              </w:rPr>
              <w:t>كفّارة وطء الأمَة</w:t>
            </w:r>
            <w:r>
              <w:rPr>
                <w:rStyle w:val="IndexLink"/>
                <w:rtl w:val="true"/>
              </w:rPr>
              <w:tab/>
            </w:r>
            <w:r>
              <w:rPr>
                <w:rStyle w:val="IndexLink"/>
              </w:rPr>
              <w:t>52</w:t>
            </w:r>
          </w:hyperlink>
        </w:p>
        <w:p>
          <w:pPr>
            <w:pStyle w:val="Contents6"/>
            <w:tabs>
              <w:tab w:val="clear" w:pos="7609"/>
              <w:tab w:val="right" w:pos="9026" w:leader="dot"/>
            </w:tabs>
            <w:rPr/>
          </w:pPr>
          <w:hyperlink w:anchor="__RefHeading___Toc10361792_73709187">
            <w:r>
              <w:rPr>
                <w:webHidden/>
                <w:rStyle w:val="IndexLink"/>
                <w:rtl w:val="true"/>
              </w:rPr>
              <w:t>لا كفّارة على المرأة</w:t>
            </w:r>
            <w:r>
              <w:rPr>
                <w:rStyle w:val="IndexLink"/>
                <w:rtl w:val="true"/>
              </w:rPr>
              <w:tab/>
            </w:r>
            <w:r>
              <w:rPr>
                <w:rStyle w:val="IndexLink"/>
              </w:rPr>
              <w:t>54</w:t>
            </w:r>
          </w:hyperlink>
        </w:p>
        <w:p>
          <w:pPr>
            <w:pStyle w:val="Contents6"/>
            <w:tabs>
              <w:tab w:val="clear" w:pos="7609"/>
              <w:tab w:val="right" w:pos="9026" w:leader="dot"/>
            </w:tabs>
            <w:rPr/>
          </w:pPr>
          <w:hyperlink w:anchor="__RefHeading___Toc10361794_73709187">
            <w:r>
              <w:rPr>
                <w:webHidden/>
                <w:rStyle w:val="IndexLink"/>
                <w:rtl w:val="true"/>
              </w:rPr>
              <w:t>شرائط وجوب الكفّارة</w:t>
            </w:r>
            <w:r>
              <w:rPr>
                <w:rStyle w:val="IndexLink"/>
                <w:rtl w:val="true"/>
              </w:rPr>
              <w:tab/>
            </w:r>
            <w:r>
              <w:rPr>
                <w:rStyle w:val="IndexLink"/>
              </w:rPr>
              <w:t>54</w:t>
            </w:r>
          </w:hyperlink>
        </w:p>
        <w:p>
          <w:pPr>
            <w:pStyle w:val="Contents6"/>
            <w:tabs>
              <w:tab w:val="clear" w:pos="7609"/>
              <w:tab w:val="right" w:pos="9026" w:leader="dot"/>
            </w:tabs>
            <w:rPr/>
          </w:pPr>
          <w:hyperlink w:anchor="__RefHeading___Toc10361796_73709187">
            <w:r>
              <w:rPr>
                <w:webHidden/>
                <w:rStyle w:val="IndexLink"/>
                <w:rtl w:val="true"/>
              </w:rPr>
              <w:t>حكم الوطء في الدبر</w:t>
            </w:r>
            <w:r>
              <w:rPr>
                <w:rStyle w:val="IndexLink"/>
                <w:rtl w:val="true"/>
              </w:rPr>
              <w:tab/>
            </w:r>
            <w:r>
              <w:rPr>
                <w:rStyle w:val="IndexLink"/>
              </w:rPr>
              <w:t>55</w:t>
            </w:r>
          </w:hyperlink>
        </w:p>
        <w:p>
          <w:pPr>
            <w:pStyle w:val="Contents6"/>
            <w:tabs>
              <w:tab w:val="clear" w:pos="7609"/>
              <w:tab w:val="right" w:pos="9026" w:leader="dot"/>
            </w:tabs>
            <w:rPr/>
          </w:pPr>
          <w:hyperlink w:anchor="__RefHeading___Toc10361798_73709187">
            <w:r>
              <w:rPr>
                <w:webHidden/>
                <w:rStyle w:val="IndexLink"/>
                <w:rtl w:val="true"/>
              </w:rPr>
              <w:t>حكم وطء المرأة الميتة</w:t>
            </w:r>
            <w:r>
              <w:rPr>
                <w:rStyle w:val="IndexLink"/>
                <w:rtl w:val="true"/>
              </w:rPr>
              <w:tab/>
            </w:r>
            <w:r>
              <w:rPr>
                <w:rStyle w:val="IndexLink"/>
              </w:rPr>
              <w:t>56</w:t>
            </w:r>
          </w:hyperlink>
        </w:p>
        <w:p>
          <w:pPr>
            <w:pStyle w:val="Contents6"/>
            <w:tabs>
              <w:tab w:val="clear" w:pos="7609"/>
              <w:tab w:val="right" w:pos="9026" w:leader="dot"/>
            </w:tabs>
            <w:rPr/>
          </w:pPr>
          <w:hyperlink w:anchor="__RefHeading___Toc10361800_73709187">
            <w:r>
              <w:rPr>
                <w:webHidden/>
                <w:rStyle w:val="IndexLink"/>
                <w:rtl w:val="true"/>
              </w:rPr>
              <w:t>جواز إعطاء قيمة الدينار</w:t>
            </w:r>
            <w:r>
              <w:rPr>
                <w:rStyle w:val="IndexLink"/>
                <w:rtl w:val="true"/>
              </w:rPr>
              <w:tab/>
            </w:r>
            <w:r>
              <w:rPr>
                <w:rStyle w:val="IndexLink"/>
              </w:rPr>
              <w:t>57</w:t>
            </w:r>
          </w:hyperlink>
        </w:p>
        <w:p>
          <w:pPr>
            <w:pStyle w:val="Contents6"/>
            <w:tabs>
              <w:tab w:val="clear" w:pos="7609"/>
              <w:tab w:val="right" w:pos="9026" w:leader="dot"/>
            </w:tabs>
            <w:rPr/>
          </w:pPr>
          <w:hyperlink w:anchor="__RefHeading___Toc10361802_73709187">
            <w:r>
              <w:rPr>
                <w:webHidden/>
                <w:rStyle w:val="IndexLink"/>
                <w:rtl w:val="true"/>
              </w:rPr>
              <w:t>يعتبر إعطاء كفّارة الأمداد، لثلاثة مساكين</w:t>
            </w:r>
            <w:r>
              <w:rPr>
                <w:rStyle w:val="IndexLink"/>
                <w:rtl w:val="true"/>
              </w:rPr>
              <w:tab/>
            </w:r>
            <w:r>
              <w:rPr>
                <w:rStyle w:val="IndexLink"/>
              </w:rPr>
              <w:t>60</w:t>
            </w:r>
          </w:hyperlink>
        </w:p>
        <w:p>
          <w:pPr>
            <w:pStyle w:val="Contents6"/>
            <w:tabs>
              <w:tab w:val="clear" w:pos="7609"/>
              <w:tab w:val="right" w:pos="9026" w:leader="dot"/>
            </w:tabs>
            <w:rPr/>
          </w:pPr>
          <w:hyperlink w:anchor="__RefHeading___Toc10361804_73709187">
            <w:r>
              <w:rPr>
                <w:webHidden/>
                <w:rStyle w:val="IndexLink"/>
                <w:rtl w:val="true"/>
              </w:rPr>
              <w:t>حكم تكرّر الوطء</w:t>
            </w:r>
            <w:r>
              <w:rPr>
                <w:rStyle w:val="IndexLink"/>
                <w:rtl w:val="true"/>
              </w:rPr>
              <w:tab/>
            </w:r>
            <w:r>
              <w:rPr>
                <w:rStyle w:val="IndexLink"/>
              </w:rPr>
              <w:t>60</w:t>
            </w:r>
          </w:hyperlink>
        </w:p>
        <w:p>
          <w:pPr>
            <w:pStyle w:val="Contents6"/>
            <w:tabs>
              <w:tab w:val="clear" w:pos="7609"/>
              <w:tab w:val="right" w:pos="9026" w:leader="dot"/>
            </w:tabs>
            <w:rPr/>
          </w:pPr>
          <w:hyperlink w:anchor="__RefHeading___Toc10361806_73709187">
            <w:r>
              <w:rPr>
                <w:webHidden/>
                <w:rStyle w:val="IndexLink"/>
                <w:rtl w:val="true"/>
              </w:rPr>
              <w:t>حكم النَفساء</w:t>
            </w:r>
            <w:r>
              <w:rPr>
                <w:rStyle w:val="IndexLink"/>
                <w:rtl w:val="true"/>
              </w:rPr>
              <w:tab/>
            </w:r>
            <w:r>
              <w:rPr>
                <w:rStyle w:val="IndexLink"/>
              </w:rPr>
              <w:t>65</w:t>
            </w:r>
          </w:hyperlink>
        </w:p>
        <w:p>
          <w:pPr>
            <w:pStyle w:val="Contents6"/>
            <w:tabs>
              <w:tab w:val="clear" w:pos="7609"/>
              <w:tab w:val="right" w:pos="9026" w:leader="dot"/>
            </w:tabs>
            <w:rPr/>
          </w:pPr>
          <w:hyperlink w:anchor="__RefHeading___Toc10361808_73709187">
            <w:r>
              <w:rPr>
                <w:webHidden/>
                <w:rStyle w:val="IndexLink"/>
                <w:rtl w:val="true"/>
              </w:rPr>
              <w:t>السابع</w:t>
            </w:r>
            <w:r>
              <w:rPr>
                <w:rStyle w:val="IndexLink"/>
                <w:rtl w:val="true"/>
              </w:rPr>
              <w:t xml:space="preserve">: </w:t>
            </w:r>
            <w:r>
              <w:rPr>
                <w:rStyle w:val="IndexLink"/>
                <w:rtl w:val="true"/>
              </w:rPr>
              <w:t>سقوط الصلاة والصوم عنها ولا ينعقد لها صلاةٌ ولا صوم</w:t>
            </w:r>
            <w:r>
              <w:rPr>
                <w:rStyle w:val="IndexLink"/>
                <w:rtl w:val="true"/>
              </w:rPr>
              <w:t>.</w:t>
              <w:tab/>
            </w:r>
            <w:r>
              <w:rPr>
                <w:rStyle w:val="IndexLink"/>
              </w:rPr>
              <w:t>68</w:t>
            </w:r>
          </w:hyperlink>
        </w:p>
        <w:p>
          <w:pPr>
            <w:pStyle w:val="Contents6"/>
            <w:tabs>
              <w:tab w:val="clear" w:pos="7609"/>
              <w:tab w:val="right" w:pos="9026" w:leader="dot"/>
            </w:tabs>
            <w:rPr/>
          </w:pPr>
          <w:hyperlink w:anchor="__RefHeading___Toc10361810_73709187">
            <w:r>
              <w:rPr>
                <w:webHidden/>
                <w:rStyle w:val="IndexLink"/>
                <w:rtl w:val="true"/>
              </w:rPr>
              <w:t>حرمة العبادات المشروطة بالطهارة عليها</w:t>
            </w:r>
            <w:r>
              <w:rPr>
                <w:rStyle w:val="IndexLink"/>
                <w:rtl w:val="true"/>
              </w:rPr>
              <w:tab/>
            </w:r>
            <w:r>
              <w:rPr>
                <w:rStyle w:val="IndexLink"/>
              </w:rPr>
              <w:t>68</w:t>
            </w:r>
          </w:hyperlink>
        </w:p>
        <w:p>
          <w:pPr>
            <w:pStyle w:val="Contents6"/>
            <w:tabs>
              <w:tab w:val="clear" w:pos="7609"/>
              <w:tab w:val="right" w:pos="9026" w:leader="dot"/>
            </w:tabs>
            <w:rPr/>
          </w:pPr>
          <w:hyperlink w:anchor="__RefHeading___Toc10361812_73709187">
            <w:r>
              <w:rPr>
                <w:webHidden/>
                <w:rStyle w:val="IndexLink"/>
                <w:rtl w:val="true"/>
              </w:rPr>
              <w:t>ثمرة الخلاف في كون الحرمة ذاتيّة أو تشريعيّة</w:t>
            </w:r>
            <w:r>
              <w:rPr>
                <w:rStyle w:val="IndexLink"/>
                <w:rtl w:val="true"/>
              </w:rPr>
              <w:tab/>
            </w:r>
            <w:r>
              <w:rPr>
                <w:rStyle w:val="IndexLink"/>
              </w:rPr>
              <w:t>70</w:t>
            </w:r>
          </w:hyperlink>
        </w:p>
        <w:p>
          <w:pPr>
            <w:pStyle w:val="Contents6"/>
            <w:tabs>
              <w:tab w:val="clear" w:pos="7609"/>
              <w:tab w:val="right" w:pos="9026" w:leader="dot"/>
            </w:tabs>
            <w:rPr/>
          </w:pPr>
          <w:hyperlink w:anchor="__RefHeading___Toc10361814_73709187">
            <w:r>
              <w:rPr>
                <w:webHidden/>
                <w:rStyle w:val="IndexLink"/>
                <w:rtl w:val="true"/>
              </w:rPr>
              <w:t>أدلّة الطرفين</w:t>
            </w:r>
            <w:r>
              <w:rPr>
                <w:rStyle w:val="IndexLink"/>
                <w:rtl w:val="true"/>
              </w:rPr>
              <w:tab/>
            </w:r>
            <w:r>
              <w:rPr>
                <w:rStyle w:val="IndexLink"/>
              </w:rPr>
              <w:t>71</w:t>
            </w:r>
          </w:hyperlink>
        </w:p>
        <w:p>
          <w:pPr>
            <w:pStyle w:val="Contents6"/>
            <w:tabs>
              <w:tab w:val="clear" w:pos="7609"/>
              <w:tab w:val="right" w:pos="9026" w:leader="dot"/>
            </w:tabs>
            <w:rPr/>
          </w:pPr>
          <w:hyperlink w:anchor="__RefHeading___Toc10361816_73709187">
            <w:r>
              <w:rPr>
                <w:webHidden/>
                <w:rStyle w:val="IndexLink"/>
                <w:rtl w:val="true"/>
              </w:rPr>
              <w:t>الثامن</w:t>
            </w:r>
            <w:r>
              <w:rPr>
                <w:rStyle w:val="IndexLink"/>
                <w:rtl w:val="true"/>
              </w:rPr>
              <w:t xml:space="preserve">: </w:t>
            </w:r>
            <w:r>
              <w:rPr>
                <w:rStyle w:val="IndexLink"/>
                <w:rtl w:val="true"/>
              </w:rPr>
              <w:t>عدم انعقاد الطهارة الرافعة للحدَث لها ولا طهارةٍ رافعةٍ للحَدَث</w:t>
            </w:r>
            <w:r>
              <w:rPr>
                <w:rStyle w:val="IndexLink"/>
                <w:rtl w:val="true"/>
              </w:rPr>
              <w:t>.</w:t>
              <w:tab/>
            </w:r>
            <w:r>
              <w:rPr>
                <w:rStyle w:val="IndexLink"/>
              </w:rPr>
              <w:t>74</w:t>
            </w:r>
          </w:hyperlink>
        </w:p>
        <w:p>
          <w:pPr>
            <w:pStyle w:val="Contents6"/>
            <w:tabs>
              <w:tab w:val="clear" w:pos="7609"/>
              <w:tab w:val="right" w:pos="9026" w:leader="dot"/>
            </w:tabs>
            <w:rPr/>
          </w:pPr>
          <w:hyperlink w:anchor="__RefHeading___Toc10361818_73709187">
            <w:r>
              <w:rPr>
                <w:webHidden/>
                <w:rStyle w:val="IndexLink"/>
                <w:rtl w:val="true"/>
              </w:rPr>
              <w:t>إرتفاع الحَدَث مع الحيض</w:t>
            </w:r>
            <w:r>
              <w:rPr>
                <w:rStyle w:val="IndexLink"/>
                <w:rtl w:val="true"/>
              </w:rPr>
              <w:tab/>
            </w:r>
            <w:r>
              <w:rPr>
                <w:rStyle w:val="IndexLink"/>
              </w:rPr>
              <w:t>74</w:t>
            </w:r>
          </w:hyperlink>
        </w:p>
        <w:p>
          <w:pPr>
            <w:pStyle w:val="Contents6"/>
            <w:tabs>
              <w:tab w:val="clear" w:pos="7609"/>
              <w:tab w:val="right" w:pos="9026" w:leader="dot"/>
            </w:tabs>
            <w:rPr/>
          </w:pPr>
          <w:hyperlink w:anchor="__RefHeading___Toc10361820_73709187">
            <w:r>
              <w:rPr>
                <w:webHidden/>
                <w:rStyle w:val="IndexLink"/>
                <w:rtl w:val="true"/>
              </w:rPr>
              <w:t>التاسع</w:t>
            </w:r>
            <w:r>
              <w:rPr>
                <w:rStyle w:val="IndexLink"/>
                <w:rtl w:val="true"/>
              </w:rPr>
              <w:t xml:space="preserve">: </w:t>
            </w:r>
            <w:r>
              <w:rPr>
                <w:rStyle w:val="IndexLink"/>
                <w:rtl w:val="true"/>
              </w:rPr>
              <w:t>بطلان طواف الحائض ولا طواف</w:t>
            </w:r>
            <w:r>
              <w:rPr>
                <w:rStyle w:val="IndexLink"/>
                <w:rtl w:val="true"/>
              </w:rPr>
              <w:t>.</w:t>
              <w:tab/>
            </w:r>
            <w:r>
              <w:rPr>
                <w:rStyle w:val="IndexLink"/>
              </w:rPr>
              <w:t>78</w:t>
            </w:r>
          </w:hyperlink>
        </w:p>
        <w:p>
          <w:pPr>
            <w:pStyle w:val="Contents6"/>
            <w:tabs>
              <w:tab w:val="clear" w:pos="7609"/>
              <w:tab w:val="right" w:pos="9026" w:leader="dot"/>
            </w:tabs>
            <w:rPr/>
          </w:pPr>
          <w:hyperlink w:anchor="__RefHeading___Toc10361822_73709187">
            <w:r>
              <w:rPr>
                <w:webHidden/>
                <w:rStyle w:val="IndexLink"/>
                <w:rtl w:val="true"/>
              </w:rPr>
              <w:t>حكم طواف الحائض</w:t>
            </w:r>
            <w:r>
              <w:rPr>
                <w:rStyle w:val="IndexLink"/>
                <w:rtl w:val="true"/>
              </w:rPr>
              <w:tab/>
            </w:r>
            <w:r>
              <w:rPr>
                <w:rStyle w:val="IndexLink"/>
              </w:rPr>
              <w:t>78</w:t>
            </w:r>
          </w:hyperlink>
        </w:p>
        <w:p>
          <w:pPr>
            <w:pStyle w:val="Contents6"/>
            <w:tabs>
              <w:tab w:val="clear" w:pos="7609"/>
              <w:tab w:val="right" w:pos="9026" w:leader="dot"/>
            </w:tabs>
            <w:rPr/>
          </w:pPr>
          <w:hyperlink w:anchor="__RefHeading___Toc10361824_73709187">
            <w:r>
              <w:rPr>
                <w:webHidden/>
                <w:rStyle w:val="IndexLink"/>
                <w:rtl w:val="true"/>
              </w:rPr>
              <w:t>العاشر</w:t>
            </w:r>
            <w:r>
              <w:rPr>
                <w:rStyle w:val="IndexLink"/>
                <w:rtl w:val="true"/>
              </w:rPr>
              <w:t xml:space="preserve">: </w:t>
            </w:r>
            <w:r>
              <w:rPr>
                <w:rStyle w:val="IndexLink"/>
                <w:rtl w:val="true"/>
              </w:rPr>
              <w:t>لا يصحّ منها اعتكاف</w:t>
            </w:r>
            <w:r>
              <w:rPr>
                <w:rStyle w:val="IndexLink"/>
                <w:rtl w:val="true"/>
              </w:rPr>
              <w:tab/>
            </w:r>
            <w:r>
              <w:rPr>
                <w:rStyle w:val="IndexLink"/>
              </w:rPr>
              <w:t>79</w:t>
            </w:r>
          </w:hyperlink>
        </w:p>
        <w:p>
          <w:pPr>
            <w:pStyle w:val="Contents6"/>
            <w:tabs>
              <w:tab w:val="clear" w:pos="7609"/>
              <w:tab w:val="right" w:pos="9026" w:leader="dot"/>
            </w:tabs>
            <w:rPr/>
          </w:pPr>
          <w:hyperlink w:anchor="__RefHeading___Toc10361826_73709187">
            <w:r>
              <w:rPr>
                <w:webHidden/>
                <w:rStyle w:val="IndexLink"/>
                <w:rtl w:val="true"/>
              </w:rPr>
              <w:t>الحادي عشر</w:t>
            </w:r>
            <w:r>
              <w:rPr>
                <w:rStyle w:val="IndexLink"/>
                <w:rtl w:val="true"/>
              </w:rPr>
              <w:t xml:space="preserve">: </w:t>
            </w:r>
            <w:r>
              <w:rPr>
                <w:rStyle w:val="IndexLink"/>
                <w:rtl w:val="true"/>
              </w:rPr>
              <w:t>ولا يصحّ طلاقها ولا يصحّ طلاقها</w:t>
            </w:r>
            <w:r>
              <w:rPr>
                <w:rStyle w:val="IndexLink"/>
                <w:rtl w:val="true"/>
              </w:rPr>
              <w:t>.</w:t>
              <w:tab/>
            </w:r>
            <w:r>
              <w:rPr>
                <w:rStyle w:val="IndexLink"/>
              </w:rPr>
              <w:t>80</w:t>
            </w:r>
          </w:hyperlink>
        </w:p>
        <w:p>
          <w:pPr>
            <w:pStyle w:val="Contents6"/>
            <w:tabs>
              <w:tab w:val="clear" w:pos="7609"/>
              <w:tab w:val="right" w:pos="9026" w:leader="dot"/>
            </w:tabs>
            <w:rPr/>
          </w:pPr>
          <w:hyperlink w:anchor="__RefHeading___Toc10361828_73709187">
            <w:r>
              <w:rPr>
                <w:webHidden/>
                <w:rStyle w:val="IndexLink"/>
                <w:rtl w:val="true"/>
              </w:rPr>
              <w:t>بطلان طلاق الحائض</w:t>
            </w:r>
            <w:r>
              <w:rPr>
                <w:rStyle w:val="IndexLink"/>
                <w:rtl w:val="true"/>
              </w:rPr>
              <w:tab/>
            </w:r>
            <w:r>
              <w:rPr>
                <w:rStyle w:val="IndexLink"/>
              </w:rPr>
              <w:t>80</w:t>
            </w:r>
          </w:hyperlink>
        </w:p>
        <w:p>
          <w:pPr>
            <w:pStyle w:val="Contents6"/>
            <w:tabs>
              <w:tab w:val="clear" w:pos="7609"/>
              <w:tab w:val="right" w:pos="9026" w:leader="dot"/>
            </w:tabs>
            <w:rPr/>
          </w:pPr>
          <w:hyperlink w:anchor="__RefHeading___Toc10361830_73709187">
            <w:r>
              <w:rPr>
                <w:webHidden/>
                <w:rStyle w:val="IndexLink"/>
                <w:rtl w:val="true"/>
              </w:rPr>
              <w:t>الثاني عشر</w:t>
            </w:r>
            <w:r>
              <w:rPr>
                <w:rStyle w:val="IndexLink"/>
                <w:rtl w:val="true"/>
              </w:rPr>
              <w:t xml:space="preserve">: </w:t>
            </w:r>
            <w:r>
              <w:rPr>
                <w:rStyle w:val="IndexLink"/>
                <w:rtl w:val="true"/>
              </w:rPr>
              <w:t>ولا يجب عليها قضاء الصّلاة ولا يجب عليها قضاء الصّلاة</w:t>
            </w:r>
            <w:r>
              <w:rPr>
                <w:rStyle w:val="IndexLink"/>
                <w:rtl w:val="true"/>
              </w:rPr>
              <w:t>.</w:t>
              <w:tab/>
            </w:r>
            <w:r>
              <w:rPr>
                <w:rStyle w:val="IndexLink"/>
              </w:rPr>
              <w:t>82</w:t>
            </w:r>
          </w:hyperlink>
        </w:p>
        <w:p>
          <w:pPr>
            <w:pStyle w:val="Contents6"/>
            <w:tabs>
              <w:tab w:val="clear" w:pos="7609"/>
              <w:tab w:val="right" w:pos="9026" w:leader="dot"/>
            </w:tabs>
            <w:rPr/>
          </w:pPr>
          <w:hyperlink w:anchor="__RefHeading___Toc10361832_73709187">
            <w:r>
              <w:rPr>
                <w:webHidden/>
                <w:rStyle w:val="IndexLink"/>
                <w:rtl w:val="true"/>
              </w:rPr>
              <w:t>سقوط قضاء الصّلاة عنها</w:t>
            </w:r>
            <w:r>
              <w:rPr>
                <w:rStyle w:val="IndexLink"/>
                <w:rtl w:val="true"/>
              </w:rPr>
              <w:tab/>
            </w:r>
            <w:r>
              <w:rPr>
                <w:rStyle w:val="IndexLink"/>
              </w:rPr>
              <w:t>82</w:t>
            </w:r>
          </w:hyperlink>
        </w:p>
        <w:p>
          <w:pPr>
            <w:pStyle w:val="Contents6"/>
            <w:tabs>
              <w:tab w:val="clear" w:pos="7609"/>
              <w:tab w:val="right" w:pos="9026" w:leader="dot"/>
            </w:tabs>
            <w:rPr/>
          </w:pPr>
          <w:hyperlink w:anchor="__RefHeading___Toc10361834_73709187">
            <w:r>
              <w:rPr>
                <w:webHidden/>
                <w:rStyle w:val="IndexLink"/>
                <w:rtl w:val="true"/>
              </w:rPr>
              <w:t>فروع</w:t>
            </w:r>
            <w:r>
              <w:rPr>
                <w:rStyle w:val="IndexLink"/>
                <w:rtl w:val="true"/>
              </w:rPr>
              <w:t>:</w:t>
              <w:tab/>
            </w:r>
            <w:r>
              <w:rPr>
                <w:rStyle w:val="IndexLink"/>
              </w:rPr>
              <w:t>86</w:t>
            </w:r>
          </w:hyperlink>
        </w:p>
        <w:p>
          <w:pPr>
            <w:pStyle w:val="Contents6"/>
            <w:tabs>
              <w:tab w:val="clear" w:pos="7609"/>
              <w:tab w:val="right" w:pos="9026" w:leader="dot"/>
            </w:tabs>
            <w:rPr/>
          </w:pPr>
          <w:hyperlink w:anchor="__RefHeading___Toc10361836_73709187">
            <w:r>
              <w:rPr>
                <w:webHidden/>
                <w:rStyle w:val="IndexLink"/>
                <w:rtl w:val="true"/>
              </w:rPr>
              <w:t>الحيض بعد دخول وقت الصّلاة</w:t>
            </w:r>
            <w:r>
              <w:rPr>
                <w:rStyle w:val="IndexLink"/>
                <w:rtl w:val="true"/>
              </w:rPr>
              <w:tab/>
            </w:r>
            <w:r>
              <w:rPr>
                <w:rStyle w:val="IndexLink"/>
              </w:rPr>
              <w:t>86</w:t>
            </w:r>
          </w:hyperlink>
        </w:p>
        <w:p>
          <w:pPr>
            <w:pStyle w:val="Contents6"/>
            <w:tabs>
              <w:tab w:val="clear" w:pos="7609"/>
              <w:tab w:val="right" w:pos="9026" w:leader="dot"/>
            </w:tabs>
            <w:rPr/>
          </w:pPr>
          <w:hyperlink w:anchor="__RefHeading___Toc10361838_7370918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0361840_73709187">
            <w:r>
              <w:rPr>
                <w:webHidden/>
                <w:rStyle w:val="IndexLink"/>
                <w:rtl w:val="true"/>
              </w:rPr>
              <w:t>الحيض بعدما يسع الصّلاة الاضطراريّة</w:t>
            </w:r>
            <w:r>
              <w:rPr>
                <w:rStyle w:val="IndexLink"/>
                <w:rtl w:val="true"/>
              </w:rPr>
              <w:tab/>
            </w:r>
            <w:r>
              <w:rPr>
                <w:rStyle w:val="IndexLink"/>
              </w:rPr>
              <w:t>91</w:t>
            </w:r>
          </w:hyperlink>
        </w:p>
        <w:p>
          <w:pPr>
            <w:pStyle w:val="Contents6"/>
            <w:tabs>
              <w:tab w:val="clear" w:pos="7609"/>
              <w:tab w:val="right" w:pos="9026" w:leader="dot"/>
            </w:tabs>
            <w:rPr/>
          </w:pPr>
          <w:hyperlink w:anchor="__RefHeading___Toc10361842_73709187">
            <w:r>
              <w:rPr>
                <w:webHidden/>
                <w:rStyle w:val="IndexLink"/>
                <w:rtl w:val="true"/>
              </w:rPr>
              <w:t>حكم عدم إدراك الحائض شيئاً من الصّلاة</w:t>
            </w:r>
            <w:r>
              <w:rPr>
                <w:rStyle w:val="IndexLink"/>
                <w:rtl w:val="true"/>
              </w:rPr>
              <w:tab/>
            </w:r>
            <w:r>
              <w:rPr>
                <w:rStyle w:val="IndexLink"/>
              </w:rPr>
              <w:t>95</w:t>
            </w:r>
          </w:hyperlink>
        </w:p>
        <w:p>
          <w:pPr>
            <w:pStyle w:val="Contents6"/>
            <w:tabs>
              <w:tab w:val="clear" w:pos="7609"/>
              <w:tab w:val="right" w:pos="9026" w:leader="dot"/>
            </w:tabs>
            <w:rPr/>
          </w:pPr>
          <w:hyperlink w:anchor="__RefHeading___Toc10361844_73709187">
            <w:r>
              <w:rPr>
                <w:webHidden/>
                <w:rStyle w:val="IndexLink"/>
                <w:rtl w:val="true"/>
              </w:rPr>
              <w:t>الطُهر قبل خروج الوقت</w:t>
            </w:r>
            <w:r>
              <w:rPr>
                <w:rStyle w:val="IndexLink"/>
                <w:rtl w:val="true"/>
              </w:rPr>
              <w:tab/>
            </w:r>
            <w:r>
              <w:rPr>
                <w:rStyle w:val="IndexLink"/>
              </w:rPr>
              <w:t>97</w:t>
            </w:r>
          </w:hyperlink>
        </w:p>
        <w:p>
          <w:pPr>
            <w:pStyle w:val="Contents6"/>
            <w:tabs>
              <w:tab w:val="clear" w:pos="7609"/>
              <w:tab w:val="right" w:pos="9026" w:leader="dot"/>
            </w:tabs>
            <w:rPr/>
          </w:pPr>
          <w:hyperlink w:anchor="__RefHeading___Toc10361846_73709187">
            <w:r>
              <w:rPr>
                <w:webHidden/>
                <w:rStyle w:val="IndexLink"/>
                <w:rtl w:val="true"/>
              </w:rPr>
              <w:t>لو شكّت في سعة الوقت</w:t>
            </w:r>
            <w:r>
              <w:rPr>
                <w:rStyle w:val="IndexLink"/>
                <w:rtl w:val="true"/>
              </w:rPr>
              <w:tab/>
            </w:r>
            <w:r>
              <w:rPr>
                <w:rStyle w:val="IndexLink"/>
              </w:rPr>
              <w:t>101</w:t>
            </w:r>
          </w:hyperlink>
        </w:p>
        <w:p>
          <w:pPr>
            <w:pStyle w:val="Contents6"/>
            <w:tabs>
              <w:tab w:val="clear" w:pos="7609"/>
              <w:tab w:val="right" w:pos="9026" w:leader="dot"/>
            </w:tabs>
            <w:rPr/>
          </w:pPr>
          <w:hyperlink w:anchor="__RefHeading___Toc10361848_73709187">
            <w:r>
              <w:rPr>
                <w:webHidden/>
                <w:rStyle w:val="IndexLink"/>
                <w:rtl w:val="true"/>
              </w:rPr>
              <w:t>حكم من وظيفتها التيمّم</w:t>
            </w:r>
            <w:r>
              <w:rPr>
                <w:rStyle w:val="IndexLink"/>
                <w:rtl w:val="true"/>
              </w:rPr>
              <w:tab/>
            </w:r>
            <w:r>
              <w:rPr>
                <w:rStyle w:val="IndexLink"/>
              </w:rPr>
              <w:t>102</w:t>
            </w:r>
          </w:hyperlink>
        </w:p>
        <w:p>
          <w:pPr>
            <w:pStyle w:val="Contents6"/>
            <w:tabs>
              <w:tab w:val="clear" w:pos="7609"/>
              <w:tab w:val="right" w:pos="9026" w:leader="dot"/>
            </w:tabs>
            <w:rPr/>
          </w:pPr>
          <w:hyperlink w:anchor="__RefHeading___Toc10361850_73709187">
            <w:r>
              <w:rPr>
                <w:webHidden/>
                <w:rStyle w:val="IndexLink"/>
                <w:rtl w:val="true"/>
              </w:rPr>
              <w:t>الثالث عشر</w:t>
            </w:r>
            <w:r>
              <w:rPr>
                <w:rStyle w:val="IndexLink"/>
                <w:rtl w:val="true"/>
              </w:rPr>
              <w:t xml:space="preserve">: </w:t>
            </w:r>
            <w:r>
              <w:rPr>
                <w:rStyle w:val="IndexLink"/>
                <w:rtl w:val="true"/>
              </w:rPr>
              <w:t>ويجب عليها قضاء الصوم ويَجبُ عليها قضاء الصوم</w:t>
            </w:r>
            <w:r>
              <w:rPr>
                <w:rStyle w:val="IndexLink"/>
                <w:rtl w:val="true"/>
              </w:rPr>
              <w:t>.</w:t>
              <w:tab/>
            </w:r>
            <w:r>
              <w:rPr>
                <w:rStyle w:val="IndexLink"/>
              </w:rPr>
              <w:t>103</w:t>
            </w:r>
          </w:hyperlink>
        </w:p>
        <w:p>
          <w:pPr>
            <w:pStyle w:val="Contents6"/>
            <w:tabs>
              <w:tab w:val="clear" w:pos="7609"/>
              <w:tab w:val="right" w:pos="9026" w:leader="dot"/>
            </w:tabs>
            <w:rPr/>
          </w:pPr>
          <w:hyperlink w:anchor="__RefHeading___Toc10361852_73709187">
            <w:r>
              <w:rPr>
                <w:webHidden/>
                <w:rStyle w:val="IndexLink"/>
                <w:rtl w:val="true"/>
              </w:rPr>
              <w:t>وجوب قضاء الصّوم على الحائض</w:t>
            </w:r>
            <w:r>
              <w:rPr>
                <w:rStyle w:val="IndexLink"/>
                <w:rtl w:val="true"/>
              </w:rPr>
              <w:tab/>
            </w:r>
            <w:r>
              <w:rPr>
                <w:rStyle w:val="IndexLink"/>
              </w:rPr>
              <w:t>103</w:t>
            </w:r>
          </w:hyperlink>
        </w:p>
        <w:p>
          <w:pPr>
            <w:pStyle w:val="Contents6"/>
            <w:tabs>
              <w:tab w:val="clear" w:pos="7609"/>
              <w:tab w:val="right" w:pos="9026" w:leader="dot"/>
            </w:tabs>
            <w:rPr/>
          </w:pPr>
          <w:hyperlink w:anchor="__RefHeading___Toc10361854_73709187">
            <w:r>
              <w:rPr>
                <w:webHidden/>
                <w:rStyle w:val="IndexLink"/>
                <w:rtl w:val="true"/>
              </w:rPr>
              <w:t>الرابع عشر</w:t>
            </w:r>
            <w:r>
              <w:rPr>
                <w:rStyle w:val="IndexLink"/>
                <w:rtl w:val="true"/>
              </w:rPr>
              <w:t xml:space="preserve">: </w:t>
            </w:r>
            <w:r>
              <w:rPr>
                <w:rStyle w:val="IndexLink"/>
                <w:rtl w:val="true"/>
              </w:rPr>
              <w:t>إذا طَهُرت، وَجَب عليها الغُسل</w:t>
            </w:r>
            <w:r>
              <w:rPr>
                <w:rStyle w:val="IndexLink"/>
                <w:rtl w:val="true"/>
              </w:rPr>
              <w:tab/>
            </w:r>
            <w:r>
              <w:rPr>
                <w:rStyle w:val="IndexLink"/>
              </w:rPr>
              <w:t>105</w:t>
            </w:r>
          </w:hyperlink>
        </w:p>
        <w:p>
          <w:pPr>
            <w:pStyle w:val="Contents6"/>
            <w:tabs>
              <w:tab w:val="clear" w:pos="7609"/>
              <w:tab w:val="right" w:pos="9026" w:leader="dot"/>
            </w:tabs>
            <w:rPr/>
          </w:pPr>
          <w:hyperlink w:anchor="__RefHeading___Toc10361856_73709187">
            <w:r>
              <w:rPr>
                <w:webHidden/>
                <w:rStyle w:val="IndexLink"/>
                <w:rtl w:val="true"/>
              </w:rPr>
              <w:t>عدم لزوم الوضوء مع غُسل الحيض</w:t>
            </w:r>
            <w:r>
              <w:rPr>
                <w:rStyle w:val="IndexLink"/>
                <w:rtl w:val="true"/>
              </w:rPr>
              <w:tab/>
            </w:r>
            <w:r>
              <w:rPr>
                <w:rStyle w:val="IndexLink"/>
              </w:rPr>
              <w:t>105</w:t>
            </w:r>
          </w:hyperlink>
        </w:p>
        <w:p>
          <w:pPr>
            <w:pStyle w:val="Contents6"/>
            <w:tabs>
              <w:tab w:val="clear" w:pos="7609"/>
              <w:tab w:val="right" w:pos="9026" w:leader="dot"/>
            </w:tabs>
            <w:rPr/>
          </w:pPr>
          <w:hyperlink w:anchor="__RefHeading___Toc10361858_73709187">
            <w:r>
              <w:rPr>
                <w:webHidden/>
                <w:rStyle w:val="IndexLink"/>
                <w:rtl w:val="true"/>
              </w:rPr>
              <w:t>الخامس عشر</w:t>
            </w:r>
            <w:r>
              <w:rPr>
                <w:rStyle w:val="IndexLink"/>
                <w:rtl w:val="true"/>
              </w:rPr>
              <w:t xml:space="preserve">: </w:t>
            </w:r>
            <w:r>
              <w:rPr>
                <w:rStyle w:val="IndexLink"/>
                <w:rtl w:val="true"/>
              </w:rPr>
              <w:t>ويكره لها اُمور</w:t>
            </w:r>
            <w:r>
              <w:rPr>
                <w:rStyle w:val="IndexLink"/>
                <w:rtl w:val="true"/>
              </w:rPr>
              <w:tab/>
            </w:r>
            <w:r>
              <w:rPr>
                <w:rStyle w:val="IndexLink"/>
              </w:rPr>
              <w:t>117</w:t>
            </w:r>
          </w:hyperlink>
        </w:p>
        <w:p>
          <w:pPr>
            <w:pStyle w:val="Contents6"/>
            <w:tabs>
              <w:tab w:val="clear" w:pos="7609"/>
              <w:tab w:val="right" w:pos="9026" w:leader="dot"/>
            </w:tabs>
            <w:rPr/>
          </w:pPr>
          <w:hyperlink w:anchor="__RefHeading___Toc10361860_7370918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0361862_73709187">
            <w:r>
              <w:rPr>
                <w:webHidden/>
                <w:rStyle w:val="IndexLink"/>
                <w:rtl w:val="true"/>
              </w:rPr>
              <w:t>ما يُكره للحائض ويستحبُّ لها</w:t>
            </w:r>
            <w:r>
              <w:rPr>
                <w:rStyle w:val="IndexLink"/>
                <w:rtl w:val="true"/>
              </w:rPr>
              <w:tab/>
            </w:r>
            <w:r>
              <w:rPr>
                <w:rStyle w:val="IndexLink"/>
              </w:rPr>
              <w:t>117</w:t>
            </w:r>
          </w:hyperlink>
        </w:p>
        <w:p>
          <w:pPr>
            <w:pStyle w:val="Contents6"/>
            <w:tabs>
              <w:tab w:val="clear" w:pos="7609"/>
              <w:tab w:val="right" w:pos="9026" w:leader="dot"/>
            </w:tabs>
            <w:rPr/>
          </w:pPr>
          <w:hyperlink w:anchor="__RefHeading___Toc10361864_73709187">
            <w:r>
              <w:rPr>
                <w:webHidden/>
                <w:rStyle w:val="IndexLink"/>
                <w:rtl w:val="true"/>
              </w:rPr>
              <w:t>السادس عشر</w:t>
            </w:r>
            <w:r>
              <w:rPr>
                <w:rStyle w:val="IndexLink"/>
                <w:rtl w:val="true"/>
              </w:rPr>
              <w:t xml:space="preserve">: </w:t>
            </w:r>
            <w:r>
              <w:rPr>
                <w:rStyle w:val="IndexLink"/>
                <w:rtl w:val="true"/>
              </w:rPr>
              <w:t>يستحبّ لها الوضوء لكلّ صلاة فريضةٍ‌، و</w:t>
            </w:r>
            <w:r>
              <w:rPr>
                <w:rStyle w:val="IndexLink"/>
                <w:rtl w:val="true"/>
              </w:rPr>
              <w:t>...</w:t>
              <w:tab/>
            </w:r>
            <w:r>
              <w:rPr>
                <w:rStyle w:val="IndexLink"/>
              </w:rPr>
              <w:t>118</w:t>
            </w:r>
          </w:hyperlink>
        </w:p>
        <w:p>
          <w:pPr>
            <w:pStyle w:val="Contents6"/>
            <w:tabs>
              <w:tab w:val="clear" w:pos="7609"/>
              <w:tab w:val="right" w:pos="9026" w:leader="dot"/>
            </w:tabs>
            <w:rPr/>
          </w:pPr>
          <w:hyperlink w:anchor="__RefHeading___Toc10361866_7370918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361868_73709187">
            <w:r>
              <w:rPr>
                <w:webHidden/>
                <w:rStyle w:val="IndexLink"/>
                <w:rtl w:val="true"/>
              </w:rPr>
              <w:t>استحباب الوضوء للحائض</w:t>
            </w:r>
            <w:r>
              <w:rPr>
                <w:rStyle w:val="IndexLink"/>
                <w:rtl w:val="true"/>
              </w:rPr>
              <w:tab/>
            </w:r>
            <w:r>
              <w:rPr>
                <w:rStyle w:val="IndexLink"/>
              </w:rPr>
              <w:t>118</w:t>
            </w:r>
          </w:hyperlink>
        </w:p>
        <w:p>
          <w:pPr>
            <w:pStyle w:val="Contents4"/>
            <w:tabs>
              <w:tab w:val="clear" w:pos="8176"/>
              <w:tab w:val="right" w:pos="9026" w:leader="dot"/>
            </w:tabs>
            <w:rPr/>
          </w:pPr>
          <w:hyperlink w:anchor="__RefHeading___Toc10361870_73709187">
            <w:r>
              <w:rPr>
                <w:webHidden/>
                <w:rStyle w:val="IndexLink"/>
                <w:rtl w:val="true"/>
              </w:rPr>
              <w:t>الفصل الثالث في الاستحاضة</w:t>
            </w:r>
            <w:r>
              <w:rPr>
                <w:rStyle w:val="IndexLink"/>
                <w:rtl w:val="true"/>
              </w:rPr>
              <w:tab/>
            </w:r>
            <w:r>
              <w:rPr>
                <w:rStyle w:val="IndexLink"/>
              </w:rPr>
              <w:t>119</w:t>
            </w:r>
          </w:hyperlink>
        </w:p>
        <w:p>
          <w:pPr>
            <w:pStyle w:val="Contents5"/>
            <w:tabs>
              <w:tab w:val="clear" w:pos="7892"/>
              <w:tab w:val="right" w:pos="9026" w:leader="dot"/>
            </w:tabs>
            <w:rPr/>
          </w:pPr>
          <w:hyperlink w:anchor="__RefHeading___Toc10361872_7370918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0361874_73709187">
            <w:r>
              <w:rPr>
                <w:webHidden/>
                <w:rStyle w:val="IndexLink"/>
                <w:rtl w:val="true"/>
              </w:rPr>
              <w:t>إجتماع الحمل مع الحيض</w:t>
            </w:r>
            <w:r>
              <w:rPr>
                <w:rStyle w:val="IndexLink"/>
                <w:rtl w:val="true"/>
              </w:rPr>
              <w:tab/>
            </w:r>
            <w:r>
              <w:rPr>
                <w:rStyle w:val="IndexLink"/>
              </w:rPr>
              <w:t>131</w:t>
            </w:r>
          </w:hyperlink>
        </w:p>
        <w:p>
          <w:pPr>
            <w:pStyle w:val="Contents5"/>
            <w:tabs>
              <w:tab w:val="clear" w:pos="7892"/>
              <w:tab w:val="right" w:pos="9026" w:leader="dot"/>
            </w:tabs>
            <w:rPr/>
          </w:pPr>
          <w:hyperlink w:anchor="__RefHeading___Toc10361876_73709187">
            <w:r>
              <w:rPr>
                <w:webHidden/>
                <w:rStyle w:val="IndexLink"/>
                <w:rtl w:val="true"/>
              </w:rPr>
              <w:t>أقسام الاستحاضة</w:t>
            </w:r>
            <w:r>
              <w:rPr>
                <w:rStyle w:val="IndexLink"/>
                <w:rtl w:val="true"/>
              </w:rPr>
              <w:tab/>
            </w:r>
            <w:r>
              <w:rPr>
                <w:rStyle w:val="IndexLink"/>
              </w:rPr>
              <w:t>138</w:t>
            </w:r>
          </w:hyperlink>
        </w:p>
        <w:p>
          <w:pPr>
            <w:pStyle w:val="Contents5"/>
            <w:tabs>
              <w:tab w:val="clear" w:pos="7892"/>
              <w:tab w:val="right" w:pos="9026" w:leader="dot"/>
            </w:tabs>
            <w:rPr/>
          </w:pPr>
          <w:hyperlink w:anchor="__RefHeading___Toc10361878_73709187">
            <w:r>
              <w:rPr>
                <w:webHidden/>
                <w:rStyle w:val="IndexLink"/>
                <w:rtl w:val="true"/>
              </w:rPr>
              <w:t>الاستحاضة القليلة</w:t>
            </w:r>
            <w:r>
              <w:rPr>
                <w:rStyle w:val="IndexLink"/>
                <w:rtl w:val="true"/>
              </w:rPr>
              <w:tab/>
            </w:r>
            <w:r>
              <w:rPr>
                <w:rStyle w:val="IndexLink"/>
              </w:rPr>
              <w:t>140</w:t>
            </w:r>
          </w:hyperlink>
        </w:p>
        <w:p>
          <w:pPr>
            <w:pStyle w:val="Contents5"/>
            <w:tabs>
              <w:tab w:val="clear" w:pos="7892"/>
              <w:tab w:val="right" w:pos="9026" w:leader="dot"/>
            </w:tabs>
            <w:rPr/>
          </w:pPr>
          <w:hyperlink w:anchor="__RefHeading___Toc10361880_73709187">
            <w:r>
              <w:rPr>
                <w:webHidden/>
                <w:rStyle w:val="IndexLink"/>
                <w:rtl w:val="true"/>
              </w:rPr>
              <w:t>تجديد الوضوء لكلّ صلاة</w:t>
            </w:r>
            <w:r>
              <w:rPr>
                <w:rStyle w:val="IndexLink"/>
                <w:rtl w:val="true"/>
              </w:rPr>
              <w:tab/>
            </w:r>
            <w:r>
              <w:rPr>
                <w:rStyle w:val="IndexLink"/>
              </w:rPr>
              <w:t>143</w:t>
            </w:r>
          </w:hyperlink>
        </w:p>
        <w:p>
          <w:pPr>
            <w:pStyle w:val="Contents5"/>
            <w:tabs>
              <w:tab w:val="clear" w:pos="7892"/>
              <w:tab w:val="right" w:pos="9026" w:leader="dot"/>
            </w:tabs>
            <w:rPr/>
          </w:pPr>
          <w:hyperlink w:anchor="__RefHeading___Toc10361882_73709187">
            <w:r>
              <w:rPr>
                <w:webHidden/>
                <w:rStyle w:val="IndexLink"/>
                <w:rtl w:val="true"/>
              </w:rPr>
              <w:t>عدم اختصاص هذا الحكم بالفريضة</w:t>
            </w:r>
            <w:r>
              <w:rPr>
                <w:rStyle w:val="IndexLink"/>
                <w:rtl w:val="true"/>
              </w:rPr>
              <w:tab/>
            </w:r>
            <w:r>
              <w:rPr>
                <w:rStyle w:val="IndexLink"/>
              </w:rPr>
              <w:t>148</w:t>
            </w:r>
          </w:hyperlink>
        </w:p>
        <w:p>
          <w:pPr>
            <w:pStyle w:val="Contents5"/>
            <w:tabs>
              <w:tab w:val="clear" w:pos="7892"/>
              <w:tab w:val="right" w:pos="9026" w:leader="dot"/>
            </w:tabs>
            <w:rPr/>
          </w:pPr>
          <w:hyperlink w:anchor="__RefHeading___Toc10361884_73709187">
            <w:r>
              <w:rPr>
                <w:webHidden/>
                <w:rStyle w:val="IndexLink"/>
                <w:rtl w:val="true"/>
              </w:rPr>
              <w:t>الاستحاضة المتوسّطة</w:t>
            </w:r>
            <w:r>
              <w:rPr>
                <w:rStyle w:val="IndexLink"/>
                <w:rtl w:val="true"/>
              </w:rPr>
              <w:tab/>
            </w:r>
            <w:r>
              <w:rPr>
                <w:rStyle w:val="IndexLink"/>
              </w:rPr>
              <w:t>151</w:t>
            </w:r>
          </w:hyperlink>
        </w:p>
        <w:p>
          <w:pPr>
            <w:pStyle w:val="Contents5"/>
            <w:tabs>
              <w:tab w:val="clear" w:pos="7892"/>
              <w:tab w:val="right" w:pos="9026" w:leader="dot"/>
            </w:tabs>
            <w:rPr/>
          </w:pPr>
          <w:hyperlink w:anchor="__RefHeading___Toc10361886_73709187">
            <w:r>
              <w:rPr>
                <w:webHidden/>
                <w:rStyle w:val="IndexLink"/>
                <w:rtl w:val="true"/>
              </w:rPr>
              <w:t>وجوب الغُسل لخصوص صلاة الغداة في المتوسّطة</w:t>
            </w:r>
            <w:r>
              <w:rPr>
                <w:rStyle w:val="IndexLink"/>
                <w:rtl w:val="true"/>
              </w:rPr>
              <w:tab/>
            </w:r>
            <w:r>
              <w:rPr>
                <w:rStyle w:val="IndexLink"/>
              </w:rPr>
              <w:t>155</w:t>
            </w:r>
          </w:hyperlink>
        </w:p>
        <w:p>
          <w:pPr>
            <w:pStyle w:val="Contents5"/>
            <w:tabs>
              <w:tab w:val="clear" w:pos="7892"/>
              <w:tab w:val="right" w:pos="9026" w:leader="dot"/>
            </w:tabs>
            <w:rPr/>
          </w:pPr>
          <w:hyperlink w:anchor="__RefHeading___Toc10361888_73709187">
            <w:r>
              <w:rPr>
                <w:webHidden/>
                <w:rStyle w:val="IndexLink"/>
                <w:rtl w:val="true"/>
              </w:rPr>
              <w:t>حكم الاستحاضة الكثيرة</w:t>
            </w:r>
            <w:r>
              <w:rPr>
                <w:rStyle w:val="IndexLink"/>
                <w:rtl w:val="true"/>
              </w:rPr>
              <w:tab/>
            </w:r>
            <w:r>
              <w:rPr>
                <w:rStyle w:val="IndexLink"/>
              </w:rPr>
              <w:t>160</w:t>
            </w:r>
          </w:hyperlink>
        </w:p>
        <w:p>
          <w:pPr>
            <w:pStyle w:val="Contents6"/>
            <w:tabs>
              <w:tab w:val="clear" w:pos="7609"/>
              <w:tab w:val="right" w:pos="9026" w:leader="dot"/>
            </w:tabs>
            <w:rPr/>
          </w:pPr>
          <w:hyperlink w:anchor="__RefHeading___Toc10361890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361892_73709187">
            <w:r>
              <w:rPr>
                <w:webHidden/>
                <w:rStyle w:val="IndexLink"/>
                <w:rtl w:val="true"/>
              </w:rPr>
              <w:t>لا إشكال ولا خلاف في وجوب الأغسال الثلاثة عليها</w:t>
            </w:r>
            <w:r>
              <w:rPr>
                <w:rStyle w:val="IndexLink"/>
                <w:rtl w:val="true"/>
              </w:rPr>
              <w:tab/>
            </w:r>
            <w:r>
              <w:rPr>
                <w:rStyle w:val="IndexLink"/>
              </w:rPr>
              <w:t>160</w:t>
            </w:r>
          </w:hyperlink>
        </w:p>
        <w:p>
          <w:pPr>
            <w:pStyle w:val="Contents6"/>
            <w:tabs>
              <w:tab w:val="clear" w:pos="7609"/>
              <w:tab w:val="right" w:pos="9026" w:leader="dot"/>
            </w:tabs>
            <w:rPr/>
          </w:pPr>
          <w:hyperlink w:anchor="__RefHeading___Toc10361894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361896_73709187">
            <w:r>
              <w:rPr>
                <w:webHidden/>
                <w:rStyle w:val="IndexLink"/>
                <w:rtl w:val="true"/>
              </w:rPr>
              <w:t>في وجوب الجمع وجواز التفريق</w:t>
            </w:r>
            <w:r>
              <w:rPr>
                <w:rStyle w:val="IndexLink"/>
                <w:rtl w:val="true"/>
              </w:rPr>
              <w:tab/>
            </w:r>
            <w:r>
              <w:rPr>
                <w:rStyle w:val="IndexLink"/>
              </w:rPr>
              <w:t>161</w:t>
            </w:r>
          </w:hyperlink>
        </w:p>
        <w:p>
          <w:pPr>
            <w:pStyle w:val="Contents6"/>
            <w:tabs>
              <w:tab w:val="clear" w:pos="7609"/>
              <w:tab w:val="right" w:pos="9026" w:leader="dot"/>
            </w:tabs>
            <w:rPr/>
          </w:pPr>
          <w:hyperlink w:anchor="__RefHeading___Toc10361898_73709187">
            <w:r>
              <w:rPr>
                <w:webHidden/>
                <w:rStyle w:val="IndexLink"/>
                <w:rtl w:val="true"/>
              </w:rPr>
              <w:t>عدم كفاية الأغسال عن الوضوء</w:t>
            </w:r>
            <w:r>
              <w:rPr>
                <w:rStyle w:val="IndexLink"/>
                <w:rtl w:val="true"/>
              </w:rPr>
              <w:tab/>
            </w:r>
            <w:r>
              <w:rPr>
                <w:rStyle w:val="IndexLink"/>
              </w:rPr>
              <w:t>164</w:t>
            </w:r>
          </w:hyperlink>
        </w:p>
        <w:p>
          <w:pPr>
            <w:pStyle w:val="Contents5"/>
            <w:tabs>
              <w:tab w:val="clear" w:pos="7892"/>
              <w:tab w:val="right" w:pos="9026" w:leader="dot"/>
            </w:tabs>
            <w:rPr/>
          </w:pPr>
          <w:hyperlink w:anchor="__RefHeading___Toc10361900_73709187">
            <w:r>
              <w:rPr>
                <w:webHidden/>
                <w:rStyle w:val="IndexLink"/>
                <w:rtl w:val="true"/>
              </w:rPr>
              <w:t>التنبيه على اُمور</w:t>
            </w:r>
            <w:r>
              <w:rPr>
                <w:rStyle w:val="IndexLink"/>
                <w:rtl w:val="true"/>
              </w:rPr>
              <w:tab/>
            </w:r>
            <w:r>
              <w:rPr>
                <w:rStyle w:val="IndexLink"/>
              </w:rPr>
              <w:t>168</w:t>
            </w:r>
          </w:hyperlink>
        </w:p>
        <w:p>
          <w:pPr>
            <w:pStyle w:val="Contents6"/>
            <w:tabs>
              <w:tab w:val="clear" w:pos="7609"/>
              <w:tab w:val="right" w:pos="9026" w:leader="dot"/>
            </w:tabs>
            <w:rPr/>
          </w:pPr>
          <w:hyperlink w:anchor="__RefHeading___Toc10361902_73709187">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361904_73709187">
            <w:r>
              <w:rPr>
                <w:webHidden/>
                <w:rStyle w:val="IndexLink"/>
                <w:rtl w:val="true"/>
              </w:rPr>
              <w:t>المستحاضة غُسلها كغُسل الحائض</w:t>
            </w:r>
            <w:r>
              <w:rPr>
                <w:rStyle w:val="IndexLink"/>
                <w:rtl w:val="true"/>
              </w:rPr>
              <w:tab/>
            </w:r>
            <w:r>
              <w:rPr>
                <w:rStyle w:val="IndexLink"/>
              </w:rPr>
              <w:t>168</w:t>
            </w:r>
          </w:hyperlink>
        </w:p>
        <w:p>
          <w:pPr>
            <w:pStyle w:val="Contents6"/>
            <w:tabs>
              <w:tab w:val="clear" w:pos="7609"/>
              <w:tab w:val="right" w:pos="9026" w:leader="dot"/>
            </w:tabs>
            <w:rPr/>
          </w:pPr>
          <w:hyperlink w:anchor="__RefHeading___Toc10361906_73709187">
            <w:r>
              <w:rPr>
                <w:webHidden/>
                <w:rStyle w:val="IndexLink"/>
                <w:rtl w:val="true"/>
              </w:rPr>
              <w:t>إذا عملت المستحاضة بوظيفتها كانت بحكم الطاهرة</w:t>
            </w:r>
            <w:r>
              <w:rPr>
                <w:rStyle w:val="IndexLink"/>
                <w:rtl w:val="true"/>
              </w:rPr>
              <w:tab/>
            </w:r>
            <w:r>
              <w:rPr>
                <w:rStyle w:val="IndexLink"/>
              </w:rPr>
              <w:t>168</w:t>
            </w:r>
          </w:hyperlink>
        </w:p>
        <w:p>
          <w:pPr>
            <w:pStyle w:val="Contents6"/>
            <w:tabs>
              <w:tab w:val="clear" w:pos="7609"/>
              <w:tab w:val="right" w:pos="9026" w:leader="dot"/>
            </w:tabs>
            <w:rPr/>
          </w:pPr>
          <w:hyperlink w:anchor="__RefHeading___Toc10361908_73709187">
            <w:r>
              <w:rPr>
                <w:webHidden/>
                <w:rStyle w:val="IndexLink"/>
                <w:rtl w:val="true"/>
              </w:rPr>
              <w:t>في حكم المخلّة بوظيفتها</w:t>
            </w:r>
            <w:r>
              <w:rPr>
                <w:rStyle w:val="IndexLink"/>
                <w:rtl w:val="true"/>
              </w:rPr>
              <w:tab/>
            </w:r>
            <w:r>
              <w:rPr>
                <w:rStyle w:val="IndexLink"/>
              </w:rPr>
              <w:t>172</w:t>
            </w:r>
          </w:hyperlink>
        </w:p>
        <w:p>
          <w:pPr>
            <w:pStyle w:val="Contents6"/>
            <w:tabs>
              <w:tab w:val="clear" w:pos="7609"/>
              <w:tab w:val="right" w:pos="9026" w:leader="dot"/>
            </w:tabs>
            <w:rPr/>
          </w:pPr>
          <w:hyperlink w:anchor="__RefHeading___Toc10361910_7370918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0361912_73709187">
            <w:r>
              <w:rPr>
                <w:webHidden/>
                <w:rStyle w:val="IndexLink"/>
                <w:rtl w:val="true"/>
              </w:rPr>
              <w:t>حكم وطء المستحاضة</w:t>
            </w:r>
            <w:r>
              <w:rPr>
                <w:rStyle w:val="IndexLink"/>
                <w:rtl w:val="true"/>
              </w:rPr>
              <w:tab/>
            </w:r>
            <w:r>
              <w:rPr>
                <w:rStyle w:val="IndexLink"/>
              </w:rPr>
              <w:t>175</w:t>
            </w:r>
          </w:hyperlink>
        </w:p>
        <w:p>
          <w:pPr>
            <w:pStyle w:val="Contents6"/>
            <w:tabs>
              <w:tab w:val="clear" w:pos="7609"/>
              <w:tab w:val="right" w:pos="9026" w:leader="dot"/>
            </w:tabs>
            <w:rPr/>
          </w:pPr>
          <w:hyperlink w:anchor="__RefHeading___Toc10361914_73709187">
            <w:r>
              <w:rPr>
                <w:webHidden/>
                <w:rStyle w:val="IndexLink"/>
                <w:rtl w:val="true"/>
              </w:rPr>
              <w:t>اشتراط صحّة صوم المستحاضة على الأغسال</w:t>
            </w:r>
            <w:r>
              <w:rPr>
                <w:rStyle w:val="IndexLink"/>
                <w:rtl w:val="true"/>
              </w:rPr>
              <w:tab/>
            </w:r>
            <w:r>
              <w:rPr>
                <w:rStyle w:val="IndexLink"/>
              </w:rPr>
              <w:t>181</w:t>
            </w:r>
          </w:hyperlink>
        </w:p>
        <w:p>
          <w:pPr>
            <w:pStyle w:val="Contents6"/>
            <w:tabs>
              <w:tab w:val="clear" w:pos="7609"/>
              <w:tab w:val="right" w:pos="9026" w:leader="dot"/>
            </w:tabs>
            <w:rPr/>
          </w:pPr>
          <w:hyperlink w:anchor="__RefHeading___Toc10361916_73709187">
            <w:r>
              <w:rPr>
                <w:webHidden/>
                <w:rStyle w:val="IndexLink"/>
                <w:rtl w:val="true"/>
              </w:rPr>
              <w:t>لزوم المبادرة إلى الصَّلاة بعد الغُسل</w:t>
            </w:r>
            <w:r>
              <w:rPr>
                <w:rStyle w:val="IndexLink"/>
                <w:rtl w:val="true"/>
              </w:rPr>
              <w:tab/>
            </w:r>
            <w:r>
              <w:rPr>
                <w:rStyle w:val="IndexLink"/>
              </w:rPr>
              <w:t>185</w:t>
            </w:r>
          </w:hyperlink>
        </w:p>
        <w:p>
          <w:pPr>
            <w:pStyle w:val="Contents6"/>
            <w:tabs>
              <w:tab w:val="clear" w:pos="7609"/>
              <w:tab w:val="right" w:pos="9026" w:leader="dot"/>
            </w:tabs>
            <w:rPr/>
          </w:pPr>
          <w:hyperlink w:anchor="__RefHeading___Toc10361918_73709187">
            <w:r>
              <w:rPr>
                <w:webHidden/>
                <w:rStyle w:val="IndexLink"/>
                <w:rtl w:val="true"/>
              </w:rPr>
              <w:t>المتوسّطة الحادثة بعد صلاة الفجر</w:t>
            </w:r>
            <w:r>
              <w:rPr>
                <w:rStyle w:val="IndexLink"/>
                <w:rtl w:val="true"/>
              </w:rPr>
              <w:tab/>
            </w:r>
            <w:r>
              <w:rPr>
                <w:rStyle w:val="IndexLink"/>
              </w:rPr>
              <w:t>190</w:t>
            </w:r>
          </w:hyperlink>
        </w:p>
        <w:p>
          <w:pPr>
            <w:pStyle w:val="Contents6"/>
            <w:tabs>
              <w:tab w:val="clear" w:pos="7609"/>
              <w:tab w:val="right" w:pos="9026" w:leader="dot"/>
            </w:tabs>
            <w:rPr/>
          </w:pPr>
          <w:hyperlink w:anchor="__RefHeading___Toc10361920_73709187">
            <w:r>
              <w:rPr>
                <w:webHidden/>
                <w:rStyle w:val="IndexLink"/>
                <w:rtl w:val="true"/>
              </w:rPr>
              <w:t>يجب على المستحاضة اختبار حالها</w:t>
            </w:r>
            <w:r>
              <w:rPr>
                <w:rStyle w:val="IndexLink"/>
                <w:rtl w:val="true"/>
              </w:rPr>
              <w:tab/>
            </w:r>
            <w:r>
              <w:rPr>
                <w:rStyle w:val="IndexLink"/>
              </w:rPr>
              <w:t>192</w:t>
            </w:r>
          </w:hyperlink>
        </w:p>
        <w:p>
          <w:pPr>
            <w:pStyle w:val="Contents6"/>
            <w:tabs>
              <w:tab w:val="clear" w:pos="7609"/>
              <w:tab w:val="right" w:pos="9026" w:leader="dot"/>
            </w:tabs>
            <w:rPr/>
          </w:pPr>
          <w:hyperlink w:anchor="__RefHeading___Toc10361922_73709187">
            <w:r>
              <w:rPr>
                <w:webHidden/>
                <w:rStyle w:val="IndexLink"/>
                <w:rtl w:val="true"/>
              </w:rPr>
              <w:t>التحفّظ من خروج الدّم بعد الطهارة</w:t>
            </w:r>
            <w:r>
              <w:rPr>
                <w:rStyle w:val="IndexLink"/>
                <w:rtl w:val="true"/>
              </w:rPr>
              <w:tab/>
            </w:r>
            <w:r>
              <w:rPr>
                <w:rStyle w:val="IndexLink"/>
              </w:rPr>
              <w:t>196</w:t>
            </w:r>
          </w:hyperlink>
        </w:p>
        <w:p>
          <w:pPr>
            <w:pStyle w:val="Contents6"/>
            <w:tabs>
              <w:tab w:val="clear" w:pos="7609"/>
              <w:tab w:val="right" w:pos="9026" w:leader="dot"/>
            </w:tabs>
            <w:rPr/>
          </w:pPr>
          <w:hyperlink w:anchor="__RefHeading___Toc10361924_73709187">
            <w:r>
              <w:rPr>
                <w:webHidden/>
                <w:rStyle w:val="IndexLink"/>
                <w:rtl w:val="true"/>
              </w:rPr>
              <w:t>حكم انقطاع الدّم</w:t>
            </w:r>
            <w:r>
              <w:rPr>
                <w:rStyle w:val="IndexLink"/>
                <w:rtl w:val="true"/>
              </w:rPr>
              <w:tab/>
            </w:r>
            <w:r>
              <w:rPr>
                <w:rStyle w:val="IndexLink"/>
              </w:rPr>
              <w:t>200</w:t>
            </w:r>
          </w:hyperlink>
        </w:p>
        <w:p>
          <w:pPr>
            <w:pStyle w:val="Contents6"/>
            <w:tabs>
              <w:tab w:val="clear" w:pos="7609"/>
              <w:tab w:val="right" w:pos="9026" w:leader="dot"/>
            </w:tabs>
            <w:rPr/>
          </w:pPr>
          <w:hyperlink w:anchor="__RefHeading___Toc10361926_73709187">
            <w:r>
              <w:rPr>
                <w:webHidden/>
                <w:rStyle w:val="IndexLink"/>
                <w:rtl w:val="true"/>
              </w:rPr>
              <w:t>حكم رؤية الدّم في أوقات متفرّقة</w:t>
            </w:r>
            <w:r>
              <w:rPr>
                <w:rStyle w:val="IndexLink"/>
                <w:rtl w:val="true"/>
              </w:rPr>
              <w:tab/>
            </w:r>
            <w:r>
              <w:rPr>
                <w:rStyle w:val="IndexLink"/>
              </w:rPr>
              <w:t>209</w:t>
            </w:r>
          </w:hyperlink>
        </w:p>
        <w:p>
          <w:pPr>
            <w:pStyle w:val="Contents4"/>
            <w:tabs>
              <w:tab w:val="clear" w:pos="8176"/>
              <w:tab w:val="right" w:pos="9026" w:leader="dot"/>
            </w:tabs>
            <w:rPr/>
          </w:pPr>
          <w:hyperlink w:anchor="__RefHeading___Toc10361928_73709187">
            <w:r>
              <w:rPr>
                <w:webHidden/>
                <w:rStyle w:val="IndexLink"/>
                <w:rtl w:val="true"/>
              </w:rPr>
              <w:t>الفصل الرابع في النِّفاس</w:t>
            </w:r>
            <w:r>
              <w:rPr>
                <w:rStyle w:val="IndexLink"/>
                <w:rtl w:val="true"/>
              </w:rPr>
              <w:tab/>
            </w:r>
            <w:r>
              <w:rPr>
                <w:rStyle w:val="IndexLink"/>
              </w:rPr>
              <w:t>210</w:t>
            </w:r>
          </w:hyperlink>
        </w:p>
        <w:p>
          <w:pPr>
            <w:pStyle w:val="Contents5"/>
            <w:tabs>
              <w:tab w:val="clear" w:pos="7892"/>
              <w:tab w:val="right" w:pos="9026" w:leader="dot"/>
            </w:tabs>
            <w:rPr/>
          </w:pPr>
          <w:hyperlink w:anchor="__RefHeading___Toc10361930_7370918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0361932_73709187">
            <w:r>
              <w:rPr>
                <w:webHidden/>
                <w:rStyle w:val="IndexLink"/>
                <w:rtl w:val="true"/>
              </w:rPr>
              <w:t>التنبيه على اُمور</w:t>
            </w:r>
            <w:r>
              <w:rPr>
                <w:rStyle w:val="IndexLink"/>
                <w:rtl w:val="true"/>
              </w:rPr>
              <w:tab/>
            </w:r>
            <w:r>
              <w:rPr>
                <w:rStyle w:val="IndexLink"/>
              </w:rPr>
              <w:t>213</w:t>
            </w:r>
          </w:hyperlink>
        </w:p>
        <w:p>
          <w:pPr>
            <w:pStyle w:val="Contents6"/>
            <w:tabs>
              <w:tab w:val="clear" w:pos="7609"/>
              <w:tab w:val="right" w:pos="9026" w:leader="dot"/>
            </w:tabs>
            <w:rPr/>
          </w:pPr>
          <w:hyperlink w:anchor="__RefHeading___Toc10361934_73709187">
            <w:r>
              <w:rPr>
                <w:webHidden/>
                <w:rStyle w:val="IndexLink"/>
                <w:rtl w:val="true"/>
              </w:rPr>
              <w:t>الدَّم الخارج قبل الولادة</w:t>
            </w:r>
            <w:r>
              <w:rPr>
                <w:rStyle w:val="IndexLink"/>
                <w:rtl w:val="true"/>
              </w:rPr>
              <w:tab/>
            </w:r>
            <w:r>
              <w:rPr>
                <w:rStyle w:val="IndexLink"/>
              </w:rPr>
              <w:t>213</w:t>
            </w:r>
          </w:hyperlink>
        </w:p>
        <w:p>
          <w:pPr>
            <w:pStyle w:val="Contents6"/>
            <w:tabs>
              <w:tab w:val="clear" w:pos="7609"/>
              <w:tab w:val="right" w:pos="9026" w:leader="dot"/>
            </w:tabs>
            <w:rPr/>
          </w:pPr>
          <w:hyperlink w:anchor="__RefHeading___Toc10361936_73709187">
            <w:r>
              <w:rPr>
                <w:webHidden/>
                <w:rStyle w:val="IndexLink"/>
                <w:rtl w:val="true"/>
              </w:rPr>
              <w:t>الدَّم الخارج بعد وضعها المُضْغَة</w:t>
            </w:r>
            <w:r>
              <w:rPr>
                <w:rStyle w:val="IndexLink"/>
                <w:rtl w:val="true"/>
              </w:rPr>
              <w:tab/>
            </w:r>
            <w:r>
              <w:rPr>
                <w:rStyle w:val="IndexLink"/>
              </w:rPr>
              <w:t>218</w:t>
            </w:r>
          </w:hyperlink>
        </w:p>
        <w:p>
          <w:pPr>
            <w:pStyle w:val="Contents6"/>
            <w:tabs>
              <w:tab w:val="clear" w:pos="7609"/>
              <w:tab w:val="right" w:pos="9026" w:leader="dot"/>
            </w:tabs>
            <w:rPr/>
          </w:pPr>
          <w:hyperlink w:anchor="__RefHeading___Toc10361938_73709187">
            <w:r>
              <w:rPr>
                <w:webHidden/>
                <w:rStyle w:val="IndexLink"/>
                <w:rtl w:val="true"/>
              </w:rPr>
              <w:t>الشكّ في الولادة</w:t>
            </w:r>
            <w:r>
              <w:rPr>
                <w:rStyle w:val="IndexLink"/>
                <w:rtl w:val="true"/>
              </w:rPr>
              <w:tab/>
            </w:r>
            <w:r>
              <w:rPr>
                <w:rStyle w:val="IndexLink"/>
              </w:rPr>
              <w:t>219</w:t>
            </w:r>
          </w:hyperlink>
        </w:p>
        <w:p>
          <w:pPr>
            <w:pStyle w:val="Contents5"/>
            <w:tabs>
              <w:tab w:val="clear" w:pos="7892"/>
              <w:tab w:val="right" w:pos="9026" w:leader="dot"/>
            </w:tabs>
            <w:rPr/>
          </w:pPr>
          <w:hyperlink w:anchor="__RefHeading___Toc10361940_73709187">
            <w:r>
              <w:rPr>
                <w:webHidden/>
                <w:rStyle w:val="IndexLink"/>
                <w:rtl w:val="true"/>
              </w:rPr>
              <w:t>ليسَ لأقلّ النِّفاس حَدٌّ</w:t>
            </w:r>
            <w:r>
              <w:rPr>
                <w:rStyle w:val="IndexLink"/>
                <w:rtl w:val="true"/>
              </w:rPr>
              <w:tab/>
            </w:r>
            <w:r>
              <w:rPr>
                <w:rStyle w:val="IndexLink"/>
              </w:rPr>
              <w:t>220</w:t>
            </w:r>
          </w:hyperlink>
        </w:p>
        <w:p>
          <w:pPr>
            <w:pStyle w:val="Contents5"/>
            <w:tabs>
              <w:tab w:val="clear" w:pos="7892"/>
              <w:tab w:val="right" w:pos="9026" w:leader="dot"/>
            </w:tabs>
            <w:rPr/>
          </w:pPr>
          <w:hyperlink w:anchor="__RefHeading___Toc10361942_73709187">
            <w:r>
              <w:rPr>
                <w:webHidden/>
                <w:rStyle w:val="IndexLink"/>
                <w:rtl w:val="true"/>
              </w:rPr>
              <w:t>حَدّ النِّفاس الأبعد</w:t>
            </w:r>
            <w:r>
              <w:rPr>
                <w:rStyle w:val="IndexLink"/>
                <w:rtl w:val="true"/>
              </w:rPr>
              <w:tab/>
            </w:r>
            <w:r>
              <w:rPr>
                <w:rStyle w:val="IndexLink"/>
              </w:rPr>
              <w:t>222</w:t>
            </w:r>
          </w:hyperlink>
        </w:p>
        <w:p>
          <w:pPr>
            <w:pStyle w:val="Contents5"/>
            <w:tabs>
              <w:tab w:val="clear" w:pos="7892"/>
              <w:tab w:val="right" w:pos="9026" w:leader="dot"/>
            </w:tabs>
            <w:rPr/>
          </w:pPr>
          <w:hyperlink w:anchor="__RefHeading___Toc10361944_73709187">
            <w:r>
              <w:rPr>
                <w:webHidden/>
                <w:rStyle w:val="IndexLink"/>
                <w:rtl w:val="true"/>
              </w:rPr>
              <w:t>التنبيه على اُمور</w:t>
            </w:r>
            <w:r>
              <w:rPr>
                <w:rStyle w:val="IndexLink"/>
                <w:rtl w:val="true"/>
              </w:rPr>
              <w:tab/>
            </w:r>
            <w:r>
              <w:rPr>
                <w:rStyle w:val="IndexLink"/>
              </w:rPr>
              <w:t>233</w:t>
            </w:r>
          </w:hyperlink>
        </w:p>
        <w:p>
          <w:pPr>
            <w:pStyle w:val="Contents6"/>
            <w:tabs>
              <w:tab w:val="clear" w:pos="7609"/>
              <w:tab w:val="right" w:pos="9026" w:leader="dot"/>
            </w:tabs>
            <w:rPr/>
          </w:pPr>
          <w:hyperlink w:anchor="__RefHeading___Toc10361946_73709187">
            <w:r>
              <w:rPr>
                <w:webHidden/>
                <w:rStyle w:val="IndexLink"/>
                <w:rtl w:val="true"/>
              </w:rPr>
              <w:t>في وحدة حكم النّفساء والحائض</w:t>
            </w:r>
            <w:r>
              <w:rPr>
                <w:rStyle w:val="IndexLink"/>
                <w:rtl w:val="true"/>
              </w:rPr>
              <w:tab/>
            </w:r>
            <w:r>
              <w:rPr>
                <w:rStyle w:val="IndexLink"/>
              </w:rPr>
              <w:t>233</w:t>
            </w:r>
          </w:hyperlink>
        </w:p>
        <w:p>
          <w:pPr>
            <w:pStyle w:val="Contents6"/>
            <w:tabs>
              <w:tab w:val="clear" w:pos="7609"/>
              <w:tab w:val="right" w:pos="9026" w:leader="dot"/>
            </w:tabs>
            <w:rPr/>
          </w:pPr>
          <w:hyperlink w:anchor="__RefHeading___Toc10361948_73709187">
            <w:r>
              <w:rPr>
                <w:webHidden/>
                <w:rStyle w:val="IndexLink"/>
                <w:rtl w:val="true"/>
              </w:rPr>
              <w:t>حكم ولادة التوأمين</w:t>
            </w:r>
            <w:r>
              <w:rPr>
                <w:rStyle w:val="IndexLink"/>
                <w:rtl w:val="true"/>
              </w:rPr>
              <w:tab/>
            </w:r>
            <w:r>
              <w:rPr>
                <w:rStyle w:val="IndexLink"/>
              </w:rPr>
              <w:t>235</w:t>
            </w:r>
          </w:hyperlink>
        </w:p>
        <w:p>
          <w:pPr>
            <w:pStyle w:val="Contents6"/>
            <w:tabs>
              <w:tab w:val="clear" w:pos="7609"/>
              <w:tab w:val="right" w:pos="9026" w:leader="dot"/>
            </w:tabs>
            <w:rPr/>
          </w:pPr>
          <w:hyperlink w:anchor="__RefHeading___Toc10361950_73709187">
            <w:r>
              <w:rPr>
                <w:webHidden/>
                <w:rStyle w:val="IndexLink"/>
                <w:rtl w:val="true"/>
              </w:rPr>
              <w:t>في حكم الطفل الخارج متدرّجاً</w:t>
            </w:r>
            <w:r>
              <w:rPr>
                <w:rStyle w:val="IndexLink"/>
                <w:rtl w:val="true"/>
              </w:rPr>
              <w:tab/>
            </w:r>
            <w:r>
              <w:rPr>
                <w:rStyle w:val="IndexLink"/>
              </w:rPr>
              <w:t>239</w:t>
            </w:r>
          </w:hyperlink>
        </w:p>
        <w:p>
          <w:pPr>
            <w:pStyle w:val="Contents6"/>
            <w:tabs>
              <w:tab w:val="clear" w:pos="7609"/>
              <w:tab w:val="right" w:pos="9026" w:leader="dot"/>
            </w:tabs>
            <w:rPr/>
          </w:pPr>
          <w:hyperlink w:anchor="__RefHeading___Toc10361952_73709187">
            <w:r>
              <w:rPr>
                <w:webHidden/>
                <w:rStyle w:val="IndexLink"/>
                <w:rtl w:val="true"/>
              </w:rPr>
              <w:t>الدَّم المُستَمرّ إلى شهرٍ أو أزيد</w:t>
            </w:r>
            <w:r>
              <w:rPr>
                <w:rStyle w:val="IndexLink"/>
                <w:rtl w:val="true"/>
              </w:rPr>
              <w:tab/>
            </w:r>
            <w:r>
              <w:rPr>
                <w:rStyle w:val="IndexLink"/>
              </w:rPr>
              <w:t>241</w:t>
            </w:r>
          </w:hyperlink>
        </w:p>
        <w:p>
          <w:pPr>
            <w:pStyle w:val="Contents6"/>
            <w:tabs>
              <w:tab w:val="clear" w:pos="7609"/>
              <w:tab w:val="right" w:pos="9026" w:leader="dot"/>
            </w:tabs>
            <w:rPr/>
          </w:pPr>
          <w:hyperlink w:anchor="__RefHeading___Toc10361954_73709187">
            <w:r>
              <w:rPr>
                <w:webHidden/>
                <w:rStyle w:val="IndexLink"/>
                <w:rtl w:val="true"/>
              </w:rPr>
              <w:t>في انقطاع الدَّم على العاشر أو قبلها</w:t>
            </w:r>
            <w:r>
              <w:rPr>
                <w:rStyle w:val="IndexLink"/>
                <w:rtl w:val="true"/>
              </w:rPr>
              <w:tab/>
            </w:r>
            <w:r>
              <w:rPr>
                <w:rStyle w:val="IndexLink"/>
              </w:rPr>
              <w:t>245</w:t>
            </w:r>
          </w:hyperlink>
        </w:p>
        <w:p>
          <w:pPr>
            <w:pStyle w:val="Contents6"/>
            <w:tabs>
              <w:tab w:val="clear" w:pos="7609"/>
              <w:tab w:val="right" w:pos="9026" w:leader="dot"/>
            </w:tabs>
            <w:rPr/>
          </w:pPr>
          <w:hyperlink w:anchor="__RefHeading___Toc10361956_73709187">
            <w:r>
              <w:rPr>
                <w:webHidden/>
                <w:rStyle w:val="IndexLink"/>
                <w:rtl w:val="true"/>
              </w:rPr>
              <w:t>الدّم المنفصل عن الولادة</w:t>
            </w:r>
            <w:r>
              <w:rPr>
                <w:rStyle w:val="IndexLink"/>
                <w:rtl w:val="true"/>
              </w:rPr>
              <w:tab/>
            </w:r>
            <w:r>
              <w:rPr>
                <w:rStyle w:val="IndexLink"/>
              </w:rPr>
              <w:t>247</w:t>
            </w:r>
          </w:hyperlink>
        </w:p>
        <w:p>
          <w:pPr>
            <w:pStyle w:val="Contents4"/>
            <w:tabs>
              <w:tab w:val="clear" w:pos="8176"/>
              <w:tab w:val="right" w:pos="9026" w:leader="dot"/>
            </w:tabs>
            <w:rPr/>
          </w:pPr>
          <w:hyperlink w:anchor="__RefHeading___Toc10361958_73709187">
            <w:r>
              <w:rPr>
                <w:webHidden/>
                <w:rStyle w:val="IndexLink"/>
                <w:rtl w:val="true"/>
              </w:rPr>
              <w:t>الفصل الخامس في غُسل الأموات</w:t>
            </w:r>
            <w:r>
              <w:rPr>
                <w:rStyle w:val="IndexLink"/>
                <w:rtl w:val="true"/>
              </w:rPr>
              <w:tab/>
            </w:r>
            <w:r>
              <w:rPr>
                <w:rStyle w:val="IndexLink"/>
              </w:rPr>
              <w:t>249</w:t>
            </w:r>
          </w:hyperlink>
        </w:p>
        <w:p>
          <w:pPr>
            <w:pStyle w:val="Contents5"/>
            <w:tabs>
              <w:tab w:val="clear" w:pos="7892"/>
              <w:tab w:val="right" w:pos="9026" w:leader="dot"/>
            </w:tabs>
            <w:rPr/>
          </w:pPr>
          <w:hyperlink w:anchor="__RefHeading___Toc10361960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0361962_73709187">
            <w:r>
              <w:rPr>
                <w:webHidden/>
                <w:rStyle w:val="IndexLink"/>
                <w:rtl w:val="true"/>
              </w:rPr>
              <w:t>البحث الأوّل</w:t>
            </w:r>
            <w:r>
              <w:rPr>
                <w:rStyle w:val="IndexLink"/>
                <w:rtl w:val="true"/>
              </w:rPr>
              <w:t xml:space="preserve">: </w:t>
            </w:r>
            <w:r>
              <w:rPr>
                <w:rStyle w:val="IndexLink"/>
                <w:rtl w:val="true"/>
              </w:rPr>
              <w:t>الاحتضار</w:t>
            </w:r>
            <w:r>
              <w:rPr>
                <w:rStyle w:val="IndexLink"/>
                <w:rtl w:val="true"/>
              </w:rPr>
              <w:tab/>
            </w:r>
            <w:r>
              <w:rPr>
                <w:rStyle w:val="IndexLink"/>
              </w:rPr>
              <w:t>249</w:t>
            </w:r>
          </w:hyperlink>
        </w:p>
        <w:p>
          <w:pPr>
            <w:pStyle w:val="Contents6"/>
            <w:tabs>
              <w:tab w:val="clear" w:pos="7609"/>
              <w:tab w:val="right" w:pos="9026" w:leader="dot"/>
            </w:tabs>
            <w:rPr/>
          </w:pPr>
          <w:hyperlink w:anchor="__RefHeading___Toc10361964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361966_73709187">
            <w:r>
              <w:rPr>
                <w:webHidden/>
                <w:rStyle w:val="IndexLink"/>
                <w:rtl w:val="true"/>
              </w:rPr>
              <w:t>بيان كيفيّة التوجيه</w:t>
            </w:r>
            <w:r>
              <w:rPr>
                <w:rStyle w:val="IndexLink"/>
                <w:rtl w:val="true"/>
              </w:rPr>
              <w:tab/>
            </w:r>
            <w:r>
              <w:rPr>
                <w:rStyle w:val="IndexLink"/>
              </w:rPr>
              <w:t>256</w:t>
            </w:r>
          </w:hyperlink>
        </w:p>
        <w:p>
          <w:pPr>
            <w:pStyle w:val="Contents6"/>
            <w:tabs>
              <w:tab w:val="clear" w:pos="7609"/>
              <w:tab w:val="right" w:pos="9026" w:leader="dot"/>
            </w:tabs>
            <w:rPr/>
          </w:pPr>
          <w:hyperlink w:anchor="__RefHeading___Toc10361968_73709187">
            <w:r>
              <w:rPr>
                <w:webHidden/>
                <w:rStyle w:val="IndexLink"/>
                <w:rtl w:val="true"/>
              </w:rPr>
              <w:t>آداب الإحتضار</w:t>
            </w:r>
            <w:r>
              <w:rPr>
                <w:rStyle w:val="IndexLink"/>
                <w:rtl w:val="true"/>
              </w:rPr>
              <w:tab/>
            </w:r>
            <w:r>
              <w:rPr>
                <w:rStyle w:val="IndexLink"/>
              </w:rPr>
              <w:t>263</w:t>
            </w:r>
          </w:hyperlink>
        </w:p>
        <w:p>
          <w:pPr>
            <w:pStyle w:val="Contents6"/>
            <w:tabs>
              <w:tab w:val="clear" w:pos="7609"/>
              <w:tab w:val="right" w:pos="9026" w:leader="dot"/>
            </w:tabs>
            <w:rPr/>
          </w:pPr>
          <w:hyperlink w:anchor="__RefHeading___Toc10361970_73709187">
            <w:r>
              <w:rPr>
                <w:webHidden/>
                <w:rStyle w:val="IndexLink"/>
                <w:rtl w:val="true"/>
              </w:rPr>
              <w:t>المستحبّات بعد الموت</w:t>
            </w:r>
            <w:r>
              <w:rPr>
                <w:rStyle w:val="IndexLink"/>
                <w:rtl w:val="true"/>
              </w:rPr>
              <w:tab/>
            </w:r>
            <w:r>
              <w:rPr>
                <w:rStyle w:val="IndexLink"/>
              </w:rPr>
              <w:t>269</w:t>
            </w:r>
          </w:hyperlink>
        </w:p>
        <w:p>
          <w:pPr>
            <w:pStyle w:val="Contents6"/>
            <w:tabs>
              <w:tab w:val="clear" w:pos="7609"/>
              <w:tab w:val="right" w:pos="9026" w:leader="dot"/>
            </w:tabs>
            <w:rPr/>
          </w:pPr>
          <w:hyperlink w:anchor="__RefHeading___Toc10361972_73709187">
            <w:r>
              <w:rPr>
                <w:webHidden/>
                <w:rStyle w:val="IndexLink"/>
                <w:rtl w:val="true"/>
              </w:rPr>
              <w:t>المكروهات بعد الموت</w:t>
            </w:r>
            <w:r>
              <w:rPr>
                <w:rStyle w:val="IndexLink"/>
                <w:rtl w:val="true"/>
              </w:rPr>
              <w:tab/>
            </w:r>
            <w:r>
              <w:rPr>
                <w:rStyle w:val="IndexLink"/>
              </w:rPr>
              <w:t>273</w:t>
            </w:r>
          </w:hyperlink>
        </w:p>
        <w:p>
          <w:pPr>
            <w:pStyle w:val="Contents5"/>
            <w:tabs>
              <w:tab w:val="clear" w:pos="7892"/>
              <w:tab w:val="right" w:pos="9026" w:leader="dot"/>
            </w:tabs>
            <w:rPr/>
          </w:pPr>
          <w:hyperlink w:anchor="__RefHeading___Toc10361974_73709187">
            <w:r>
              <w:rPr>
                <w:webHidden/>
                <w:rStyle w:val="IndexLink"/>
                <w:rtl w:val="true"/>
              </w:rPr>
              <w:t>البحث الثاني</w:t>
            </w:r>
            <w:r>
              <w:rPr>
                <w:rStyle w:val="IndexLink"/>
                <w:rtl w:val="true"/>
              </w:rPr>
              <w:t xml:space="preserve">: </w:t>
            </w:r>
            <w:r>
              <w:rPr>
                <w:rStyle w:val="IndexLink"/>
                <w:rtl w:val="true"/>
              </w:rPr>
              <w:t>الغُسل</w:t>
            </w:r>
            <w:r>
              <w:rPr>
                <w:rStyle w:val="IndexLink"/>
                <w:rtl w:val="true"/>
              </w:rPr>
              <w:tab/>
            </w:r>
            <w:r>
              <w:rPr>
                <w:rStyle w:val="IndexLink"/>
              </w:rPr>
              <w:t>275</w:t>
            </w:r>
          </w:hyperlink>
        </w:p>
        <w:p>
          <w:pPr>
            <w:pStyle w:val="Contents6"/>
            <w:tabs>
              <w:tab w:val="clear" w:pos="7609"/>
              <w:tab w:val="right" w:pos="9026" w:leader="dot"/>
            </w:tabs>
            <w:rPr/>
          </w:pPr>
          <w:hyperlink w:anchor="__RefHeading___Toc10361976_73709187">
            <w:r>
              <w:rPr>
                <w:webHidden/>
                <w:rStyle w:val="IndexLink"/>
                <w:rtl w:val="true"/>
              </w:rPr>
              <w:t>الثاني</w:t>
            </w:r>
            <w:r>
              <w:rPr>
                <w:rStyle w:val="IndexLink"/>
                <w:rtl w:val="true"/>
              </w:rPr>
              <w:t xml:space="preserve">: </w:t>
            </w:r>
            <w:r>
              <w:rPr>
                <w:rStyle w:val="IndexLink"/>
                <w:rtl w:val="true"/>
              </w:rPr>
              <w:t>الغُسل</w:t>
            </w:r>
            <w:r>
              <w:rPr>
                <w:rStyle w:val="IndexLink"/>
                <w:rtl w:val="true"/>
              </w:rPr>
              <w:t>.</w:t>
              <w:tab/>
            </w:r>
            <w:r>
              <w:rPr>
                <w:rStyle w:val="IndexLink"/>
              </w:rPr>
              <w:t>275</w:t>
            </w:r>
          </w:hyperlink>
        </w:p>
        <w:p>
          <w:pPr>
            <w:pStyle w:val="Contents6"/>
            <w:tabs>
              <w:tab w:val="clear" w:pos="7609"/>
              <w:tab w:val="right" w:pos="9026" w:leader="dot"/>
            </w:tabs>
            <w:rPr/>
          </w:pPr>
          <w:hyperlink w:anchor="__RefHeading___Toc10361978_73709187">
            <w:r>
              <w:rPr>
                <w:webHidden/>
                <w:rStyle w:val="IndexLink"/>
                <w:rtl w:val="true"/>
              </w:rPr>
              <w:t>تغسيل الميّت</w:t>
            </w:r>
            <w:r>
              <w:rPr>
                <w:rStyle w:val="IndexLink"/>
                <w:rtl w:val="true"/>
              </w:rPr>
              <w:tab/>
            </w:r>
            <w:r>
              <w:rPr>
                <w:rStyle w:val="IndexLink"/>
              </w:rPr>
              <w:t>275</w:t>
            </w:r>
          </w:hyperlink>
        </w:p>
        <w:p>
          <w:pPr>
            <w:pStyle w:val="Contents6"/>
            <w:tabs>
              <w:tab w:val="clear" w:pos="7609"/>
              <w:tab w:val="right" w:pos="9026" w:leader="dot"/>
            </w:tabs>
            <w:rPr/>
          </w:pPr>
          <w:hyperlink w:anchor="__RefHeading___Toc10361980_73709187">
            <w:r>
              <w:rPr>
                <w:webHidden/>
                <w:rStyle w:val="IndexLink"/>
                <w:rtl w:val="true"/>
              </w:rPr>
              <w:t>امتناع الوليّ عن المباشرة والإذن</w:t>
            </w:r>
            <w:r>
              <w:rPr>
                <w:rStyle w:val="IndexLink"/>
                <w:rtl w:val="true"/>
              </w:rPr>
              <w:tab/>
            </w:r>
            <w:r>
              <w:rPr>
                <w:rStyle w:val="IndexLink"/>
              </w:rPr>
              <w:t>281</w:t>
            </w:r>
          </w:hyperlink>
        </w:p>
        <w:p>
          <w:pPr>
            <w:pStyle w:val="Contents6"/>
            <w:tabs>
              <w:tab w:val="clear" w:pos="7609"/>
              <w:tab w:val="right" w:pos="9026" w:leader="dot"/>
            </w:tabs>
            <w:rPr/>
          </w:pPr>
          <w:hyperlink w:anchor="__RefHeading___Toc10361982_73709187">
            <w:r>
              <w:rPr>
                <w:webHidden/>
                <w:rStyle w:val="IndexLink"/>
                <w:rtl w:val="true"/>
              </w:rPr>
              <w:t>وجوب تغسيل كلّ مسلمٍ‌</w:t>
            </w:r>
            <w:r>
              <w:rPr>
                <w:rStyle w:val="IndexLink"/>
                <w:rtl w:val="true"/>
              </w:rPr>
              <w:tab/>
            </w:r>
            <w:r>
              <w:rPr>
                <w:rStyle w:val="IndexLink"/>
              </w:rPr>
              <w:t>287</w:t>
            </w:r>
          </w:hyperlink>
        </w:p>
        <w:p>
          <w:pPr>
            <w:pStyle w:val="Contents6"/>
            <w:tabs>
              <w:tab w:val="clear" w:pos="7609"/>
              <w:tab w:val="right" w:pos="9026" w:leader="dot"/>
            </w:tabs>
            <w:rPr/>
          </w:pPr>
          <w:hyperlink w:anchor="__RefHeading___Toc10361984_7370918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361986_73709187">
            <w:r>
              <w:rPr>
                <w:webHidden/>
                <w:rStyle w:val="IndexLink"/>
                <w:rtl w:val="true"/>
              </w:rPr>
              <w:t>المقام الأوّل</w:t>
            </w:r>
            <w:r>
              <w:rPr>
                <w:rStyle w:val="IndexLink"/>
                <w:rtl w:val="true"/>
              </w:rPr>
              <w:tab/>
            </w:r>
            <w:r>
              <w:rPr>
                <w:rStyle w:val="IndexLink"/>
              </w:rPr>
              <w:t>287</w:t>
            </w:r>
          </w:hyperlink>
        </w:p>
        <w:p>
          <w:pPr>
            <w:pStyle w:val="Contents6"/>
            <w:tabs>
              <w:tab w:val="clear" w:pos="7609"/>
              <w:tab w:val="right" w:pos="9026" w:leader="dot"/>
            </w:tabs>
            <w:rPr/>
          </w:pPr>
          <w:hyperlink w:anchor="__RefHeading___Toc10361988_7370918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361990_73709187">
            <w:r>
              <w:rPr>
                <w:webHidden/>
                <w:rStyle w:val="IndexLink"/>
                <w:rtl w:val="true"/>
              </w:rPr>
              <w:t>تنبيهات غُسل الميّت</w:t>
            </w:r>
            <w:r>
              <w:rPr>
                <w:rStyle w:val="IndexLink"/>
                <w:rtl w:val="true"/>
              </w:rPr>
              <w:tab/>
            </w:r>
            <w:r>
              <w:rPr>
                <w:rStyle w:val="IndexLink"/>
              </w:rPr>
              <w:t>292</w:t>
            </w:r>
          </w:hyperlink>
        </w:p>
        <w:p>
          <w:pPr>
            <w:pStyle w:val="Contents6"/>
            <w:tabs>
              <w:tab w:val="clear" w:pos="7609"/>
              <w:tab w:val="right" w:pos="9026" w:leader="dot"/>
            </w:tabs>
            <w:rPr/>
          </w:pPr>
          <w:hyperlink w:anchor="__RefHeading___Toc10361992_7370918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361994_73709187">
            <w:r>
              <w:rPr>
                <w:webHidden/>
                <w:rStyle w:val="IndexLink"/>
                <w:rtl w:val="true"/>
              </w:rPr>
              <w:t>إذا تمَّ للسقط أربعة أشهر</w:t>
            </w:r>
            <w:r>
              <w:rPr>
                <w:rStyle w:val="IndexLink"/>
                <w:rtl w:val="true"/>
              </w:rPr>
              <w:tab/>
            </w:r>
            <w:r>
              <w:rPr>
                <w:rStyle w:val="IndexLink"/>
              </w:rPr>
              <w:t>298</w:t>
            </w:r>
          </w:hyperlink>
        </w:p>
        <w:p>
          <w:pPr>
            <w:pStyle w:val="Contents6"/>
            <w:tabs>
              <w:tab w:val="clear" w:pos="7609"/>
              <w:tab w:val="right" w:pos="9026" w:leader="dot"/>
            </w:tabs>
            <w:rPr/>
          </w:pPr>
          <w:hyperlink w:anchor="__RefHeading___Toc10361996_73709187">
            <w:r>
              <w:rPr>
                <w:webHidden/>
                <w:rStyle w:val="IndexLink"/>
                <w:rtl w:val="true"/>
              </w:rPr>
              <w:t>المقام الثاني</w:t>
            </w:r>
            <w:r>
              <w:rPr>
                <w:rStyle w:val="IndexLink"/>
                <w:rtl w:val="true"/>
              </w:rPr>
              <w:t xml:space="preserve">: </w:t>
            </w:r>
            <w:r>
              <w:rPr>
                <w:rStyle w:val="IndexLink"/>
                <w:rtl w:val="true"/>
              </w:rPr>
              <w:t>في الغاسل</w:t>
            </w:r>
            <w:r>
              <w:rPr>
                <w:rStyle w:val="IndexLink"/>
                <w:rtl w:val="true"/>
              </w:rPr>
              <w:tab/>
            </w:r>
            <w:r>
              <w:rPr>
                <w:rStyle w:val="IndexLink"/>
              </w:rPr>
              <w:t>301</w:t>
            </w:r>
          </w:hyperlink>
        </w:p>
        <w:p>
          <w:pPr>
            <w:pStyle w:val="Contents6"/>
            <w:tabs>
              <w:tab w:val="clear" w:pos="7609"/>
              <w:tab w:val="right" w:pos="9026" w:leader="dot"/>
            </w:tabs>
            <w:rPr/>
          </w:pPr>
          <w:hyperlink w:anchor="__RefHeading___Toc10361998_73709187">
            <w:r>
              <w:rPr>
                <w:webHidden/>
                <w:rStyle w:val="IndexLink"/>
                <w:rtl w:val="true"/>
              </w:rPr>
              <w:t>اعتبار المماثلة بين الغاسل والميّت</w:t>
            </w:r>
            <w:r>
              <w:rPr>
                <w:rStyle w:val="IndexLink"/>
                <w:rtl w:val="true"/>
              </w:rPr>
              <w:tab/>
            </w:r>
            <w:r>
              <w:rPr>
                <w:rStyle w:val="IndexLink"/>
              </w:rPr>
              <w:t>301</w:t>
            </w:r>
          </w:hyperlink>
        </w:p>
        <w:p>
          <w:pPr>
            <w:pStyle w:val="Contents6"/>
            <w:tabs>
              <w:tab w:val="clear" w:pos="7609"/>
              <w:tab w:val="right" w:pos="9026" w:leader="dot"/>
            </w:tabs>
            <w:rPr/>
          </w:pPr>
          <w:hyperlink w:anchor="__RefHeading___Toc10362000_73709187">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0362002_73709187">
            <w:r>
              <w:rPr>
                <w:webHidden/>
                <w:rStyle w:val="IndexLink"/>
                <w:rtl w:val="true"/>
              </w:rPr>
              <w:t>إذا انحصر المماثل في الكتابي</w:t>
            </w:r>
            <w:r>
              <w:rPr>
                <w:rStyle w:val="IndexLink"/>
                <w:rtl w:val="true"/>
              </w:rPr>
              <w:tab/>
            </w:r>
            <w:r>
              <w:rPr>
                <w:rStyle w:val="IndexLink"/>
              </w:rPr>
              <w:t>306</w:t>
            </w:r>
          </w:hyperlink>
        </w:p>
        <w:p>
          <w:pPr>
            <w:pStyle w:val="Contents6"/>
            <w:tabs>
              <w:tab w:val="clear" w:pos="7609"/>
              <w:tab w:val="right" w:pos="9026" w:leader="dot"/>
            </w:tabs>
            <w:rPr/>
          </w:pPr>
          <w:hyperlink w:anchor="__RefHeading___Toc10362004_73709187">
            <w:r>
              <w:rPr>
                <w:webHidden/>
                <w:rStyle w:val="IndexLink"/>
                <w:rtl w:val="true"/>
              </w:rPr>
              <w:t>تغسيل الخُنثى المشكل</w:t>
            </w:r>
            <w:r>
              <w:rPr>
                <w:rStyle w:val="IndexLink"/>
                <w:rtl w:val="true"/>
              </w:rPr>
              <w:tab/>
            </w:r>
            <w:r>
              <w:rPr>
                <w:rStyle w:val="IndexLink"/>
              </w:rPr>
              <w:t>312</w:t>
            </w:r>
          </w:hyperlink>
        </w:p>
        <w:p>
          <w:pPr>
            <w:pStyle w:val="Contents6"/>
            <w:tabs>
              <w:tab w:val="clear" w:pos="7609"/>
              <w:tab w:val="right" w:pos="9026" w:leader="dot"/>
            </w:tabs>
            <w:rPr/>
          </w:pPr>
          <w:hyperlink w:anchor="__RefHeading___Toc10362006_73709187">
            <w:r>
              <w:rPr>
                <w:webHidden/>
                <w:rStyle w:val="IndexLink"/>
                <w:rtl w:val="true"/>
              </w:rPr>
              <w:t>الموارد التي لا تعتبر فيها المماثلة</w:t>
            </w:r>
            <w:r>
              <w:rPr>
                <w:rStyle w:val="IndexLink"/>
                <w:rtl w:val="true"/>
              </w:rPr>
              <w:tab/>
            </w:r>
            <w:r>
              <w:rPr>
                <w:rStyle w:val="IndexLink"/>
              </w:rPr>
              <w:t>317</w:t>
            </w:r>
          </w:hyperlink>
        </w:p>
        <w:p>
          <w:pPr>
            <w:pStyle w:val="Contents6"/>
            <w:tabs>
              <w:tab w:val="clear" w:pos="7609"/>
              <w:tab w:val="right" w:pos="9026" w:leader="dot"/>
            </w:tabs>
            <w:rPr/>
          </w:pPr>
          <w:hyperlink w:anchor="__RefHeading___Toc10362008_73709187">
            <w:r>
              <w:rPr>
                <w:webHidden/>
                <w:rStyle w:val="IndexLink"/>
                <w:rtl w:val="true"/>
              </w:rPr>
              <w:t>عدم اعتبار المماثلة في الصبيّ والصبيّة</w:t>
            </w:r>
            <w:r>
              <w:rPr>
                <w:rStyle w:val="IndexLink"/>
                <w:rtl w:val="true"/>
              </w:rPr>
              <w:tab/>
            </w:r>
            <w:r>
              <w:rPr>
                <w:rStyle w:val="IndexLink"/>
              </w:rPr>
              <w:t>317</w:t>
            </w:r>
          </w:hyperlink>
        </w:p>
        <w:p>
          <w:pPr>
            <w:pStyle w:val="Contents6"/>
            <w:tabs>
              <w:tab w:val="clear" w:pos="7609"/>
              <w:tab w:val="right" w:pos="9026" w:leader="dot"/>
            </w:tabs>
            <w:rPr/>
          </w:pPr>
          <w:hyperlink w:anchor="__RefHeading___Toc10362010_73709187">
            <w:r>
              <w:rPr>
                <w:webHidden/>
                <w:rStyle w:val="IndexLink"/>
                <w:rtl w:val="true"/>
              </w:rPr>
              <w:t>في تغسيل الزوجين أحدهما الآخر</w:t>
            </w:r>
            <w:r>
              <w:rPr>
                <w:rStyle w:val="IndexLink"/>
                <w:rtl w:val="true"/>
              </w:rPr>
              <w:tab/>
            </w:r>
            <w:r>
              <w:rPr>
                <w:rStyle w:val="IndexLink"/>
              </w:rPr>
              <w:t>321</w:t>
            </w:r>
          </w:hyperlink>
        </w:p>
        <w:p>
          <w:pPr>
            <w:pStyle w:val="Contents6"/>
            <w:tabs>
              <w:tab w:val="clear" w:pos="7609"/>
              <w:tab w:val="right" w:pos="9026" w:leader="dot"/>
            </w:tabs>
            <w:rPr/>
          </w:pPr>
          <w:hyperlink w:anchor="__RefHeading___Toc10362012_7370918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10362014_73709187">
            <w:r>
              <w:rPr>
                <w:webHidden/>
                <w:rStyle w:val="IndexLink"/>
                <w:rtl w:val="true"/>
              </w:rPr>
              <w:t>أقول</w:t>
            </w:r>
            <w:r>
              <w:rPr>
                <w:rStyle w:val="IndexLink"/>
                <w:rtl w:val="true"/>
              </w:rPr>
              <w:t xml:space="preserve">: </w:t>
            </w:r>
            <w:r>
              <w:rPr>
                <w:rStyle w:val="IndexLink"/>
                <w:rtl w:val="true"/>
              </w:rPr>
              <w:t>بعد وضوح أصل الحكم في ثاني الموارد، يقع الكلام في عدّة اُمور</w:t>
            </w:r>
            <w:r>
              <w:rPr>
                <w:rStyle w:val="IndexLink"/>
                <w:rtl w:val="true"/>
              </w:rPr>
              <w:t>:</w:t>
              <w:tab/>
            </w:r>
            <w:r>
              <w:rPr>
                <w:rStyle w:val="IndexLink"/>
              </w:rPr>
              <w:t>324</w:t>
            </w:r>
          </w:hyperlink>
        </w:p>
        <w:p>
          <w:pPr>
            <w:pStyle w:val="Contents6"/>
            <w:tabs>
              <w:tab w:val="clear" w:pos="7609"/>
              <w:tab w:val="right" w:pos="9026" w:leader="dot"/>
            </w:tabs>
            <w:rPr/>
          </w:pPr>
          <w:hyperlink w:anchor="__RefHeading___Toc10362016_73709187">
            <w:r>
              <w:rPr>
                <w:webHidden/>
                <w:rStyle w:val="IndexLink"/>
                <w:rtl w:val="true"/>
              </w:rPr>
              <w:t>هل يعتبر فقد المماثل</w:t>
            </w:r>
            <w:r>
              <w:rPr>
                <w:rStyle w:val="IndexLink"/>
                <w:rtl w:val="true"/>
              </w:rPr>
              <w:tab/>
            </w:r>
            <w:r>
              <w:rPr>
                <w:rStyle w:val="IndexLink"/>
              </w:rPr>
              <w:t>324</w:t>
            </w:r>
          </w:hyperlink>
        </w:p>
        <w:p>
          <w:pPr>
            <w:pStyle w:val="Contents6"/>
            <w:tabs>
              <w:tab w:val="clear" w:pos="7609"/>
              <w:tab w:val="right" w:pos="9026" w:leader="dot"/>
            </w:tabs>
            <w:rPr/>
          </w:pPr>
          <w:hyperlink w:anchor="__RefHeading___Toc10362018_73709187">
            <w:r>
              <w:rPr>
                <w:webHidden/>
                <w:rStyle w:val="IndexLink"/>
                <w:rtl w:val="true"/>
              </w:rPr>
              <w:t>عدم اعتبار الغُسل من وراء الثياب</w:t>
            </w:r>
            <w:r>
              <w:rPr>
                <w:rStyle w:val="IndexLink"/>
                <w:rtl w:val="true"/>
              </w:rPr>
              <w:tab/>
            </w:r>
            <w:r>
              <w:rPr>
                <w:rStyle w:val="IndexLink"/>
              </w:rPr>
              <w:t>327</w:t>
            </w:r>
          </w:hyperlink>
        </w:p>
        <w:p>
          <w:pPr>
            <w:pStyle w:val="Contents6"/>
            <w:tabs>
              <w:tab w:val="clear" w:pos="7609"/>
              <w:tab w:val="right" w:pos="9026" w:leader="dot"/>
            </w:tabs>
            <w:rPr/>
          </w:pPr>
          <w:hyperlink w:anchor="__RefHeading___Toc10362020_73709187">
            <w:r>
              <w:rPr>
                <w:webHidden/>
                <w:rStyle w:val="IndexLink"/>
                <w:rtl w:val="true"/>
              </w:rPr>
              <w:t>تغسيل المحارم بعضهم بعضاً</w:t>
            </w:r>
            <w:r>
              <w:rPr>
                <w:rStyle w:val="IndexLink"/>
                <w:rtl w:val="true"/>
              </w:rPr>
              <w:tab/>
            </w:r>
            <w:r>
              <w:rPr>
                <w:rStyle w:val="IndexLink"/>
              </w:rPr>
              <w:t>333</w:t>
            </w:r>
          </w:hyperlink>
        </w:p>
        <w:p>
          <w:pPr>
            <w:pStyle w:val="Contents6"/>
            <w:tabs>
              <w:tab w:val="clear" w:pos="7609"/>
              <w:tab w:val="right" w:pos="9026" w:leader="dot"/>
            </w:tabs>
            <w:rPr/>
          </w:pPr>
          <w:hyperlink w:anchor="__RefHeading___Toc10362022_73709187">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362024_73709187">
            <w:r>
              <w:rPr>
                <w:webHidden/>
                <w:rStyle w:val="IndexLink"/>
                <w:rtl w:val="true"/>
              </w:rPr>
              <w:t>في اشتراط التغسيل من وراء الثياب</w:t>
            </w:r>
            <w:r>
              <w:rPr>
                <w:rStyle w:val="IndexLink"/>
                <w:rtl w:val="true"/>
              </w:rPr>
              <w:tab/>
            </w:r>
            <w:r>
              <w:rPr>
                <w:rStyle w:val="IndexLink"/>
              </w:rPr>
              <w:t>336</w:t>
            </w:r>
          </w:hyperlink>
        </w:p>
        <w:p>
          <w:pPr>
            <w:pStyle w:val="Contents6"/>
            <w:tabs>
              <w:tab w:val="clear" w:pos="7609"/>
              <w:tab w:val="right" w:pos="9026" w:leader="dot"/>
            </w:tabs>
            <w:rPr/>
          </w:pPr>
          <w:hyperlink w:anchor="__RefHeading___Toc10362026_73709187">
            <w:r>
              <w:rPr>
                <w:webHidden/>
                <w:rStyle w:val="IndexLink"/>
                <w:rtl w:val="true"/>
              </w:rPr>
              <w:t>تغسيل المولى أمَتَه</w:t>
            </w:r>
            <w:r>
              <w:rPr>
                <w:rStyle w:val="IndexLink"/>
                <w:rtl w:val="true"/>
              </w:rPr>
              <w:tab/>
            </w:r>
            <w:r>
              <w:rPr>
                <w:rStyle w:val="IndexLink"/>
              </w:rPr>
              <w:t>338</w:t>
            </w:r>
          </w:hyperlink>
        </w:p>
        <w:p>
          <w:pPr>
            <w:pStyle w:val="Contents6"/>
            <w:tabs>
              <w:tab w:val="clear" w:pos="7609"/>
              <w:tab w:val="right" w:pos="9026" w:leader="dot"/>
            </w:tabs>
            <w:rPr/>
          </w:pPr>
          <w:hyperlink w:anchor="__RefHeading___Toc10362028_73709187">
            <w:r>
              <w:rPr>
                <w:webHidden/>
                <w:rStyle w:val="IndexLink"/>
                <w:rtl w:val="true"/>
              </w:rPr>
              <w:t>المقام الثالث</w:t>
            </w:r>
            <w:r>
              <w:rPr>
                <w:rStyle w:val="IndexLink"/>
                <w:rtl w:val="true"/>
              </w:rPr>
              <w:t xml:space="preserve">: </w:t>
            </w:r>
            <w:r>
              <w:rPr>
                <w:rStyle w:val="IndexLink"/>
                <w:rtl w:val="true"/>
              </w:rPr>
              <w:t>كيفيّة التغسيل</w:t>
            </w:r>
            <w:r>
              <w:rPr>
                <w:rStyle w:val="IndexLink"/>
                <w:rtl w:val="true"/>
              </w:rPr>
              <w:tab/>
            </w:r>
            <w:r>
              <w:rPr>
                <w:rStyle w:val="IndexLink"/>
              </w:rPr>
              <w:t>340</w:t>
            </w:r>
          </w:hyperlink>
        </w:p>
        <w:p>
          <w:pPr>
            <w:pStyle w:val="Contents6"/>
            <w:tabs>
              <w:tab w:val="clear" w:pos="7609"/>
              <w:tab w:val="right" w:pos="9026" w:leader="dot"/>
            </w:tabs>
            <w:rPr/>
          </w:pPr>
          <w:hyperlink w:anchor="__RefHeading___Toc10362030_7370918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0362032_73709187">
            <w:r>
              <w:rPr>
                <w:webHidden/>
                <w:rStyle w:val="IndexLink"/>
                <w:rtl w:val="true"/>
              </w:rPr>
              <w:t>كيفيّة التغسيل</w:t>
            </w:r>
            <w:r>
              <w:rPr>
                <w:rStyle w:val="IndexLink"/>
                <w:rtl w:val="true"/>
              </w:rPr>
              <w:tab/>
            </w:r>
            <w:r>
              <w:rPr>
                <w:rStyle w:val="IndexLink"/>
              </w:rPr>
              <w:t>340</w:t>
            </w:r>
          </w:hyperlink>
        </w:p>
        <w:p>
          <w:pPr>
            <w:pStyle w:val="Contents6"/>
            <w:tabs>
              <w:tab w:val="clear" w:pos="7609"/>
              <w:tab w:val="right" w:pos="9026" w:leader="dot"/>
            </w:tabs>
            <w:rPr/>
          </w:pPr>
          <w:hyperlink w:anchor="__RefHeading___Toc10362034_73709187">
            <w:r>
              <w:rPr>
                <w:webHidden/>
                <w:rStyle w:val="IndexLink"/>
                <w:rtl w:val="true"/>
              </w:rPr>
              <w:t>تنبيهات غُسل الجنابة</w:t>
            </w:r>
            <w:r>
              <w:rPr>
                <w:rStyle w:val="IndexLink"/>
                <w:rtl w:val="true"/>
              </w:rPr>
              <w:tab/>
            </w:r>
            <w:r>
              <w:rPr>
                <w:rStyle w:val="IndexLink"/>
              </w:rPr>
              <w:t>344</w:t>
            </w:r>
          </w:hyperlink>
        </w:p>
        <w:p>
          <w:pPr>
            <w:pStyle w:val="Contents6"/>
            <w:tabs>
              <w:tab w:val="clear" w:pos="7609"/>
              <w:tab w:val="right" w:pos="9026" w:leader="dot"/>
            </w:tabs>
            <w:rPr/>
          </w:pPr>
          <w:hyperlink w:anchor="__RefHeading___Toc10362036_7370918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0362038_73709187">
            <w:r>
              <w:rPr>
                <w:webHidden/>
                <w:rStyle w:val="IndexLink"/>
                <w:rtl w:val="true"/>
              </w:rPr>
              <w:t>في كفاية الارتماس في الأغسال الثلاثة</w:t>
            </w:r>
            <w:r>
              <w:rPr>
                <w:rStyle w:val="IndexLink"/>
                <w:rtl w:val="true"/>
              </w:rPr>
              <w:tab/>
            </w:r>
            <w:r>
              <w:rPr>
                <w:rStyle w:val="IndexLink"/>
              </w:rPr>
              <w:t>344</w:t>
            </w:r>
          </w:hyperlink>
        </w:p>
        <w:p>
          <w:pPr>
            <w:pStyle w:val="Contents6"/>
            <w:tabs>
              <w:tab w:val="clear" w:pos="7609"/>
              <w:tab w:val="right" w:pos="9026" w:leader="dot"/>
            </w:tabs>
            <w:rPr/>
          </w:pPr>
          <w:hyperlink w:anchor="__RefHeading___Toc10362040_73709187">
            <w:r>
              <w:rPr>
                <w:webHidden/>
                <w:rStyle w:val="IndexLink"/>
                <w:rtl w:val="true"/>
              </w:rPr>
              <w:t>في وجوب الوضوء مع الغُسل قبله أو بعده خلافٌ‌</w:t>
            </w:r>
            <w:r>
              <w:rPr>
                <w:rStyle w:val="IndexLink"/>
                <w:rtl w:val="true"/>
              </w:rPr>
              <w:tab/>
            </w:r>
            <w:r>
              <w:rPr>
                <w:rStyle w:val="IndexLink"/>
              </w:rPr>
              <w:t>346</w:t>
            </w:r>
          </w:hyperlink>
        </w:p>
        <w:p>
          <w:pPr>
            <w:pStyle w:val="Contents6"/>
            <w:tabs>
              <w:tab w:val="clear" w:pos="7609"/>
              <w:tab w:val="right" w:pos="9026" w:leader="dot"/>
            </w:tabs>
            <w:rPr/>
          </w:pPr>
          <w:hyperlink w:anchor="__RefHeading___Toc10362042_73709187">
            <w:r>
              <w:rPr>
                <w:webHidden/>
                <w:rStyle w:val="IndexLink"/>
                <w:rtl w:val="true"/>
              </w:rPr>
              <w:t>تجب إزالة النّجاسة قَبل الغُسل</w:t>
            </w:r>
            <w:r>
              <w:rPr>
                <w:rStyle w:val="IndexLink"/>
                <w:rtl w:val="true"/>
              </w:rPr>
              <w:tab/>
            </w:r>
            <w:r>
              <w:rPr>
                <w:rStyle w:val="IndexLink"/>
              </w:rPr>
              <w:t>348</w:t>
            </w:r>
          </w:hyperlink>
        </w:p>
        <w:p>
          <w:pPr>
            <w:pStyle w:val="Contents6"/>
            <w:tabs>
              <w:tab w:val="clear" w:pos="7609"/>
              <w:tab w:val="right" w:pos="9026" w:leader="dot"/>
            </w:tabs>
            <w:rPr/>
          </w:pPr>
          <w:hyperlink w:anchor="__RefHeading___Toc10362044_73709187">
            <w:r>
              <w:rPr>
                <w:webHidden/>
                <w:rStyle w:val="IndexLink"/>
                <w:rtl w:val="true"/>
              </w:rPr>
              <w:t>مقدار السِّدر والكافور</w:t>
            </w:r>
            <w:r>
              <w:rPr>
                <w:rStyle w:val="IndexLink"/>
                <w:rtl w:val="true"/>
              </w:rPr>
              <w:tab/>
            </w:r>
            <w:r>
              <w:rPr>
                <w:rStyle w:val="IndexLink"/>
              </w:rPr>
              <w:t>351</w:t>
            </w:r>
          </w:hyperlink>
        </w:p>
        <w:p>
          <w:pPr>
            <w:pStyle w:val="Contents6"/>
            <w:tabs>
              <w:tab w:val="clear" w:pos="7609"/>
              <w:tab w:val="right" w:pos="9026" w:leader="dot"/>
            </w:tabs>
            <w:rPr/>
          </w:pPr>
          <w:hyperlink w:anchor="__RefHeading___Toc10362046_73709187">
            <w:r>
              <w:rPr>
                <w:webHidden/>
                <w:rStyle w:val="IndexLink"/>
                <w:rtl w:val="true"/>
              </w:rPr>
              <w:t>تعذّر السِّدر والكافور</w:t>
            </w:r>
            <w:r>
              <w:rPr>
                <w:rStyle w:val="IndexLink"/>
                <w:rtl w:val="true"/>
              </w:rPr>
              <w:tab/>
            </w:r>
            <w:r>
              <w:rPr>
                <w:rStyle w:val="IndexLink"/>
              </w:rPr>
              <w:t>356</w:t>
            </w:r>
          </w:hyperlink>
        </w:p>
        <w:p>
          <w:pPr>
            <w:pStyle w:val="Contents6"/>
            <w:tabs>
              <w:tab w:val="clear" w:pos="7609"/>
              <w:tab w:val="right" w:pos="9026" w:leader="dot"/>
            </w:tabs>
            <w:rPr/>
          </w:pPr>
          <w:hyperlink w:anchor="__RefHeading___Toc10362048_73709187">
            <w:r>
              <w:rPr>
                <w:webHidden/>
                <w:rStyle w:val="IndexLink"/>
                <w:rtl w:val="true"/>
              </w:rPr>
              <w:t>إذا كان الماء بمقدار غُسلٍ واحد</w:t>
            </w:r>
            <w:r>
              <w:rPr>
                <w:rStyle w:val="IndexLink"/>
                <w:rtl w:val="true"/>
              </w:rPr>
              <w:tab/>
            </w:r>
            <w:r>
              <w:rPr>
                <w:rStyle w:val="IndexLink"/>
              </w:rPr>
              <w:t>360</w:t>
            </w:r>
          </w:hyperlink>
        </w:p>
        <w:p>
          <w:pPr>
            <w:pStyle w:val="Contents6"/>
            <w:tabs>
              <w:tab w:val="clear" w:pos="7609"/>
              <w:tab w:val="right" w:pos="9026" w:leader="dot"/>
            </w:tabs>
            <w:rPr/>
          </w:pPr>
          <w:hyperlink w:anchor="__RefHeading___Toc10362050_73709187">
            <w:r>
              <w:rPr>
                <w:webHidden/>
                <w:rStyle w:val="IndexLink"/>
                <w:rtl w:val="true"/>
              </w:rPr>
              <w:t>تعذّر الماء</w:t>
            </w:r>
            <w:r>
              <w:rPr>
                <w:rStyle w:val="IndexLink"/>
                <w:rtl w:val="true"/>
              </w:rPr>
              <w:tab/>
            </w:r>
            <w:r>
              <w:rPr>
                <w:rStyle w:val="IndexLink"/>
              </w:rPr>
              <w:t>362</w:t>
            </w:r>
          </w:hyperlink>
        </w:p>
        <w:p>
          <w:pPr>
            <w:pStyle w:val="Contents6"/>
            <w:tabs>
              <w:tab w:val="clear" w:pos="7609"/>
              <w:tab w:val="right" w:pos="9026" w:leader="dot"/>
            </w:tabs>
            <w:rPr/>
          </w:pPr>
          <w:hyperlink w:anchor="__RefHeading___Toc10362052_73709187">
            <w:r>
              <w:rPr>
                <w:webHidden/>
                <w:rStyle w:val="IndexLink"/>
                <w:rtl w:val="true"/>
              </w:rPr>
              <w:t>المقام الرابع</w:t>
            </w:r>
            <w:r>
              <w:rPr>
                <w:rStyle w:val="IndexLink"/>
                <w:rtl w:val="true"/>
              </w:rPr>
              <w:t xml:space="preserve">: </w:t>
            </w:r>
            <w:r>
              <w:rPr>
                <w:rStyle w:val="IndexLink"/>
                <w:rtl w:val="true"/>
              </w:rPr>
              <w:t>في شروط الغسل</w:t>
            </w:r>
            <w:r>
              <w:rPr>
                <w:rStyle w:val="IndexLink"/>
                <w:rtl w:val="true"/>
              </w:rPr>
              <w:tab/>
            </w:r>
            <w:r>
              <w:rPr>
                <w:rStyle w:val="IndexLink"/>
              </w:rPr>
              <w:t>366</w:t>
            </w:r>
          </w:hyperlink>
        </w:p>
        <w:p>
          <w:pPr>
            <w:pStyle w:val="Contents6"/>
            <w:tabs>
              <w:tab w:val="clear" w:pos="7609"/>
              <w:tab w:val="right" w:pos="9026" w:leader="dot"/>
            </w:tabs>
            <w:rPr/>
          </w:pPr>
          <w:hyperlink w:anchor="__RefHeading___Toc10362054_73709187">
            <w:r>
              <w:rPr>
                <w:webHidden/>
                <w:rStyle w:val="IndexLink"/>
                <w:rtl w:val="true"/>
              </w:rPr>
              <w:t>اعتبار نيّة القُربة في الغُسل</w:t>
            </w:r>
            <w:r>
              <w:rPr>
                <w:rStyle w:val="IndexLink"/>
                <w:rtl w:val="true"/>
              </w:rPr>
              <w:tab/>
            </w:r>
            <w:r>
              <w:rPr>
                <w:rStyle w:val="IndexLink"/>
              </w:rPr>
              <w:t>366</w:t>
            </w:r>
          </w:hyperlink>
        </w:p>
        <w:p>
          <w:pPr>
            <w:pStyle w:val="Contents6"/>
            <w:tabs>
              <w:tab w:val="clear" w:pos="7609"/>
              <w:tab w:val="right" w:pos="9026" w:leader="dot"/>
            </w:tabs>
            <w:rPr/>
          </w:pPr>
          <w:hyperlink w:anchor="__RefHeading___Toc10362056_73709187">
            <w:r>
              <w:rPr>
                <w:webHidden/>
                <w:rStyle w:val="IndexLink"/>
                <w:rtl w:val="true"/>
              </w:rPr>
              <w:t>المقام الخامس</w:t>
            </w:r>
            <w:r>
              <w:rPr>
                <w:rStyle w:val="IndexLink"/>
                <w:rtl w:val="true"/>
              </w:rPr>
              <w:t xml:space="preserve">: </w:t>
            </w:r>
            <w:r>
              <w:rPr>
                <w:rStyle w:val="IndexLink"/>
                <w:rtl w:val="true"/>
              </w:rPr>
              <w:t>في بيان آداب الغُسل</w:t>
            </w:r>
            <w:r>
              <w:rPr>
                <w:rStyle w:val="IndexLink"/>
                <w:rtl w:val="true"/>
              </w:rPr>
              <w:t>.</w:t>
              <w:tab/>
            </w:r>
            <w:r>
              <w:rPr>
                <w:rStyle w:val="IndexLink"/>
              </w:rPr>
              <w:t>372</w:t>
            </w:r>
          </w:hyperlink>
        </w:p>
        <w:p>
          <w:pPr>
            <w:pStyle w:val="Contents6"/>
            <w:tabs>
              <w:tab w:val="clear" w:pos="7609"/>
              <w:tab w:val="right" w:pos="9026" w:leader="dot"/>
            </w:tabs>
            <w:rPr/>
          </w:pPr>
          <w:hyperlink w:anchor="__RefHeading___Toc10362058_73709187">
            <w:r>
              <w:rPr>
                <w:webHidden/>
                <w:rStyle w:val="IndexLink"/>
                <w:rtl w:val="true"/>
              </w:rPr>
              <w:t>المقام السادس</w:t>
            </w:r>
            <w:r>
              <w:rPr>
                <w:rStyle w:val="IndexLink"/>
                <w:rtl w:val="true"/>
              </w:rPr>
              <w:t xml:space="preserve">: </w:t>
            </w:r>
            <w:r>
              <w:rPr>
                <w:rStyle w:val="IndexLink"/>
                <w:rtl w:val="true"/>
              </w:rPr>
              <w:t>في المكروهات</w:t>
            </w:r>
            <w:r>
              <w:rPr>
                <w:rStyle w:val="IndexLink"/>
                <w:rtl w:val="true"/>
              </w:rPr>
              <w:t>.</w:t>
              <w:tab/>
            </w:r>
            <w:r>
              <w:rPr>
                <w:rStyle w:val="IndexLink"/>
              </w:rPr>
              <w:t>379</w:t>
            </w:r>
          </w:hyperlink>
        </w:p>
        <w:p>
          <w:pPr>
            <w:pStyle w:val="Contents5"/>
            <w:tabs>
              <w:tab w:val="clear" w:pos="7892"/>
              <w:tab w:val="right" w:pos="9026" w:leader="dot"/>
            </w:tabs>
            <w:rPr/>
          </w:pPr>
          <w:hyperlink w:anchor="__RefHeading___Toc10362060_73709187">
            <w:r>
              <w:rPr>
                <w:webHidden/>
                <w:rStyle w:val="IndexLink"/>
                <w:rtl w:val="true"/>
              </w:rPr>
              <w:t>البحث الثالث</w:t>
            </w:r>
            <w:r>
              <w:rPr>
                <w:rStyle w:val="IndexLink"/>
                <w:rtl w:val="true"/>
              </w:rPr>
              <w:t xml:space="preserve">: </w:t>
            </w:r>
            <w:r>
              <w:rPr>
                <w:rStyle w:val="IndexLink"/>
                <w:rtl w:val="true"/>
              </w:rPr>
              <w:t>التكفين</w:t>
            </w:r>
            <w:r>
              <w:rPr>
                <w:rStyle w:val="IndexLink"/>
                <w:rtl w:val="true"/>
              </w:rPr>
              <w:tab/>
            </w:r>
            <w:r>
              <w:rPr>
                <w:rStyle w:val="IndexLink"/>
              </w:rPr>
              <w:t>382</w:t>
            </w:r>
          </w:hyperlink>
        </w:p>
        <w:p>
          <w:pPr>
            <w:pStyle w:val="Contents6"/>
            <w:tabs>
              <w:tab w:val="clear" w:pos="7609"/>
              <w:tab w:val="right" w:pos="9026" w:leader="dot"/>
            </w:tabs>
            <w:rPr/>
          </w:pPr>
          <w:hyperlink w:anchor="__RefHeading___Toc10362062_73709187">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0362064_73709187">
            <w:r>
              <w:rPr>
                <w:webHidden/>
                <w:rStyle w:val="IndexLink"/>
                <w:rtl w:val="true"/>
              </w:rPr>
              <w:t>تكفين الميّت</w:t>
            </w:r>
            <w:r>
              <w:rPr>
                <w:rStyle w:val="IndexLink"/>
                <w:rtl w:val="true"/>
              </w:rPr>
              <w:tab/>
            </w:r>
            <w:r>
              <w:rPr>
                <w:rStyle w:val="IndexLink"/>
              </w:rPr>
              <w:t>382</w:t>
            </w:r>
          </w:hyperlink>
        </w:p>
        <w:p>
          <w:pPr>
            <w:pStyle w:val="Contents6"/>
            <w:tabs>
              <w:tab w:val="clear" w:pos="7609"/>
              <w:tab w:val="right" w:pos="9026" w:leader="dot"/>
            </w:tabs>
            <w:rPr/>
          </w:pPr>
          <w:hyperlink w:anchor="__RefHeading___Toc10362066_73709187">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0362068_73709187">
            <w:r>
              <w:rPr>
                <w:webHidden/>
                <w:rStyle w:val="IndexLink"/>
                <w:rtl w:val="true"/>
              </w:rPr>
              <w:t>فروع</w:t>
            </w:r>
            <w:r>
              <w:rPr>
                <w:rStyle w:val="IndexLink"/>
                <w:rtl w:val="true"/>
              </w:rPr>
              <w:t>:</w:t>
              <w:tab/>
            </w:r>
            <w:r>
              <w:rPr>
                <w:rStyle w:val="IndexLink"/>
              </w:rPr>
              <w:t>392</w:t>
            </w:r>
          </w:hyperlink>
        </w:p>
        <w:p>
          <w:pPr>
            <w:pStyle w:val="Contents6"/>
            <w:tabs>
              <w:tab w:val="clear" w:pos="7609"/>
              <w:tab w:val="right" w:pos="9026" w:leader="dot"/>
            </w:tabs>
            <w:rPr/>
          </w:pPr>
          <w:hyperlink w:anchor="__RefHeading___Toc10362070_73709187">
            <w:r>
              <w:rPr>
                <w:webHidden/>
                <w:rStyle w:val="IndexLink"/>
                <w:rtl w:val="true"/>
              </w:rPr>
              <w:t>لو لم يوجد إلّاثوبٌ واحد</w:t>
            </w:r>
            <w:r>
              <w:rPr>
                <w:rStyle w:val="IndexLink"/>
                <w:rtl w:val="true"/>
              </w:rPr>
              <w:tab/>
            </w:r>
            <w:r>
              <w:rPr>
                <w:rStyle w:val="IndexLink"/>
              </w:rPr>
              <w:t>392</w:t>
            </w:r>
          </w:hyperlink>
        </w:p>
        <w:p>
          <w:pPr>
            <w:pStyle w:val="Contents6"/>
            <w:tabs>
              <w:tab w:val="clear" w:pos="7609"/>
              <w:tab w:val="right" w:pos="9026" w:leader="dot"/>
            </w:tabs>
            <w:rPr/>
          </w:pPr>
          <w:hyperlink w:anchor="__RefHeading___Toc10362072_73709187">
            <w:r>
              <w:rPr>
                <w:webHidden/>
                <w:rStyle w:val="IndexLink"/>
                <w:rtl w:val="true"/>
              </w:rPr>
              <w:t>هل يعتبر في كلّ ثوبٍ من الأثواب الثلاثة أن يكون ساتراً</w:t>
            </w:r>
            <w:r>
              <w:rPr>
                <w:rStyle w:val="IndexLink"/>
                <w:rtl w:val="true"/>
              </w:rPr>
              <w:tab/>
            </w:r>
            <w:r>
              <w:rPr>
                <w:rStyle w:val="IndexLink"/>
              </w:rPr>
              <w:t>394</w:t>
            </w:r>
          </w:hyperlink>
        </w:p>
        <w:p>
          <w:pPr>
            <w:pStyle w:val="Contents6"/>
            <w:tabs>
              <w:tab w:val="clear" w:pos="7609"/>
              <w:tab w:val="right" w:pos="9026" w:leader="dot"/>
            </w:tabs>
            <w:rPr/>
          </w:pPr>
          <w:hyperlink w:anchor="__RefHeading___Toc10362074_73709187">
            <w:r>
              <w:rPr>
                <w:webHidden/>
                <w:rStyle w:val="IndexLink"/>
                <w:rtl w:val="true"/>
              </w:rPr>
              <w:t>لا يجوز التكفين بالحرير</w:t>
            </w:r>
            <w:r>
              <w:rPr>
                <w:rStyle w:val="IndexLink"/>
                <w:rtl w:val="true"/>
              </w:rPr>
              <w:tab/>
            </w:r>
            <w:r>
              <w:rPr>
                <w:rStyle w:val="IndexLink"/>
              </w:rPr>
              <w:t>395</w:t>
            </w:r>
          </w:hyperlink>
        </w:p>
        <w:p>
          <w:pPr>
            <w:pStyle w:val="Contents6"/>
            <w:tabs>
              <w:tab w:val="clear" w:pos="7609"/>
              <w:tab w:val="right" w:pos="9026" w:leader="dot"/>
            </w:tabs>
            <w:rPr/>
          </w:pPr>
          <w:hyperlink w:anchor="__RefHeading___Toc10362076_73709187">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0362078_73709187">
            <w:r>
              <w:rPr>
                <w:webHidden/>
                <w:rStyle w:val="IndexLink"/>
                <w:rtl w:val="true"/>
              </w:rPr>
              <w:t>التكفين بما لا يؤكل لحمه</w:t>
            </w:r>
            <w:r>
              <w:rPr>
                <w:rStyle w:val="IndexLink"/>
                <w:rtl w:val="true"/>
              </w:rPr>
              <w:tab/>
            </w:r>
            <w:r>
              <w:rPr>
                <w:rStyle w:val="IndexLink"/>
              </w:rPr>
              <w:t>398</w:t>
            </w:r>
          </w:hyperlink>
        </w:p>
        <w:p>
          <w:pPr>
            <w:pStyle w:val="Contents6"/>
            <w:tabs>
              <w:tab w:val="clear" w:pos="7609"/>
              <w:tab w:val="right" w:pos="9026" w:leader="dot"/>
            </w:tabs>
            <w:rPr/>
          </w:pPr>
          <w:hyperlink w:anchor="__RefHeading___Toc10362080_73709187">
            <w:r>
              <w:rPr>
                <w:webHidden/>
                <w:rStyle w:val="IndexLink"/>
                <w:rtl w:val="true"/>
              </w:rPr>
              <w:t>اعتبار طهارة الأثواب</w:t>
            </w:r>
            <w:r>
              <w:rPr>
                <w:rStyle w:val="IndexLink"/>
                <w:rtl w:val="true"/>
              </w:rPr>
              <w:tab/>
            </w:r>
            <w:r>
              <w:rPr>
                <w:rStyle w:val="IndexLink"/>
              </w:rPr>
              <w:t>400</w:t>
            </w:r>
          </w:hyperlink>
        </w:p>
        <w:p>
          <w:pPr>
            <w:pStyle w:val="Contents6"/>
            <w:tabs>
              <w:tab w:val="clear" w:pos="7609"/>
              <w:tab w:val="right" w:pos="9026" w:leader="dot"/>
            </w:tabs>
            <w:rPr/>
          </w:pPr>
          <w:hyperlink w:anchor="__RefHeading___Toc10362082_73709187">
            <w:r>
              <w:rPr>
                <w:webHidden/>
                <w:rStyle w:val="IndexLink"/>
                <w:rtl w:val="true"/>
              </w:rPr>
              <w:t>لا يجوز التكفين بالمغصوب إجماعاً</w:t>
            </w:r>
            <w:r>
              <w:rPr>
                <w:rStyle w:val="IndexLink"/>
                <w:rtl w:val="true"/>
              </w:rPr>
              <w:tab/>
            </w:r>
            <w:r>
              <w:rPr>
                <w:rStyle w:val="IndexLink"/>
              </w:rPr>
              <w:t>402</w:t>
            </w:r>
          </w:hyperlink>
        </w:p>
        <w:p>
          <w:pPr>
            <w:pStyle w:val="Contents6"/>
            <w:tabs>
              <w:tab w:val="clear" w:pos="7609"/>
              <w:tab w:val="right" w:pos="9026" w:leader="dot"/>
            </w:tabs>
            <w:rPr/>
          </w:pPr>
          <w:hyperlink w:anchor="__RefHeading___Toc10362084_73709187">
            <w:r>
              <w:rPr>
                <w:webHidden/>
                <w:rStyle w:val="IndexLink"/>
                <w:rtl w:val="true"/>
              </w:rPr>
              <w:t>التكفين في حال الاضطرار</w:t>
            </w:r>
            <w:r>
              <w:rPr>
                <w:rStyle w:val="IndexLink"/>
                <w:rtl w:val="true"/>
              </w:rPr>
              <w:tab/>
            </w:r>
            <w:r>
              <w:rPr>
                <w:rStyle w:val="IndexLink"/>
              </w:rPr>
              <w:t>403</w:t>
            </w:r>
          </w:hyperlink>
        </w:p>
        <w:p>
          <w:pPr>
            <w:pStyle w:val="Contents6"/>
            <w:tabs>
              <w:tab w:val="clear" w:pos="7609"/>
              <w:tab w:val="right" w:pos="9026" w:leader="dot"/>
            </w:tabs>
            <w:rPr/>
          </w:pPr>
          <w:hyperlink w:anchor="__RefHeading___Toc10362086_73709187">
            <w:r>
              <w:rPr>
                <w:webHidden/>
                <w:rStyle w:val="IndexLink"/>
                <w:rtl w:val="true"/>
              </w:rPr>
              <w:t>التَحنيط</w:t>
            </w:r>
            <w:r>
              <w:rPr>
                <w:rStyle w:val="IndexLink"/>
                <w:rtl w:val="true"/>
              </w:rPr>
              <w:tab/>
            </w:r>
            <w:r>
              <w:rPr>
                <w:rStyle w:val="IndexLink"/>
              </w:rPr>
              <w:t>409</w:t>
            </w:r>
          </w:hyperlink>
        </w:p>
        <w:p>
          <w:pPr>
            <w:pStyle w:val="Contents6"/>
            <w:tabs>
              <w:tab w:val="clear" w:pos="7609"/>
              <w:tab w:val="right" w:pos="9026" w:leader="dot"/>
            </w:tabs>
            <w:rPr/>
          </w:pPr>
          <w:hyperlink w:anchor="__RefHeading___Toc10362088_73709187">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10362090_73709187">
            <w:r>
              <w:rPr>
                <w:webHidden/>
                <w:rStyle w:val="IndexLink"/>
                <w:rtl w:val="true"/>
              </w:rPr>
              <w:t>أقلّ ما يُجزي من الكافور</w:t>
            </w:r>
            <w:r>
              <w:rPr>
                <w:rStyle w:val="IndexLink"/>
                <w:rtl w:val="true"/>
              </w:rPr>
              <w:tab/>
            </w:r>
            <w:r>
              <w:rPr>
                <w:rStyle w:val="IndexLink"/>
              </w:rPr>
              <w:t>418</w:t>
            </w:r>
          </w:hyperlink>
        </w:p>
        <w:p>
          <w:pPr>
            <w:pStyle w:val="Contents6"/>
            <w:tabs>
              <w:tab w:val="clear" w:pos="7609"/>
              <w:tab w:val="right" w:pos="9026" w:leader="dot"/>
            </w:tabs>
            <w:rPr/>
          </w:pPr>
          <w:hyperlink w:anchor="__RefHeading___Toc10362092_73709187">
            <w:r>
              <w:rPr>
                <w:webHidden/>
                <w:rStyle w:val="IndexLink"/>
                <w:rtl w:val="true"/>
              </w:rPr>
              <w:t>مستحبّات الكَفَن</w:t>
            </w:r>
            <w:r>
              <w:rPr>
                <w:rStyle w:val="IndexLink"/>
                <w:rtl w:val="true"/>
              </w:rPr>
              <w:tab/>
            </w:r>
            <w:r>
              <w:rPr>
                <w:rStyle w:val="IndexLink"/>
              </w:rPr>
              <w:t>421</w:t>
            </w:r>
          </w:hyperlink>
        </w:p>
        <w:p>
          <w:pPr>
            <w:pStyle w:val="Contents6"/>
            <w:tabs>
              <w:tab w:val="clear" w:pos="7609"/>
              <w:tab w:val="right" w:pos="9026" w:leader="dot"/>
            </w:tabs>
            <w:rPr/>
          </w:pPr>
          <w:hyperlink w:anchor="__RefHeading___Toc10362094_73709187">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10362096_73709187">
            <w:r>
              <w:rPr>
                <w:webHidden/>
                <w:rStyle w:val="IndexLink"/>
                <w:rtl w:val="true"/>
              </w:rPr>
              <w:t>في الجريدتين</w:t>
            </w:r>
            <w:r>
              <w:rPr>
                <w:rStyle w:val="IndexLink"/>
                <w:rtl w:val="true"/>
              </w:rPr>
              <w:tab/>
            </w:r>
            <w:r>
              <w:rPr>
                <w:rStyle w:val="IndexLink"/>
              </w:rPr>
              <w:t>427</w:t>
            </w:r>
          </w:hyperlink>
        </w:p>
        <w:p>
          <w:pPr>
            <w:pStyle w:val="Contents6"/>
            <w:tabs>
              <w:tab w:val="clear" w:pos="7609"/>
              <w:tab w:val="right" w:pos="9026" w:leader="dot"/>
            </w:tabs>
            <w:rPr/>
          </w:pPr>
          <w:hyperlink w:anchor="__RefHeading___Toc10362098_73709187">
            <w:r>
              <w:rPr>
                <w:webHidden/>
                <w:rStyle w:val="IndexLink"/>
                <w:rtl w:val="true"/>
              </w:rPr>
              <w:t>مكروهات التكفين</w:t>
            </w:r>
            <w:r>
              <w:rPr>
                <w:rStyle w:val="IndexLink"/>
                <w:rtl w:val="true"/>
              </w:rPr>
              <w:tab/>
            </w:r>
            <w:r>
              <w:rPr>
                <w:rStyle w:val="IndexLink"/>
              </w:rPr>
              <w:t>433</w:t>
            </w:r>
          </w:hyperlink>
        </w:p>
        <w:p>
          <w:pPr>
            <w:pStyle w:val="Contents5"/>
            <w:tabs>
              <w:tab w:val="clear" w:pos="7892"/>
              <w:tab w:val="right" w:pos="9026" w:leader="dot"/>
            </w:tabs>
            <w:rPr/>
          </w:pPr>
          <w:hyperlink w:anchor="__RefHeading___Toc10362100_73709187">
            <w:r>
              <w:rPr>
                <w:webHidden/>
                <w:rStyle w:val="IndexLink"/>
                <w:rtl w:val="true"/>
              </w:rPr>
              <w:t>البحث الرابع</w:t>
            </w:r>
            <w:r>
              <w:rPr>
                <w:rStyle w:val="IndexLink"/>
                <w:rtl w:val="true"/>
              </w:rPr>
              <w:t xml:space="preserve">: </w:t>
            </w:r>
            <w:r>
              <w:rPr>
                <w:rStyle w:val="IndexLink"/>
                <w:rtl w:val="true"/>
              </w:rPr>
              <w:t>الصَّلاة عليه</w:t>
            </w:r>
            <w:r>
              <w:rPr>
                <w:rStyle w:val="IndexLink"/>
                <w:rtl w:val="true"/>
              </w:rPr>
              <w:tab/>
            </w:r>
            <w:r>
              <w:rPr>
                <w:rStyle w:val="IndexLink"/>
              </w:rPr>
              <w:t>434</w:t>
            </w:r>
          </w:hyperlink>
        </w:p>
        <w:p>
          <w:pPr>
            <w:pStyle w:val="Contents6"/>
            <w:tabs>
              <w:tab w:val="clear" w:pos="7609"/>
              <w:tab w:val="right" w:pos="9026" w:leader="dot"/>
            </w:tabs>
            <w:rPr/>
          </w:pPr>
          <w:hyperlink w:anchor="__RefHeading___Toc10362102_7370918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10362104_73709187">
            <w:r>
              <w:rPr>
                <w:webHidden/>
                <w:rStyle w:val="IndexLink"/>
                <w:rtl w:val="true"/>
              </w:rPr>
              <w:t>القسم الأوّل</w:t>
            </w:r>
            <w:r>
              <w:rPr>
                <w:rStyle w:val="IndexLink"/>
                <w:rtl w:val="true"/>
              </w:rPr>
              <w:t xml:space="preserve">: </w:t>
            </w:r>
            <w:r>
              <w:rPr>
                <w:rStyle w:val="IndexLink"/>
                <w:rtl w:val="true"/>
              </w:rPr>
              <w:t>مَنْ يُصلّى عليه</w:t>
            </w:r>
            <w:r>
              <w:rPr>
                <w:rStyle w:val="IndexLink"/>
                <w:rtl w:val="true"/>
              </w:rPr>
              <w:t>:</w:t>
              <w:tab/>
            </w:r>
            <w:r>
              <w:rPr>
                <w:rStyle w:val="IndexLink"/>
              </w:rPr>
              <w:t>434</w:t>
            </w:r>
          </w:hyperlink>
        </w:p>
        <w:p>
          <w:pPr>
            <w:pStyle w:val="Contents6"/>
            <w:tabs>
              <w:tab w:val="clear" w:pos="7609"/>
              <w:tab w:val="right" w:pos="9026" w:leader="dot"/>
            </w:tabs>
            <w:rPr/>
          </w:pPr>
          <w:hyperlink w:anchor="__RefHeading___Toc10362106_7370918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10362108_73709187">
            <w:r>
              <w:rPr>
                <w:webHidden/>
                <w:rStyle w:val="IndexLink"/>
                <w:rtl w:val="true"/>
              </w:rPr>
              <w:t>الصَّلاة على غير البالغ</w:t>
            </w:r>
            <w:r>
              <w:rPr>
                <w:rStyle w:val="IndexLink"/>
                <w:rtl w:val="true"/>
              </w:rPr>
              <w:tab/>
            </w:r>
            <w:r>
              <w:rPr>
                <w:rStyle w:val="IndexLink"/>
              </w:rPr>
              <w:t>438</w:t>
            </w:r>
          </w:hyperlink>
        </w:p>
        <w:p>
          <w:pPr>
            <w:pStyle w:val="Contents6"/>
            <w:tabs>
              <w:tab w:val="clear" w:pos="7609"/>
              <w:tab w:val="right" w:pos="9026" w:leader="dot"/>
            </w:tabs>
            <w:rPr/>
          </w:pPr>
          <w:hyperlink w:anchor="__RefHeading___Toc10362110_73709187">
            <w:r>
              <w:rPr>
                <w:webHidden/>
                <w:rStyle w:val="IndexLink"/>
                <w:rtl w:val="true"/>
              </w:rPr>
              <w:t>القسم الثاني</w:t>
            </w:r>
            <w:r>
              <w:rPr>
                <w:rStyle w:val="IndexLink"/>
                <w:rtl w:val="true"/>
              </w:rPr>
              <w:t xml:space="preserve">: </w:t>
            </w:r>
            <w:r>
              <w:rPr>
                <w:rStyle w:val="IndexLink"/>
                <w:rtl w:val="true"/>
              </w:rPr>
              <w:t>في المُصَلّي</w:t>
            </w:r>
            <w:r>
              <w:rPr>
                <w:rStyle w:val="IndexLink"/>
                <w:rtl w:val="true"/>
              </w:rPr>
              <w:t>.</w:t>
              <w:tab/>
            </w:r>
            <w:r>
              <w:rPr>
                <w:rStyle w:val="IndexLink"/>
              </w:rPr>
              <w:t>446</w:t>
            </w:r>
          </w:hyperlink>
        </w:p>
        <w:p>
          <w:pPr>
            <w:pStyle w:val="Contents6"/>
            <w:tabs>
              <w:tab w:val="clear" w:pos="7609"/>
              <w:tab w:val="right" w:pos="9026" w:leader="dot"/>
            </w:tabs>
            <w:rPr/>
          </w:pPr>
          <w:hyperlink w:anchor="__RefHeading___Toc10362112_73709187">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10362114_73709187">
            <w:r>
              <w:rPr>
                <w:webHidden/>
                <w:rStyle w:val="IndexLink"/>
                <w:rtl w:val="true"/>
              </w:rPr>
              <w:t>مسائل</w:t>
            </w:r>
            <w:r>
              <w:rPr>
                <w:rStyle w:val="IndexLink"/>
                <w:rtl w:val="true"/>
              </w:rPr>
              <w:t>:</w:t>
              <w:tab/>
            </w:r>
            <w:r>
              <w:rPr>
                <w:rStyle w:val="IndexLink"/>
              </w:rPr>
              <w:t>447</w:t>
            </w:r>
          </w:hyperlink>
        </w:p>
        <w:p>
          <w:pPr>
            <w:pStyle w:val="Contents6"/>
            <w:tabs>
              <w:tab w:val="clear" w:pos="7609"/>
              <w:tab w:val="right" w:pos="9026" w:leader="dot"/>
            </w:tabs>
            <w:rPr/>
          </w:pPr>
          <w:hyperlink w:anchor="__RefHeading___Toc10362116_73709187">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10362118_73709187">
            <w:r>
              <w:rPr>
                <w:webHidden/>
                <w:rStyle w:val="IndexLink"/>
                <w:rtl w:val="true"/>
              </w:rPr>
              <w:t>أولى النّاس به أولاهم بالميراث</w:t>
            </w:r>
            <w:r>
              <w:rPr>
                <w:rStyle w:val="IndexLink"/>
                <w:rtl w:val="true"/>
              </w:rPr>
              <w:tab/>
            </w:r>
            <w:r>
              <w:rPr>
                <w:rStyle w:val="IndexLink"/>
              </w:rPr>
              <w:t>447</w:t>
            </w:r>
          </w:hyperlink>
        </w:p>
        <w:p>
          <w:pPr>
            <w:pStyle w:val="Contents6"/>
            <w:tabs>
              <w:tab w:val="clear" w:pos="7609"/>
              <w:tab w:val="right" w:pos="9026" w:leader="dot"/>
            </w:tabs>
            <w:rPr/>
          </w:pPr>
          <w:hyperlink w:anchor="__RefHeading___Toc10362120_73709187">
            <w:r>
              <w:rPr>
                <w:webHidden/>
                <w:rStyle w:val="IndexLink"/>
                <w:rtl w:val="true"/>
              </w:rPr>
              <w:t>تقدّم الذّكور على الإناث</w:t>
            </w:r>
            <w:r>
              <w:rPr>
                <w:rStyle w:val="IndexLink"/>
                <w:rtl w:val="true"/>
              </w:rPr>
              <w:tab/>
            </w:r>
            <w:r>
              <w:rPr>
                <w:rStyle w:val="IndexLink"/>
              </w:rPr>
              <w:t>452</w:t>
            </w:r>
          </w:hyperlink>
        </w:p>
        <w:p>
          <w:pPr>
            <w:pStyle w:val="Contents6"/>
            <w:tabs>
              <w:tab w:val="clear" w:pos="7609"/>
              <w:tab w:val="right" w:pos="9026" w:leader="dot"/>
            </w:tabs>
            <w:rPr/>
          </w:pPr>
          <w:hyperlink w:anchor="__RefHeading___Toc10362122_73709187">
            <w:r>
              <w:rPr>
                <w:webHidden/>
                <w:rStyle w:val="IndexLink"/>
                <w:rtl w:val="true"/>
              </w:rPr>
              <w:t>أولوية من انتسب إلى الميّت بالأبوين</w:t>
            </w:r>
            <w:r>
              <w:rPr>
                <w:rStyle w:val="IndexLink"/>
                <w:rtl w:val="true"/>
              </w:rPr>
              <w:tab/>
            </w:r>
            <w:r>
              <w:rPr>
                <w:rStyle w:val="IndexLink"/>
              </w:rPr>
              <w:t>454</w:t>
            </w:r>
          </w:hyperlink>
        </w:p>
        <w:p>
          <w:pPr>
            <w:pStyle w:val="Contents6"/>
            <w:tabs>
              <w:tab w:val="clear" w:pos="7609"/>
              <w:tab w:val="right" w:pos="9026" w:leader="dot"/>
            </w:tabs>
            <w:rPr/>
          </w:pPr>
          <w:hyperlink w:anchor="__RefHeading___Toc10362124_73709187">
            <w:r>
              <w:rPr>
                <w:webHidden/>
                <w:rStyle w:val="IndexLink"/>
                <w:rtl w:val="true"/>
              </w:rPr>
              <w:t>الترتيب بين أفراد طبقةٍ واحدة</w:t>
            </w:r>
            <w:r>
              <w:rPr>
                <w:rStyle w:val="IndexLink"/>
                <w:rtl w:val="true"/>
              </w:rPr>
              <w:tab/>
            </w:r>
            <w:r>
              <w:rPr>
                <w:rStyle w:val="IndexLink"/>
              </w:rPr>
              <w:t>454</w:t>
            </w:r>
          </w:hyperlink>
        </w:p>
        <w:p>
          <w:pPr>
            <w:pStyle w:val="Contents6"/>
            <w:tabs>
              <w:tab w:val="clear" w:pos="7609"/>
              <w:tab w:val="right" w:pos="9026" w:leader="dot"/>
            </w:tabs>
            <w:rPr/>
          </w:pPr>
          <w:hyperlink w:anchor="__RefHeading___Toc10362126_73709187">
            <w:r>
              <w:rPr>
                <w:webHidden/>
                <w:rStyle w:val="IndexLink"/>
                <w:rtl w:val="true"/>
              </w:rPr>
              <w:t>أولويّة الزّوج بزوجته</w:t>
            </w:r>
            <w:r>
              <w:rPr>
                <w:rStyle w:val="IndexLink"/>
                <w:rtl w:val="true"/>
              </w:rPr>
              <w:tab/>
            </w:r>
            <w:r>
              <w:rPr>
                <w:rStyle w:val="IndexLink"/>
              </w:rPr>
              <w:t>457</w:t>
            </w:r>
          </w:hyperlink>
        </w:p>
        <w:p>
          <w:pPr>
            <w:pStyle w:val="Contents6"/>
            <w:tabs>
              <w:tab w:val="clear" w:pos="7609"/>
              <w:tab w:val="right" w:pos="9026" w:leader="dot"/>
            </w:tabs>
            <w:rPr/>
          </w:pPr>
          <w:hyperlink w:anchor="__RefHeading___Toc10362128_73709187">
            <w:r>
              <w:rPr>
                <w:webHidden/>
                <w:rStyle w:val="IndexLink"/>
                <w:rtl w:val="true"/>
              </w:rPr>
              <w:t>أولويّة الهاشمي من غيره</w:t>
            </w:r>
            <w:r>
              <w:rPr>
                <w:rStyle w:val="IndexLink"/>
                <w:rtl w:val="true"/>
              </w:rPr>
              <w:tab/>
            </w:r>
            <w:r>
              <w:rPr>
                <w:rStyle w:val="IndexLink"/>
              </w:rPr>
              <w:t>460</w:t>
            </w:r>
          </w:hyperlink>
        </w:p>
        <w:p>
          <w:pPr>
            <w:pStyle w:val="Contents6"/>
            <w:tabs>
              <w:tab w:val="clear" w:pos="7609"/>
              <w:tab w:val="right" w:pos="9026" w:leader="dot"/>
            </w:tabs>
            <w:rPr/>
          </w:pPr>
          <w:hyperlink w:anchor="__RefHeading___Toc10362130_73709187">
            <w:r>
              <w:rPr>
                <w:webHidden/>
                <w:rStyle w:val="IndexLink"/>
                <w:rtl w:val="true"/>
              </w:rPr>
              <w:t>الإمام أولى من غيره</w:t>
            </w:r>
            <w:r>
              <w:rPr>
                <w:rStyle w:val="IndexLink"/>
                <w:rtl w:val="true"/>
              </w:rPr>
              <w:tab/>
            </w:r>
            <w:r>
              <w:rPr>
                <w:rStyle w:val="IndexLink"/>
              </w:rPr>
              <w:t>461</w:t>
            </w:r>
          </w:hyperlink>
        </w:p>
        <w:p>
          <w:pPr>
            <w:pStyle w:val="Contents6"/>
            <w:tabs>
              <w:tab w:val="clear" w:pos="7609"/>
              <w:tab w:val="right" w:pos="9026" w:leader="dot"/>
            </w:tabs>
            <w:rPr/>
          </w:pPr>
          <w:hyperlink w:anchor="__RefHeading___Toc10362132_73709187">
            <w:r>
              <w:rPr>
                <w:webHidden/>
                <w:rStyle w:val="IndexLink"/>
                <w:rtl w:val="true"/>
              </w:rPr>
              <w:t>التنبيه على الأمرين</w:t>
            </w:r>
            <w:r>
              <w:rPr>
                <w:rStyle w:val="IndexLink"/>
                <w:rtl w:val="true"/>
              </w:rPr>
              <w:tab/>
            </w:r>
            <w:r>
              <w:rPr>
                <w:rStyle w:val="IndexLink"/>
              </w:rPr>
              <w:t>461</w:t>
            </w:r>
          </w:hyperlink>
        </w:p>
        <w:p>
          <w:pPr>
            <w:pStyle w:val="Contents6"/>
            <w:tabs>
              <w:tab w:val="clear" w:pos="7609"/>
              <w:tab w:val="right" w:pos="9026" w:leader="dot"/>
            </w:tabs>
            <w:rPr/>
          </w:pPr>
          <w:hyperlink w:anchor="__RefHeading___Toc10362134_73709187">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0362136_73709187">
            <w:r>
              <w:rPr>
                <w:webHidden/>
                <w:rStyle w:val="IndexLink"/>
                <w:rtl w:val="true"/>
              </w:rPr>
              <w:t>وجوبها على الكفاية</w:t>
            </w:r>
            <w:r>
              <w:rPr>
                <w:rStyle w:val="IndexLink"/>
                <w:rtl w:val="true"/>
              </w:rPr>
              <w:tab/>
            </w:r>
            <w:r>
              <w:rPr>
                <w:rStyle w:val="IndexLink"/>
              </w:rPr>
              <w:t>461</w:t>
            </w:r>
          </w:hyperlink>
        </w:p>
        <w:p>
          <w:pPr>
            <w:pStyle w:val="Contents6"/>
            <w:tabs>
              <w:tab w:val="clear" w:pos="7609"/>
              <w:tab w:val="right" w:pos="9026" w:leader="dot"/>
            </w:tabs>
            <w:rPr/>
          </w:pPr>
          <w:hyperlink w:anchor="__RefHeading___Toc10362138_73709187">
            <w:r>
              <w:rPr>
                <w:webHidden/>
                <w:rStyle w:val="IndexLink"/>
                <w:rtl w:val="true"/>
              </w:rPr>
              <w:t>في اشتراط إذن الجميع عند تعدّد الأولياء وعدمه</w:t>
            </w:r>
            <w:r>
              <w:rPr>
                <w:rStyle w:val="IndexLink"/>
                <w:rtl w:val="true"/>
              </w:rPr>
              <w:tab/>
            </w:r>
            <w:r>
              <w:rPr>
                <w:rStyle w:val="IndexLink"/>
              </w:rPr>
              <w:t>462</w:t>
            </w:r>
          </w:hyperlink>
        </w:p>
        <w:p>
          <w:pPr>
            <w:pStyle w:val="Contents2"/>
            <w:tabs>
              <w:tab w:val="clear" w:pos="8743"/>
              <w:tab w:val="right" w:pos="9026" w:leader="dot"/>
            </w:tabs>
            <w:rPr/>
          </w:pPr>
          <w:hyperlink w:anchor="__RefHeading___Toc10362140_73709187">
            <w:r>
              <w:rPr>
                <w:webHidden/>
                <w:rStyle w:val="IndexLink"/>
                <w:rtl w:val="true"/>
              </w:rPr>
              <w:t>فهرس الموضوعات</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6_113350"/>
      <w:bookmarkStart w:id="1" w:name="pg11796_113350"/>
      <w:bookmarkEnd w:id="1"/>
    </w:p>
    <w:p>
      <w:pPr>
        <w:pStyle w:val="Heading2"/>
        <w:numPr>
          <w:ilvl w:val="1"/>
          <w:numId w:val="1"/>
        </w:numPr>
        <w:rPr/>
      </w:pPr>
      <w:bookmarkStart w:id="2" w:name="pg11796_113350"/>
      <w:bookmarkStart w:id="3" w:name="__RefHeading___Toc1036173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6173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6_113354"/>
      <w:bookmarkStart w:id="8" w:name="pg11796_113354"/>
      <w:bookmarkEnd w:id="8"/>
    </w:p>
    <w:p>
      <w:pPr>
        <w:pStyle w:val="Heading2"/>
        <w:numPr>
          <w:ilvl w:val="1"/>
          <w:numId w:val="1"/>
        </w:numPr>
        <w:rPr/>
      </w:pPr>
      <w:bookmarkStart w:id="9" w:name="pg11796_113354"/>
      <w:bookmarkStart w:id="10" w:name="__RefHeading___Toc10361736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10361738_73709187"/>
      <w:bookmarkStart w:id="13" w:name="_Toc4"/>
      <w:bookmarkEnd w:id="12"/>
      <w:r>
        <w:rPr>
          <w:rtl w:val="true"/>
        </w:rPr>
        <w:t>تتمة الباب الثالث في الغسل</w:t>
      </w:r>
      <w:bookmarkEnd w:id="13"/>
    </w:p>
    <w:p>
      <w:pPr>
        <w:pStyle w:val="Heading4"/>
        <w:numPr>
          <w:ilvl w:val="3"/>
          <w:numId w:val="1"/>
        </w:numPr>
        <w:rPr/>
      </w:pPr>
      <w:bookmarkStart w:id="14" w:name="__RefHeading___Toc1036174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وَيُحرم عليها دخولُ المَساجدِ إلّااجتيازاً</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0361742_73709187"/>
      <w:bookmarkStart w:id="17" w:name="_Toc6"/>
      <w:bookmarkEnd w:id="16"/>
      <w:r>
        <w:rPr>
          <w:rtl w:val="true"/>
        </w:rPr>
        <w:t>تتمة الفصل الثاني في الحيض</w:t>
      </w:r>
      <w:bookmarkEnd w:id="17"/>
    </w:p>
    <w:p>
      <w:pPr>
        <w:pStyle w:val="Heading5"/>
        <w:numPr>
          <w:ilvl w:val="4"/>
          <w:numId w:val="1"/>
        </w:numPr>
        <w:rPr/>
      </w:pPr>
      <w:bookmarkStart w:id="18" w:name="__RefHeading___Toc10361744_73709187"/>
      <w:bookmarkStart w:id="19" w:name="_Toc7"/>
      <w:bookmarkEnd w:id="18"/>
      <w:r>
        <w:rPr>
          <w:rtl w:val="true"/>
        </w:rPr>
        <w:t>فصل في أحكام الحائض</w:t>
      </w:r>
      <w:bookmarkEnd w:id="19"/>
    </w:p>
    <w:p>
      <w:pPr>
        <w:pStyle w:val="Heading6"/>
        <w:numPr>
          <w:ilvl w:val="5"/>
          <w:numId w:val="1"/>
        </w:numPr>
        <w:rPr/>
      </w:pPr>
      <w:bookmarkStart w:id="20" w:name="__RefHeading___Toc10361746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الفصل عمّا يتعلّق بأحكام الحائض، وهي عدّة اُمور</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10361748_73709187"/>
      <w:bookmarkStart w:id="23" w:name="_Toc9"/>
      <w:bookmarkEnd w:id="22"/>
      <w:r>
        <w:rPr>
          <w:rtl w:val="true"/>
        </w:rPr>
        <w:t>أحدها</w:t>
      </w:r>
      <w:r>
        <w:rPr>
          <w:rtl w:val="true"/>
        </w:rPr>
        <w:t>: (</w:t>
      </w:r>
      <w:r>
        <w:rPr>
          <w:rtl w:val="true"/>
        </w:rPr>
        <w:t>يحرم عليها دخول المساجد إلّااجتيازاً</w:t>
      </w:r>
      <w:r>
        <w:rPr>
          <w:rtl w:val="true"/>
        </w:rPr>
        <w:t>):</w:t>
      </w:r>
      <w:bookmarkEnd w:id="23"/>
    </w:p>
    <w:p>
      <w:pPr>
        <w:pStyle w:val="BookText"/>
        <w:rPr/>
      </w:pPr>
      <w:r>
        <w:rPr>
          <w:rFonts w:ascii="Amiri" w:hAnsi="Amiri" w:eastAsia="Amiri" w:cs="Amiri"/>
          <w:color w:val="111111"/>
          <w:sz w:val="28"/>
          <w:sz w:val="28"/>
          <w:szCs w:val="28"/>
          <w:rtl w:val="true"/>
          <w:lang w:bidi="ar-SA"/>
        </w:rPr>
        <w:t>أمّا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إختلفت كلماتهم في التعبير عنه، والدليل عليه ما تقدّم في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وضع شيء فيها، وإن لم يستلزم الدخول، لما تقدّم في الجنابة، لاتّحاد الدليل في البابين، وكذا الحال في الدخول بقصد أخذ شيء منها إذا لم يصدق عليه 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جواز الدخول اجتيازاً، بل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w:t>
      </w:r>
      <w:r>
        <w:rPr>
          <w:rStyle w:val="FootnoteAnchor"/>
          <w:rtl w:val="true"/>
        </w:rPr>
        <w:footnoteReference w:id="3"/>
      </w:r>
      <w:r>
        <w:rPr>
          <w:rFonts w:ascii="Amiri" w:hAnsi="Amiri" w:eastAsia="Amiri" w:cs="Amiri"/>
          <w:color w:val="111111"/>
          <w:sz w:val="28"/>
          <w:sz w:val="28"/>
          <w:szCs w:val="28"/>
          <w:rtl w:val="true"/>
          <w:lang w:bidi="ar-SA"/>
        </w:rPr>
        <w:t>المتقدّم في ذلك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لا يدخلان المسجد إلّامجتازين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وغيرهما من إطلاق حرمة الدخول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يُكره ذلك كما هو المشهور،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نأمر نساءنا الحُيّض أن يتوضّأن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يقرَبنّ مسجداً ولا يقرأنّ قرآناً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لإرساله منجبرٌ بعمل الأصحاب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وإلحاق المشاهد المشرّفة بالمساجد، يتوقّف على ثبوت الحكم في الجُنُب، وثبوت مشاركة الحيض للجنابة في الأحكام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عدا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الحكم مختصٌّ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دخولها فيهما مطلقاً، كما هو المشهور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 من القدماء</w:t>
      </w:r>
      <w:r>
        <w:rPr>
          <w:rStyle w:val="FootnoteAnchor"/>
          <w:rtl w:val="true"/>
        </w:rPr>
        <w:footnoteReference w:id="10"/>
      </w:r>
      <w:r>
        <w:rPr>
          <w:rFonts w:ascii="Amiri" w:hAnsi="Amiri" w:eastAsia="Amiri" w:cs="Amiri"/>
          <w:color w:val="111111"/>
          <w:sz w:val="28"/>
          <w:sz w:val="28"/>
          <w:szCs w:val="28"/>
          <w:rtl w:val="true"/>
          <w:lang w:bidi="ar-SA"/>
        </w:rPr>
        <w:t>والمتأخّرين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الاجتياز منهما كسائر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مسلم</w:t>
      </w:r>
      <w:r>
        <w:rPr>
          <w:rStyle w:val="FootnoteAnchor"/>
          <w:rtl w:val="true"/>
        </w:rPr>
        <w:footnoteReference w:id="12"/>
      </w:r>
      <w:r>
        <w:rPr>
          <w:rFonts w:ascii="Amiri" w:hAnsi="Amiri" w:eastAsia="Amiri" w:cs="Amiri"/>
          <w:color w:val="111111"/>
          <w:sz w:val="28"/>
          <w:sz w:val="28"/>
          <w:szCs w:val="28"/>
          <w:rtl w:val="true"/>
          <w:lang w:bidi="ar-SA"/>
        </w:rPr>
        <w:t>،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ويدخلان المسجد مجتازين، ولا يقعدان فيه، ولا يقربان المسجدين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جملةٍ من الفروع المتعلّقة بالمقام، مثل لزوم التيمّم عليها لو حاضت فيهما، وحرمة إدخال الحائض في المسجد، وإستيجارها على دخوله، وغير ذلك من الفروع، هو الكلام فيها في الجُنُب، لاتّحاد الدليل في البابين، فلا نعيدها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 w:name="pg11796_113357"/>
    </w:p>
    <w:p>
      <w:pPr>
        <w:pStyle w:val="BookText"/>
        <w:rPr/>
      </w:pPr>
      <w:bookmarkEnd w:id="24"/>
      <w:r>
        <w:rPr>
          <w:rFonts w:ascii="Amiri" w:hAnsi="Amiri" w:eastAsia="Amiri" w:cs="Amiri"/>
          <w:color w:val="111111"/>
          <w:sz w:val="28"/>
          <w:sz w:val="28"/>
          <w:szCs w:val="28"/>
          <w:rtl w:val="true"/>
          <w:lang w:bidi="ar-SA"/>
        </w:rPr>
        <w:t>وقراءة العزائم، ومسّ كتابة القرآن</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10361750_73709187"/>
      <w:bookmarkStart w:id="26" w:name="_Toc10"/>
      <w:bookmarkEnd w:id="25"/>
      <w:r>
        <w:rPr>
          <w:rtl w:val="true"/>
        </w:rPr>
        <w:t>(</w:t>
      </w:r>
      <w:r>
        <w:rPr>
          <w:rtl w:val="true"/>
        </w:rPr>
        <w:t>و</w:t>
      </w:r>
      <w:r>
        <w:rPr>
          <w:rtl w:val="true"/>
        </w:rPr>
        <w:t xml:space="preserve">) </w:t>
      </w:r>
      <w:r>
        <w:rPr>
          <w:rtl w:val="true"/>
        </w:rPr>
        <w:t>الثاني ممّا يحرم عليها</w:t>
      </w:r>
      <w:r>
        <w:rPr>
          <w:rtl w:val="true"/>
        </w:rPr>
        <w:t>: (</w:t>
      </w:r>
      <w:r>
        <w:rPr>
          <w:rtl w:val="true"/>
        </w:rPr>
        <w:t>قراءة</w:t>
      </w:r>
      <w:r>
        <w:rPr>
          <w:rtl w:val="true"/>
        </w:rPr>
        <w:t xml:space="preserve">) </w:t>
      </w:r>
      <w:r>
        <w:rPr>
          <w:rtl w:val="true"/>
        </w:rPr>
        <w:t xml:space="preserve">سُور </w:t>
      </w:r>
      <w:r>
        <w:rPr>
          <w:rtl w:val="true"/>
        </w:rPr>
        <w:t>(</w:t>
      </w:r>
      <w:r>
        <w:rPr>
          <w:rtl w:val="true"/>
        </w:rPr>
        <w:t>العزائم</w:t>
      </w:r>
      <w:r>
        <w:rPr>
          <w:rtl w:val="true"/>
        </w:rPr>
        <w:t>):</w:t>
      </w:r>
      <w:bookmarkEnd w:id="26"/>
    </w:p>
    <w:p>
      <w:pPr>
        <w:pStyle w:val="BookText"/>
        <w:rPr/>
      </w:pPr>
      <w:r>
        <w:rPr>
          <w:rFonts w:ascii="Amiri" w:hAnsi="Amiri" w:eastAsia="Amiri" w:cs="Amiri"/>
          <w:color w:val="111111"/>
          <w:sz w:val="28"/>
          <w:sz w:val="28"/>
          <w:szCs w:val="28"/>
          <w:rtl w:val="true"/>
          <w:lang w:bidi="ar-SA"/>
        </w:rPr>
        <w:t>لما تقدّم في الجُنُب، وعرفتَ أنّ الأظهر عموم الحرمة للسورة، ولا تختصّ بآيات السجدة، فراجع</w:t>
      </w:r>
      <w:r>
        <w:rPr>
          <w:rFonts w:eastAsia="Amiri" w:cs="Amiri" w:ascii="Amiri" w:hAnsi="Amiri"/>
          <w:color w:val="111111"/>
          <w:sz w:val="28"/>
          <w:szCs w:val="28"/>
          <w:rtl w:val="true"/>
          <w:lang w:bidi="ar-SA"/>
        </w:rPr>
        <w:t>.</w:t>
      </w:r>
      <w:r>
        <w:rPr>
          <w:rStyle w:val="FootnoteAnchor"/>
          <w:rtl w:val="true"/>
        </w:rPr>
        <w:footnoteReference w:id="13"/>
      </w:r>
    </w:p>
    <w:p>
      <w:pPr>
        <w:pStyle w:val="Heading6"/>
        <w:numPr>
          <w:ilvl w:val="5"/>
          <w:numId w:val="1"/>
        </w:numPr>
        <w:rPr/>
      </w:pPr>
      <w:bookmarkStart w:id="27" w:name="__RefHeading___Toc10361752_73709187"/>
      <w:bookmarkStart w:id="28" w:name="_Toc11"/>
      <w:bookmarkEnd w:id="27"/>
      <w:r>
        <w:rPr>
          <w:rtl w:val="true"/>
        </w:rPr>
        <w:t>(</w:t>
      </w:r>
      <w:r>
        <w:rPr>
          <w:rtl w:val="true"/>
        </w:rPr>
        <w:t>و</w:t>
      </w:r>
      <w:r>
        <w:rPr>
          <w:rtl w:val="true"/>
        </w:rPr>
        <w:t xml:space="preserve">) </w:t>
      </w:r>
      <w:r>
        <w:rPr>
          <w:rtl w:val="true"/>
        </w:rPr>
        <w:t>الثالث</w:t>
      </w:r>
      <w:r>
        <w:rPr>
          <w:rtl w:val="true"/>
        </w:rPr>
        <w:t>: (</w:t>
      </w:r>
      <w:r>
        <w:rPr>
          <w:rtl w:val="true"/>
        </w:rPr>
        <w:t>مَسّ كتابة القرآن</w:t>
      </w:r>
      <w:r>
        <w:rPr>
          <w:rtl w:val="true"/>
        </w:rPr>
        <w:t>).</w:t>
      </w:r>
      <w:bookmarkEnd w:id="28"/>
    </w:p>
    <w:p>
      <w:pPr>
        <w:pStyle w:val="BookText"/>
        <w:rPr/>
      </w:pPr>
      <w:r>
        <w:rPr>
          <w:rFonts w:ascii="Amiri" w:hAnsi="Amiri" w:eastAsia="Amiri" w:cs="Amiri"/>
          <w:color w:val="111111"/>
          <w:sz w:val="28"/>
          <w:sz w:val="28"/>
          <w:szCs w:val="28"/>
          <w:rtl w:val="true"/>
          <w:lang w:bidi="ar-SA"/>
        </w:rPr>
        <w:t>بلا خلافٍ فيه إلّاعن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حريز</w:t>
      </w:r>
      <w:r>
        <w:rPr>
          <w:rStyle w:val="FootnoteAnchor"/>
          <w:rtl w:val="true"/>
        </w:rPr>
        <w:footnoteReference w:id="15"/>
      </w:r>
      <w:r>
        <w:rPr>
          <w:rFonts w:ascii="Amiri" w:hAnsi="Amiri" w:eastAsia="Amiri" w:cs="Amiri"/>
          <w:color w:val="111111"/>
          <w:sz w:val="28"/>
          <w:sz w:val="28"/>
          <w:szCs w:val="28"/>
          <w:rtl w:val="true"/>
          <w:lang w:bidi="ar-SA"/>
        </w:rPr>
        <w:t>وأبي بصير</w:t>
      </w:r>
      <w:r>
        <w:rPr>
          <w:rStyle w:val="FootnoteAnchor"/>
          <w:rtl w:val="true"/>
        </w:rPr>
        <w:footnoteReference w:id="16"/>
      </w:r>
      <w:r>
        <w:rPr>
          <w:rFonts w:ascii="Amiri" w:hAnsi="Amiri" w:eastAsia="Amiri" w:cs="Amiri"/>
          <w:color w:val="111111"/>
          <w:sz w:val="28"/>
          <w:sz w:val="28"/>
          <w:szCs w:val="28"/>
          <w:rtl w:val="true"/>
          <w:lang w:bidi="ar-SA"/>
        </w:rPr>
        <w:t>المتقدّمان في فصل غايات الوضوء،</w:t>
      </w:r>
      <w:r>
        <w:rPr>
          <w:rStyle w:val="FootnoteAnchor"/>
          <w:rtl w:val="true"/>
        </w:rPr>
        <w:footnoteReference w:id="17"/>
      </w:r>
      <w:r>
        <w:rPr>
          <w:rFonts w:ascii="Amiri" w:hAnsi="Amiri" w:eastAsia="Amiri" w:cs="Amiri"/>
          <w:color w:val="111111"/>
          <w:sz w:val="28"/>
          <w:sz w:val="28"/>
          <w:szCs w:val="28"/>
          <w:rtl w:val="true"/>
          <w:lang w:bidi="ar-SA"/>
        </w:rPr>
        <w:t>فإنّه يجب التعدّي عنه إلى الُمحْدِث بالحَدَث الأكبر بالأولويّة القطعيّة، كما تقدّم في الجُنُب</w:t>
      </w:r>
      <w:r>
        <w:rPr>
          <w:rFonts w:eastAsia="Amiri" w:cs="Amiri" w:ascii="Amiri" w:hAnsi="Amiri"/>
          <w:color w:val="111111"/>
          <w:sz w:val="28"/>
          <w:szCs w:val="28"/>
          <w:rtl w:val="true"/>
          <w:lang w:bidi="ar-SA"/>
        </w:rPr>
        <w:t>.</w:t>
      </w:r>
      <w:bookmarkStart w:id="29" w:name="pg11796_113358"/>
    </w:p>
    <w:p>
      <w:pPr>
        <w:pStyle w:val="BookText"/>
        <w:rPr/>
      </w:pPr>
      <w:bookmarkEnd w:id="29"/>
      <w:r>
        <w:rPr>
          <w:rFonts w:ascii="Amiri" w:hAnsi="Amiri" w:eastAsia="Amiri" w:cs="Amiri"/>
          <w:color w:val="111111"/>
          <w:sz w:val="28"/>
          <w:sz w:val="28"/>
          <w:szCs w:val="28"/>
          <w:rtl w:val="true"/>
          <w:lang w:bidi="ar-SA"/>
        </w:rPr>
        <w:t>ويَحرُمُ على زَوجها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وطء الحائض</w:t>
      </w:r>
    </w:p>
    <w:p>
      <w:pPr>
        <w:pStyle w:val="Heading6"/>
        <w:numPr>
          <w:ilvl w:val="5"/>
          <w:numId w:val="1"/>
        </w:numPr>
        <w:rPr/>
      </w:pPr>
      <w:bookmarkStart w:id="30" w:name="__RefHeading___Toc10361754_73709187"/>
      <w:bookmarkStart w:id="31" w:name="_Toc12"/>
      <w:bookmarkEnd w:id="30"/>
      <w:r>
        <w:rPr>
          <w:rtl w:val="true"/>
        </w:rPr>
        <w:t>(</w:t>
      </w:r>
      <w:r>
        <w:rPr>
          <w:rtl w:val="true"/>
        </w:rPr>
        <w:t>و</w:t>
      </w:r>
      <w:r>
        <w:rPr>
          <w:rtl w:val="true"/>
        </w:rPr>
        <w:t xml:space="preserve">) </w:t>
      </w:r>
      <w:r>
        <w:rPr>
          <w:rtl w:val="true"/>
        </w:rPr>
        <w:t>الرابع</w:t>
      </w:r>
      <w:r>
        <w:rPr>
          <w:rtl w:val="true"/>
        </w:rPr>
        <w:t>: (</w:t>
      </w:r>
      <w:r>
        <w:rPr>
          <w:rtl w:val="true"/>
        </w:rPr>
        <w:t>يَحرُم على زوجها وطؤها</w:t>
      </w:r>
      <w:r>
        <w:rPr>
          <w:rtl w:val="true"/>
        </w:rPr>
        <w:t>):</w:t>
      </w:r>
      <w:bookmarkEnd w:id="31"/>
    </w:p>
    <w:p>
      <w:pPr>
        <w:pStyle w:val="Heading6"/>
        <w:numPr>
          <w:ilvl w:val="5"/>
          <w:numId w:val="1"/>
        </w:numPr>
        <w:rPr/>
      </w:pPr>
      <w:bookmarkStart w:id="32" w:name="__RefHeading___Toc10361756_73709187"/>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العلماء أو علماء الإسلام عليه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المحكيّ عن جماعةٍ‌</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ضروريّات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Style w:val="FootnoteAnchor"/>
          <w:rtl w:val="true"/>
        </w:rPr>
        <w:footnoteReference w:id="21"/>
      </w:r>
      <w:r>
        <w:rPr>
          <w:rFonts w:ascii="Amiri" w:hAnsi="Amiri" w:eastAsia="Amiri" w:cs="Amiri"/>
          <w:color w:val="111111"/>
          <w:sz w:val="28"/>
          <w:sz w:val="28"/>
          <w:szCs w:val="28"/>
          <w:rtl w:val="true"/>
          <w:lang w:bidi="ar-SA"/>
        </w:rPr>
        <w:t>، والنصوص المتواترة</w:t>
      </w:r>
      <w:r>
        <w:rPr>
          <w:rStyle w:val="FootnoteAnchor"/>
          <w:rtl w:val="true"/>
        </w:rPr>
        <w:footnoteReference w:id="22"/>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يحرم عليها تمكينه من ذلك،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w:t>
      </w:r>
      <w:r>
        <w:rPr>
          <w:rStyle w:val="FootnoteAnchor"/>
          <w:rtl w:val="true"/>
        </w:rPr>
        <w:footnoteReference w:id="24"/>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متى تبيِن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الدّم من الحيضة الثالثة تملك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تُمكِّن من نفسها حتّى تطهر من الدّم</w:t>
      </w:r>
      <w:r>
        <w:rPr>
          <w:rFonts w:eastAsia="Amiri" w:cs="Amiri" w:ascii="Amiri" w:hAnsi="Amiri"/>
          <w:color w:val="111111"/>
          <w:sz w:val="28"/>
          <w:szCs w:val="28"/>
          <w:rtl w:val="true"/>
          <w:lang w:bidi="ar-SA"/>
        </w:rPr>
        <w:t>».</w:t>
      </w:r>
      <w:bookmarkStart w:id="34" w:name="pg11796_113359"/>
    </w:p>
    <w:p>
      <w:pPr>
        <w:pStyle w:val="Heading6"/>
        <w:numPr>
          <w:ilvl w:val="5"/>
          <w:numId w:val="1"/>
        </w:numPr>
        <w:rPr/>
      </w:pPr>
      <w:bookmarkStart w:id="35" w:name="__RefHeading___Toc10361758_73709187"/>
      <w:bookmarkStart w:id="36" w:name="_Toc14"/>
      <w:bookmarkEnd w:id="34"/>
      <w:bookmarkEnd w:id="35"/>
      <w:r>
        <w:rPr>
          <w:rtl w:val="true"/>
        </w:rPr>
        <w:t>فروع</w:t>
      </w:r>
      <w:r>
        <w:rPr>
          <w:rtl w:val="true"/>
        </w:rPr>
        <w:t>:</w:t>
      </w:r>
      <w:bookmarkEnd w:id="36"/>
    </w:p>
    <w:p>
      <w:pPr>
        <w:pStyle w:val="Heading6"/>
        <w:numPr>
          <w:ilvl w:val="5"/>
          <w:numId w:val="1"/>
        </w:numPr>
        <w:rPr/>
      </w:pPr>
      <w:bookmarkStart w:id="37" w:name="__RefHeading___Toc10361760_73709187"/>
      <w:bookmarkStart w:id="38" w:name="_Toc15"/>
      <w:bookmarkEnd w:id="37"/>
      <w:r>
        <w:rPr>
          <w:rtl w:val="true"/>
        </w:rPr>
        <w:t>عدم الفرق في الحرمة بين الدائمة و المنقطعة و</w:t>
      </w:r>
      <w:r>
        <w:rPr>
          <w:rtl w:val="true"/>
        </w:rPr>
        <w:t>...</w:t>
      </w:r>
      <w:bookmarkEnd w:id="38"/>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الزوجة الدائمة والمتعة، والحُرّة والأمَة،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فرق بين أن يكون الحيض قطعيّاً وجدانيّاً، أو كان بالرجوع إلى التمييز وغيره، ممّا جُعل طريقاً إليه شرعاً؛ إذ لازم جعل الحجيّة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ما لو ثبت بأصلٍ من الاُصول كالاستصحاب كما هو واضح، لأنّه تترتّب عليه جميع الآثار الشرعيّة المترتّبة على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التحيّض بالعدد أيضاً كذلك،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أدلّته أنّها باختيار العدد المعيّن، تكون في تلك المدّة في حكم الشارع حائضاً، فترتّب عليها جميع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لزوم ترتيب جميع أحكام الحائض في جميع مدّة استمرار الدّم، للعلم الإجمالي بكونها حائضاً في بعضٍ من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تدلّ عليه أدلّة التحيّض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عدم دلالتها على أنّها حائض في تلك المدّة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ترتيب آثار الحائض في غير مدّة اختيار العدد، لا إلغاء العلم الإجمالي عن التأثير بالمرّة،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مدّة الإستظهار بناءً على وجوبه، فبالنسبة إلى المدّة التي يجب فيها الإستظهار تعييناً، لا ينبغي التوقّف في الحرمة، للتصريح بذلك في بعض نصوص الإستظهار، كموثّق البصري</w:t>
      </w:r>
      <w:r>
        <w:rPr>
          <w:rStyle w:val="FootnoteAnchor"/>
          <w:rtl w:val="true"/>
        </w:rPr>
        <w:footnoteReference w:id="25"/>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أبطأها زوجها، وهل تطوف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أيّام </w:t>
      </w:r>
    </w:p>
    <w:p>
      <w:pPr>
        <w:pStyle w:val="BookText"/>
        <w:rPr/>
      </w:pPr>
      <w:r>
        <w:rPr>
          <w:rFonts w:ascii="Amiri" w:hAnsi="Amiri" w:eastAsia="Amiri" w:cs="Amiri"/>
          <w:color w:val="111111"/>
          <w:sz w:val="28"/>
          <w:sz w:val="28"/>
          <w:szCs w:val="28"/>
          <w:rtl w:val="true"/>
          <w:lang w:bidi="ar-SA"/>
        </w:rPr>
        <w:t>قرئها التي كانت تحيض فيها، فإنْ كان قرؤها مستقيماً فلتأخذ به، وإنْ كان فيه خلافٌ‌، فلتحتط بيوم أو بيومين ولتغسل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عدم اختيارها التحيّض، وعدم إمتناعها من التمكين، 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اختيارها ذلك، والإمتناع من التمكين، فهل يحرم على زوجها وطؤها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الحرمة؛ إذ المستفاد من نصوص الإستظهار أنّ من اختارت التحيّض في تلك المدّة، تكون في حكم الحائض، فإنّ قوله في موثّق إسحاق</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استظهرت بيوم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من استمرّ دمها في غير أيّام عادتها، لها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محكومة بكونهامستحاضة دون الاُخرى، ومعنى ذلك كونها حائضاً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 بوجهين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اختيارها التحيّض كاختيار المضطربة عدد أيّامها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ترخيص الشارع في عدم ترتيب آثار الحيض، كاشفٌ عن إهمال الشارع المقدّس لهذا الاستصحاب، مع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به استصحاب الحكم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إحراز موضوعه وهي الحائض لا يجري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استصحاب بقاء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إلغاء الشارع لهذا الأصل في هذا الباب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الفرق بين البابين واضح، فإنّ المضطربة التي تختار العدد، قد عرفت أنّ القواعد تقتضي ثبوت حرمة وطؤها في تلك المدّة، وهذا بخلاف المقام، فإنّ المرأة في مدّة الإستظهار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الخاصّة والقاعدة التي هي 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جواز وطؤها، فقياس أحد البابين بالآخر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المراد ما ذكرناه، من أنّه يستفاد من نصوص الإستظهار كون من اختارت الحيض في حكم الحائض شرعاً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ظهر أنّ الأقوى حرمة وطؤها لو اختارت التحيّض</w:t>
      </w:r>
      <w:r>
        <w:rPr>
          <w:rFonts w:eastAsia="Amiri" w:cs="Amiri" w:ascii="Amiri" w:hAnsi="Amiri"/>
          <w:color w:val="111111"/>
          <w:sz w:val="28"/>
          <w:szCs w:val="28"/>
          <w:rtl w:val="true"/>
          <w:lang w:bidi="ar-SA"/>
        </w:rPr>
        <w:t>.</w:t>
      </w:r>
      <w:bookmarkStart w:id="39" w:name="pg11796_113362"/>
    </w:p>
    <w:p>
      <w:pPr>
        <w:pStyle w:val="Heading6"/>
        <w:numPr>
          <w:ilvl w:val="5"/>
          <w:numId w:val="1"/>
        </w:numPr>
        <w:rPr/>
      </w:pPr>
      <w:bookmarkStart w:id="40" w:name="__RefHeading___Toc10361762_73709187"/>
      <w:bookmarkStart w:id="41" w:name="_Toc16"/>
      <w:bookmarkEnd w:id="39"/>
      <w:bookmarkEnd w:id="40"/>
      <w:r>
        <w:rPr>
          <w:rtl w:val="true"/>
        </w:rPr>
        <w:t>الإستمتاع بما بين السُرّة والرُّكبة</w:t>
      </w:r>
      <w:bookmarkEnd w:id="4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جواز الإستمتاع بما فوق السُّرة ودون الرُّكبة، وعن جماعةٍ‌</w:t>
      </w:r>
      <w:r>
        <w:rPr>
          <w:rStyle w:val="FootnoteAnchor"/>
          <w:rtl w:val="true"/>
        </w:rPr>
        <w:footnoteReference w:id="2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من علماء الإسلام، وتشهد له النصوص التي سيمرّ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خبر عبد الرحمن</w:t>
      </w:r>
      <w:r>
        <w:rPr>
          <w:rStyle w:val="FootnoteAnchor"/>
          <w:rtl w:val="true"/>
        </w:rPr>
        <w:footnoteReference w:id="29"/>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ما يحلّ له من الطامث‌؟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طرحه أو تأويله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الإستمتاع بغير الوطء في الدُّبر بما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جوازه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3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وعن الأردبيلي</w:t>
      </w:r>
      <w:r>
        <w:rPr>
          <w:rStyle w:val="FootnoteAnchor"/>
          <w:rtl w:val="true"/>
        </w:rPr>
        <w:footnoteReference w:id="31"/>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بالنهي عن القُرب في الكتاب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والأمر باعتزالهن في المحيض، بدعوى أنّ المراد منه وقت الحيض لا موضع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ومقتضاهما وإنْ كان حرمة الاستمتاع مطلقاً، إلّاأنّه يقيّد إطلاقهما بما دلّ على الجواز</w:t>
      </w:r>
      <w:r>
        <w:rPr>
          <w:rStyle w:val="FootnoteAnchor"/>
          <w:rtl w:val="true"/>
        </w:rPr>
        <w:footnoteReference w:id="33"/>
      </w:r>
      <w:r>
        <w:rPr>
          <w:rFonts w:ascii="Amiri" w:hAnsi="Amiri" w:eastAsia="Amiri" w:cs="Amiri"/>
          <w:color w:val="111111"/>
          <w:sz w:val="28"/>
          <w:sz w:val="28"/>
          <w:szCs w:val="28"/>
          <w:rtl w:val="true"/>
          <w:lang w:bidi="ar-SA"/>
        </w:rPr>
        <w:t>بما فوق السُّرة ودون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أبي بصير</w:t>
      </w:r>
      <w:r>
        <w:rPr>
          <w:rStyle w:val="FootnoteAnchor"/>
          <w:rtl w:val="true"/>
        </w:rPr>
        <w:footnoteReference w:id="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الحائض ما يَحِلُّ لزوجها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إلى الركبتين، وتخرج ساقها، وله ما فوق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 أبا عبد اللّه عليه السلام عن الحائض، وما يَحلُّ لزوجها منها؟ قال تتّرز بإزار إلى الركبتين، وتخرج سُرّتها، ثمّ له ما فوق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خبر حجّاج الخَشّاب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القرب لا يدلّ على المنع في المقام، إذ بعدما لا ريب فيه من عدم إرادة المعنى الحقيقي من القرب، وإلّا لزم تخصيص الأكثر، 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إرادة خصوص الجماع في الفرج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إرادة مطلق الإستمتاع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فرض تسليم عدم ظهوره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مجملاً، والمتيقّن هو خصوص الجماع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خبر عيسى بن عبد اللّه</w:t>
      </w:r>
      <w:r>
        <w:rPr>
          <w:rStyle w:val="FootnoteAnchor"/>
          <w:rtl w:val="true"/>
        </w:rPr>
        <w:footnoteReference w:id="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تحيض، يحرم على زوجها أن يأتيها،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فيستقيم للرّجل أن يأتي إمرأته وهي حائض فيما دون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آية الاعتزال</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فلأجل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الدّم، لا سبيل إلى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ظاهرة في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على المنع من الإستمتاع بما فوق الإزار، إلّاعلى القول بمفهوم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جهة ورودها في مقام بيان جميع ما يحلّ 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 منه بمقتضى مفهوم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يتعيّن حملها على الكراهة، للنصوص الكثيرة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هِشام بن سالم</w:t>
      </w:r>
      <w:r>
        <w:rPr>
          <w:rStyle w:val="FootnoteAnchor"/>
          <w:rtl w:val="true"/>
        </w:rPr>
        <w:footnoteReference w:id="40"/>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المرأة فيما دون الفرج، وهي 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إجتنب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الملك بن عمرو</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لصاحب المرأة الحائض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منها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w:t>
      </w:r>
      <w:r>
        <w:rPr>
          <w:rStyle w:val="FootnoteAnchor"/>
          <w:rtl w:val="true"/>
        </w:rPr>
        <w:footnoteReference w:id="42"/>
      </w:r>
      <w:r>
        <w:rPr>
          <w:rFonts w:ascii="Amiri" w:hAnsi="Amiri" w:eastAsia="Amiri" w:cs="Amiri"/>
          <w:color w:val="111111"/>
          <w:sz w:val="28"/>
          <w:sz w:val="28"/>
          <w:szCs w:val="28"/>
          <w:rtl w:val="true"/>
          <w:lang w:bidi="ar-SA"/>
        </w:rPr>
        <w:t>، عن بعض أصحابه،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 فليأتها زوجها حيثُ شاء، ما اتّقى موضع الدّم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Style w:val="FootnoteAnchor"/>
          <w:rtl w:val="true"/>
        </w:rPr>
        <w:footnoteReference w:id="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إليتيها ولا يوقب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جوازه، وعن السيّد</w:t>
      </w:r>
      <w:r>
        <w:rPr>
          <w:rStyle w:val="FootnoteAnchor"/>
          <w:rtl w:val="true"/>
        </w:rPr>
        <w:footnoteReference w:id="45"/>
      </w:r>
      <w:r>
        <w:rPr>
          <w:rFonts w:ascii="Amiri" w:hAnsi="Amiri" w:eastAsia="Amiri" w:cs="Amiri"/>
          <w:color w:val="111111"/>
          <w:sz w:val="28"/>
          <w:sz w:val="28"/>
          <w:szCs w:val="28"/>
          <w:rtl w:val="true"/>
          <w:lang w:bidi="ar-SA"/>
        </w:rPr>
        <w:t>المنع عنه، ومالَ إليه المقدّس الأردبيلي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بالأدلّة التي استدلّ بها على المنع عن الإستمتاع بما دون السُّرة وفوق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صحيح ابن يزيد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التنصيص على الجواز في غير موضع الدّم والقُبل في النصوص المتقدّمة، يُحمل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الوطء في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وبدخول الدُّبر في الفرج المستثنى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الجواز على القول بجوازه في الطاهرة، كما هو المختار والمشهور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2" w:name="pg11796_113366"/>
    </w:p>
    <w:p>
      <w:pPr>
        <w:pStyle w:val="Heading6"/>
        <w:numPr>
          <w:ilvl w:val="5"/>
          <w:numId w:val="1"/>
        </w:numPr>
        <w:rPr/>
      </w:pPr>
      <w:bookmarkStart w:id="43" w:name="__RefHeading___Toc10361764_73709187"/>
      <w:bookmarkStart w:id="44" w:name="_Toc17"/>
      <w:bookmarkEnd w:id="42"/>
      <w:bookmarkEnd w:id="43"/>
      <w:r>
        <w:rPr>
          <w:rtl w:val="true"/>
        </w:rPr>
        <w:t>حكم وطي الحائض لو اشتبه الحال</w:t>
      </w:r>
      <w:bookmarkEnd w:id="44"/>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الزوج في حيض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علم الحالة السابقة، بنى عليها للإستصحاب، وإلّا فيرجع إلى أصالة البراءة عن حرمة الوطء، هذا إذا لم تخبره بذلك، وإلّا وجب تصديقها بلا إشكال عندهم، ولا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للملازمة بين حرمة الكتمان ووجوب القبول لو أظهرت، وإلّا لزم لغويّة حُرمة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 الآية الشريفة بما إذا ادّعت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الكتمان إنّما هو في مقابل إبقاء الواضح والظاهر على حاله، لا ما يقابل الإيضاح والإظهار، فالآية أجنبيّة عمّا نحن فيه، لأنّ الكلام في المقام في قبول إظهار ما هو خفي في نفسه، مع أنّ فائدة عدم الكتمان ظهور الواقع ووضوحه بالإخبار، لحصول الوثوق من قولها غالباً، مضافاً إلى ما ذكره بعض المحقّقين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يكفي وجهاً لحرمة الكتمان، نفوذ قولها في حقّها بالنسبة إلى ما يترتّب على الكتمان من مصلحتها الّتي تكتمه لأجلها، وإن لم يجب على الزوج 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ضعف الاستدلال له بأنّ الحيض ممّا لا يُعلم إلّامِنْ قبلها، وإنّه ممّا يتعسّر إقامة البيّنة عليه غالباً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الاستدلال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الشيخ في الصحيح، عن زرارة</w:t>
      </w:r>
      <w:r>
        <w:rPr>
          <w:rStyle w:val="FootnoteAnchor"/>
          <w:rtl w:val="true"/>
        </w:rPr>
        <w:footnoteReference w:id="49"/>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والحيض إلى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الكليني</w:t>
      </w:r>
      <w:r>
        <w:rPr>
          <w:rStyle w:val="FootnoteAnchor"/>
          <w:rtl w:val="true"/>
        </w:rPr>
        <w:footnoteReference w:id="50"/>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حجيّة قول ذي اليد من السيرة وغيرها، أمّا السيرة فلقيامها على قبول إخبار الشخص عمّا في نفسه، وأمّا غيرها فللأولويّة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الخبرين عدم الفرق بين الإخبار بالحيض أو الطهر؛ إذ الظاهر من الرجوع في الحيض إليهنّ‌، هو الرجوع إليهنّ في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إطلاقها عدم الفرق بين الإتّهام للزوجة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القبول بعدم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المحقّق الهمداني رحمه الله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الخبرين</w:t>
      </w:r>
      <w:r>
        <w:rPr>
          <w:rStyle w:val="FootnoteAnchor"/>
          <w:rtl w:val="true"/>
        </w:rPr>
        <w:footnoteReference w:id="55"/>
      </w:r>
      <w:r>
        <w:rPr>
          <w:rFonts w:ascii="Amiri" w:hAnsi="Amiri" w:eastAsia="Amiri" w:cs="Amiri"/>
          <w:color w:val="111111"/>
          <w:sz w:val="28"/>
          <w:sz w:val="28"/>
          <w:szCs w:val="28"/>
          <w:rtl w:val="true"/>
          <w:lang w:bidi="ar-SA"/>
        </w:rPr>
        <w:t>عن مثل الفرض، لأنّ كونها متهمة في دعواها الحيض فرضٌ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هذا الشرح مراراً من أنّ قلّة الوجود لا توجب الإنصراف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المتّهمة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مَن ادّعت أمراً بعيداً عن المتعارف جدّاً، فيدلّ على عدم 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إخبارها، ما رواه السكوني</w:t>
      </w:r>
      <w:r>
        <w:rPr>
          <w:rStyle w:val="FootnoteAnchor"/>
          <w:rtl w:val="true"/>
        </w:rPr>
        <w:footnoteReference w:id="56"/>
      </w:r>
      <w:r>
        <w:rPr>
          <w:rFonts w:ascii="Amiri" w:hAnsi="Amiri" w:eastAsia="Amiri" w:cs="Amiri"/>
          <w:color w:val="111111"/>
          <w:sz w:val="28"/>
          <w:sz w:val="28"/>
          <w:szCs w:val="28"/>
          <w:rtl w:val="true"/>
          <w:lang w:bidi="ar-SA"/>
        </w:rPr>
        <w:t>، عن جعفر، عن أبيه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إمرأةٍ إدّعت أنّها حاضت في شهرٍ واحد ثلاث حيض‌؟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أنّ حيضها كان فيما مضى على ما ادّعت، فإنْ شهِدنَ صُدِّقت، وإلّا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مرسل الصدوق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المراد منها المرأة المعروفة بتضييع حقّ زوجها، أو المعروفة بكونها كاذبة في دعواها، فلا دليل على عدم قبول قولها؛ إذ الخبرين لا يشملاها، فما لم يحصل الاطمئنان بكذبها، يتعيّن الرجوع إلى إطلاق الصحيحين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يكون الحكم في المتهمة بالمعنى الأوّل من جهة الإتهام، وهو ليس ببعيد، كما يشهد له المتفاهم العرفي، وعلى كلّ حال طريق الاحتياط معلومٌ‌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5" w:name="pg11796_113369"/>
    </w:p>
    <w:p>
      <w:pPr>
        <w:pStyle w:val="Heading6"/>
        <w:numPr>
          <w:ilvl w:val="5"/>
          <w:numId w:val="1"/>
        </w:numPr>
        <w:rPr/>
      </w:pPr>
      <w:bookmarkStart w:id="46" w:name="__RefHeading___Toc10361766_73709187"/>
      <w:bookmarkStart w:id="47" w:name="_Toc18"/>
      <w:bookmarkEnd w:id="45"/>
      <w:bookmarkEnd w:id="46"/>
      <w:r>
        <w:rPr>
          <w:rtl w:val="true"/>
        </w:rPr>
        <w:t>في حكم الدّم الخارج عن غير الفرج</w:t>
      </w:r>
      <w:bookmarkEnd w:id="4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دمها من غير الفرج، فهل يجب الإجتناب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قوله عليه السلام في مرسل ابن بكير</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إتقى موضع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اختصاص النصوص بالفرج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هو الثاني، إذ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وإنّما عبَّر به لكونه مرآةً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 إطلاقه يتعيّن تقييده بما دلَّ على حليّة ما عدا القُبُل،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من التوقّف 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الوطء في الفرج الخالي عن الدّم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لإطلاق ما دلّ على حرمة وطء الحائض</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وانصرافه عنها لقلّة وجودها، ليس انصرافاً صالحاً لتقييد الإطلاق، كما عرفت مراراً</w:t>
      </w:r>
      <w:r>
        <w:rPr>
          <w:rFonts w:eastAsia="Amiri" w:cs="Amiri" w:ascii="Amiri" w:hAnsi="Amiri"/>
          <w:color w:val="111111"/>
          <w:sz w:val="28"/>
          <w:szCs w:val="28"/>
          <w:rtl w:val="true"/>
          <w:lang w:bidi="ar-SA"/>
        </w:rPr>
        <w:t>.</w:t>
      </w:r>
      <w:bookmarkStart w:id="48" w:name="pg11796_113370"/>
    </w:p>
    <w:p>
      <w:pPr>
        <w:pStyle w:val="Heading6"/>
        <w:numPr>
          <w:ilvl w:val="5"/>
          <w:numId w:val="1"/>
        </w:numPr>
        <w:rPr/>
      </w:pPr>
      <w:bookmarkStart w:id="49" w:name="__RefHeading___Toc10361768_73709187"/>
      <w:bookmarkStart w:id="50" w:name="_Toc19"/>
      <w:bookmarkEnd w:id="48"/>
      <w:bookmarkEnd w:id="49"/>
      <w:r>
        <w:rPr>
          <w:rtl w:val="true"/>
        </w:rPr>
        <w:t>جواز الوطء قبل الغُسل بعد انقطاع الدّم</w:t>
      </w:r>
      <w:bookmarkEnd w:id="50"/>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وطئها قبل الغُسل بعد الطهر من الحيض، كما هو المشهور، وعن غير واحدٍ كالشهيد</w:t>
      </w:r>
      <w:r>
        <w:rPr>
          <w:rStyle w:val="FootnoteAnchor"/>
          <w:rtl w:val="true"/>
        </w:rPr>
        <w:footnoteReference w:id="61"/>
      </w:r>
      <w:r>
        <w:rPr>
          <w:rFonts w:ascii="Amiri" w:hAnsi="Amiri" w:eastAsia="Amiri" w:cs="Amiri"/>
          <w:color w:val="111111"/>
          <w:sz w:val="28"/>
          <w:sz w:val="28"/>
          <w:szCs w:val="28"/>
          <w:rtl w:val="true"/>
          <w:lang w:bidi="ar-SA"/>
        </w:rPr>
        <w:t>والشيخ</w:t>
      </w:r>
      <w:r>
        <w:rPr>
          <w:rStyle w:val="FootnoteAnchor"/>
          <w:rtl w:val="true"/>
        </w:rPr>
        <w:footnoteReference w:id="62"/>
      </w:r>
      <w:r>
        <w:rPr>
          <w:rFonts w:ascii="Amiri" w:hAnsi="Amiri" w:eastAsia="Amiri" w:cs="Amiri"/>
          <w:color w:val="111111"/>
          <w:sz w:val="28"/>
          <w:sz w:val="28"/>
          <w:szCs w:val="28"/>
          <w:rtl w:val="true"/>
          <w:lang w:bidi="ar-SA"/>
        </w:rPr>
        <w:t>وإبن زُهرة</w:t>
      </w:r>
      <w:r>
        <w:rPr>
          <w:rStyle w:val="FootnoteAnchor"/>
          <w:rtl w:val="true"/>
        </w:rPr>
        <w:footnoteReference w:id="6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جواز وطء الزوجة والمملوكة؛ إذ الخارج عنه هو الوطء وقت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 عدم الجواز، وبقاء المنع لا يجري؛ إذ مضافاً إلى 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الحرمة منوطة بأيّام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هذا الشرح مراراً أنّه لا يجري الاستصحاب في الأحكام الكليّة، لكونه محكوماً لاستصحاب عدم الجعل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4"/>
      </w:r>
      <w:r>
        <w:rPr>
          <w:rFonts w:ascii="Amiri" w:hAnsi="Amiri" w:eastAsia="Amiri" w:cs="Amiri"/>
          <w:color w:val="111111"/>
          <w:sz w:val="28"/>
          <w:sz w:val="28"/>
          <w:szCs w:val="28"/>
          <w:rtl w:val="true"/>
          <w:lang w:bidi="ar-SA"/>
        </w:rPr>
        <w:t xml:space="preserve">،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كما عن القُرّاء السبعة، إذ الظاهر من الطهر هو ما يقابل الحيض كما تشهد به موارد استعماله في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ويعضده 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في اختصاص الحرمة بحال الحيض، نظراً إلى ظهور العطف في التفسير والتأكيد، وتعليل الأمر بالإعتزال بكونه أذى، أي مؤذياً لقذارته، كما عن أهل التفسير المستفاد من تفريعه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الحقيقة الشرعيّة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تعارض هذه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لظهور التطهير،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إرجاع الأئمّة عليهم السلام أصحابهم إلى القرآن، واستفادة الأحكام من ظاهره في زمانٍ كان المتداول بين الناس قراءة القرآن بإحدى القراءات السبع، جواز العمل بالقراءة المتعارفة بين الناس، غير الخارجة عن القراءات السبع، فإذا اتّفق القُرّاء السبعة على قراءةٍ‌، جاز العمل بها، وحيث أنّ السبعة قرأوا بالتخفيف، فيجوز الاستدلال بتلك القراءة بخلاف قراءة التشديد الشاذّة، فإنّه على فرض جواز القراءة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لم يثبت تواترها عن النبيّ صلى الله عليه و آله، ولم يدلّ دليلٌ على جواز العمل بكلّ ما ثبت جواز القراءة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الاستدلال بها كي تُعارض القراءة بالتخفيف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من حمل الأمر في قراءة التشديد على الكراهة، وإنْ كان ما ذكره رحمه الله تامّاً على فرض جواز العمل بكلّ واحدة من القراءات، وبذلك يرتفع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أورده الشيخ الأعظم رحمه الله</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جواز العمل بكلّ منهما، من أنّ الحمل المزبور مستلزمٌ لاستعمال اللّفظ في معنيين، لأنّ تعدّد القراءة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تعدّد الاستعمال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من أنّ الحرمة والكراهة كالوجوب والاستحباب خارجتان عن حريم الموضوع له والمستعمل فيه، وإنّما تنتزعان من الترخيص في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القول بتعدّد الاستعمال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الاستعمال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في دفع المعارضة احتمال التعدّد،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قراءة التخفيف، يتعارض الصدر والذيل،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الطهر بدعوى أنْ تفعل يجئ بمعنى فعل كتَطعم وتَبسُّم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ولكونه كناية عنه، كما يُجعل الأذان كناية عن الوقت لعلّيته وتفرعه عليه، ليس بأولى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الحالة الحاصلة عقيب الغُسل، كما أنّ حمل الأمر على الإباحة بالمعنى الأخصّ المقابل للحرمة والكراهة خلاف ظاهر الكلام، لأنّ 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 لبيان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جهة كونه مسوقاً لبيان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بملاحظة التفريع، ليس له مفهوم، فدلالته على توقّف الحليّة على الغُسل إن كانت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فإنّما هي لظهور المقام في كونه تمام المفهوم، ورفع اليد عن هذا الظهور لا يبعد أن يكون أولى من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يظهر أنّ التعارض ليس بين المفهومين، بل إنّما يكون بين المنطوقين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دلالة الآية على جواز الوطء قبل الغُسل، ولكن في النفس مع ذلك شيئاً، لأنّ دلالة ما دلّ على الإرجاع إلى الكتاب على جواز الاستدلال بما لم يثبت تواتره عن النبيّ صلى الله عليه و آله، واختلفت القراءة فيه محلّ تأمّل بل نظرٌ، لعدم الإطلاق له من هذه الجهة، مع أنّه من الممكن أن تكون القضيّة الشرطيّة مسوقة لبيان أمرٍ زائد عمّا يستفاد من مفهوم الغاية، وهو اعتبار الإغتسال في الجواز، وبها يقيّد إطلاق مفهومها، بل لعلّ هذا الاحتمال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للجواز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علي بن يقطين</w:t>
      </w:r>
      <w:r>
        <w:rPr>
          <w:rStyle w:val="FootnoteAnchor"/>
          <w:rtl w:val="true"/>
        </w:rPr>
        <w:footnoteReference w:id="70"/>
      </w:r>
      <w:r>
        <w:rPr>
          <w:rFonts w:ascii="Amiri" w:hAnsi="Amiri" w:eastAsia="Amiri" w:cs="Amiri"/>
          <w:color w:val="111111"/>
          <w:sz w:val="28"/>
          <w:sz w:val="28"/>
          <w:szCs w:val="28"/>
          <w:rtl w:val="true"/>
          <w:lang w:bidi="ar-SA"/>
        </w:rPr>
        <w:t>،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ترى الطهر، أيقع فيها زوجها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وبعد الغُسل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Style w:val="FootnoteAnchor"/>
          <w:rtl w:val="true"/>
        </w:rPr>
        <w:footnoteReference w:id="71"/>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إنقطع الدّم ولم تغتسل فليأتها زوجها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مرسل إبن المغيرة</w:t>
      </w:r>
      <w:r>
        <w:rPr>
          <w:rStyle w:val="FootnoteAnchor"/>
          <w:rtl w:val="true"/>
        </w:rPr>
        <w:footnoteReference w:id="72"/>
      </w:r>
      <w:r>
        <w:rPr>
          <w:rFonts w:ascii="Amiri" w:hAnsi="Amiri" w:eastAsia="Amiri" w:cs="Amiri"/>
          <w:color w:val="111111"/>
          <w:sz w:val="28"/>
          <w:sz w:val="28"/>
          <w:szCs w:val="28"/>
          <w:rtl w:val="true"/>
          <w:lang w:bidi="ar-SA"/>
        </w:rPr>
        <w:t>، عن علي بن يقطين،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يخرج عن ظاهر الآية الشريفة على فرض دلالتها على المنع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موثّق سعيد بن يسار</w:t>
      </w:r>
      <w:r>
        <w:rPr>
          <w:rStyle w:val="FootnoteAnchor"/>
          <w:rtl w:val="true"/>
        </w:rPr>
        <w:footnoteReference w:id="7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يحرم عليها الصّلاة، ثمّ تطهر فتتوضّأ من غير أن تغتسل، أفلزوجها أن يأتيها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موثّق أبي بصير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الجمع بينهما وبين النصوص المتقدّمة يقتضي حملها على الكراهة، ويشير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موثّق ابن يقطين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من المنع قبل الغُسل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رحمه الله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قد غلبته الشهوة فيأمرها بغَسل فرجها ويطأها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مسلم</w:t>
      </w:r>
      <w:r>
        <w:rPr>
          <w:rStyle w:val="FootnoteAnchor"/>
          <w:rtl w:val="true"/>
        </w:rPr>
        <w:footnoteReference w:id="80"/>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ينقطع عنها الدّم دمّ الحيض في آخر أيّامها،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زوجها شبق فليأمرها فلتغتسل فرجها ثمّ يمسّها إن شاء قبل أن تَغتَسل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إسحاق بن عمّار</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معه أهله في السفر، فلا يجد الماء، يأتي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إلّاأنْ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شبقاً أو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أنّهما يوجبان تقييد الطائفتين المتقدّمتين، بحمل الاُولى على صورة الشَّبق والخوف على نفسه، والثانية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فيما نحن فيه، بل الظاهر وروده في مقام بيان حكم من يعلم بعدم تمكّنه من غُسل الجنابة ويريد إجناب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يصلح للجمع المذكور، حتّى ولو سُلّم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مع أنّه محلّ تأمّل، لبُعد حمل الأخبار المجوّزة، لاسيّما بملاحظة ما في موثّق ابن بكير</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غَلَبة الشهوة، مضافاً إلى ندرة القائل بالتفصيل، مع أنّ تعليق الجواز على إصابة الشَّبق إنّما يناسب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التدبّر في النصوص، يظهر عدم صحّة الحمل المزبور، بل الأولى الحمل على إنتفاء الكراهة أو خفتها مع الشَّبق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الوطء قبل الغُسل وإنْ كان مكروهاً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1" w:name="pg11796_113376"/>
    </w:p>
    <w:p>
      <w:pPr>
        <w:pStyle w:val="Heading6"/>
        <w:numPr>
          <w:ilvl w:val="5"/>
          <w:numId w:val="1"/>
        </w:numPr>
        <w:rPr/>
      </w:pPr>
      <w:bookmarkStart w:id="52" w:name="__RefHeading___Toc10361770_73709187"/>
      <w:bookmarkStart w:id="53" w:name="_Toc20"/>
      <w:bookmarkEnd w:id="51"/>
      <w:bookmarkEnd w:id="52"/>
      <w:r>
        <w:rPr>
          <w:rtl w:val="true"/>
        </w:rPr>
        <w:t>اشتراط غَسل الفرج</w:t>
      </w:r>
      <w:bookmarkEnd w:id="53"/>
    </w:p>
    <w:p>
      <w:pPr>
        <w:pStyle w:val="BookText"/>
        <w:rPr/>
      </w:pPr>
      <w:r>
        <w:rPr>
          <w:rFonts w:ascii="Amiri" w:hAnsi="Amiri" w:eastAsia="Amiri" w:cs="Amiri"/>
          <w:color w:val="111111"/>
          <w:sz w:val="28"/>
          <w:sz w:val="28"/>
          <w:szCs w:val="28"/>
          <w:rtl w:val="true"/>
          <w:lang w:bidi="ar-SA"/>
        </w:rPr>
        <w:t>المحكيّ عن المحقّق</w:t>
      </w:r>
      <w:r>
        <w:rPr>
          <w:rStyle w:val="FootnoteAnchor"/>
          <w:rtl w:val="true"/>
        </w:rPr>
        <w:footnoteReference w:id="83"/>
      </w:r>
      <w:r>
        <w:rPr>
          <w:rFonts w:ascii="Amiri" w:hAnsi="Amiri" w:eastAsia="Amiri" w:cs="Amiri"/>
          <w:color w:val="111111"/>
          <w:sz w:val="28"/>
          <w:sz w:val="28"/>
          <w:szCs w:val="28"/>
          <w:rtl w:val="true"/>
          <w:lang w:bidi="ar-SA"/>
        </w:rPr>
        <w:t>والمصنّف</w:t>
      </w:r>
      <w:r>
        <w:rPr>
          <w:rStyle w:val="FootnoteAnchor"/>
          <w:rtl w:val="true"/>
        </w:rPr>
        <w:footnoteReference w:id="84"/>
      </w:r>
      <w:r>
        <w:rPr>
          <w:rFonts w:ascii="Amiri" w:hAnsi="Amiri" w:eastAsia="Amiri" w:cs="Amiri"/>
          <w:color w:val="111111"/>
          <w:sz w:val="28"/>
          <w:sz w:val="28"/>
          <w:szCs w:val="28"/>
          <w:rtl w:val="true"/>
          <w:lang w:bidi="ar-SA"/>
        </w:rPr>
        <w:t>والشهيدين</w:t>
      </w:r>
      <w:r>
        <w:rPr>
          <w:rStyle w:val="FootnoteAnchor"/>
          <w:rtl w:val="true"/>
        </w:rPr>
        <w:footnoteReference w:id="85"/>
      </w:r>
      <w:r>
        <w:rPr>
          <w:rFonts w:ascii="IRNazanin" w:hAnsi="IRNazanin" w:eastAsia="IRNazanin"/>
          <w:color w:val="111111"/>
          <w:sz w:val="28"/>
          <w:sz w:val="28"/>
          <w:szCs w:val="28"/>
          <w:rtl w:val="true"/>
          <w:lang w:bidi="fa-IR"/>
        </w:rPr>
        <w:t xml:space="preserve">، عدم وجوب غَسل الفرج قبل الوطء،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الوجوب إلى أكثر كتب القدماء والمتأخّرين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الجواز به وبالوضوء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إشتراطه بأحدهما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لكنّه يتوقّف على عدم دلالة ما اُستدلّ به للأقوال الاُخر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بأمرها بغَسل الفرج فى صحيح ابن مسلم المتقدّم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عبيدة</w:t>
      </w:r>
      <w:r>
        <w:rPr>
          <w:rStyle w:val="FootnoteAnchor"/>
          <w:rtl w:val="true"/>
        </w:rPr>
        <w:footnoteReference w:id="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المرأة الحائض ترى الطهر في السفر، وليس معها من الماء ما يكفيها لغُسلها، وقد حضرت الصّلاة‌؟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فلتغسله،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زوجها في تلك الحال‌؟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وتيمّمت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الصحيح إنّما يدلّ على جواز الوطء من غير كراهة مع غَسل الفرج والشَّبق، فمفهوم ذلك هو عدم الإباحة مع إنتفاء أحدهما، وذلك لا يلازم الحرمة مع عدم غَسل الفرج، وتعليق الجواز بالمعنى الأعمّ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يدلّ على ثبوت البأس مع عدم التيمّم، أو عدم غَسل الفرج، وحيث إنّ البأس المنفيّ معهما اُريد به مطلق المرجوحيّة، بناءً على عدم توقّف الجواز على الغُسل كما هو الأظهر على ما عرفت، فمفهومه ثبوت المرجوحيّة، وعدم الجواز بالمعنى الأخصّ مع إنتفاء أحد الأمرين، وهو أعمّ من الحرمة، فلا دليل على إشتراطه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صحّة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اُورد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مفهومه ثبوت المرجوحيّة مع إنتفاء أحد الأمرين، وإذا ثبتت تلك، ولم يرد من الشارع ترخيصٌ في فعل ما تعلّقت به، لا مناص عن البناء على الحرمة، كما سنشير إلى وجهه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 على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مراراً من أنّ الحرمة والكراهة خارجتان عن حريم الموضوع له والمستعمل فيه، وإنّما تُنتزعان بعد الزجر عن الفعل من الترخيص فيه وعدمه، فإنّه إذا دلّ الدليل على الزجر عن فعلين، أو فعلٍ واحدٍ في حالتين، وثبت بدليل آخر جواز أحدهما أو في إحدى الحالتين، فإنّه لا موجب للالتزام بعدم حرمة الفعل الآخر، أو ذلك الفعل في الحالة الاُخرى، ففي المقام مقتضي الخبرين حُرمة الوطء قبل التيمّم وغَسل الفرج، وإنّما ثبت الجواز قبل التيمّم بدليلٍ خارج، فمقتضى القاعدة الالتزام بالحُرمة قبل غَسل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الأمر بغَسل الفرج على الاستحباب، لخلوّ النصوص عنه، ولأنّ ذلك أهون من حمل المطلقات الواردة في مقام البيان، خصوصاً مع تصريح السائل في خبر ابن المغيرة بعدم مسّها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اليد عن ظهور الأمر لخلوّ النصوص الاُخر عنه، غيرُ ظاهر الوجه، والمطلقات لا تصلح أن تكون صارفة للظهور، لتقدّم ظهور المقيّد على ظهور المطلق، كما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الاشتراط، وأمّا شرطيّة الوضوء فقد اعترف غير واحدٍ منهم الشيخ الأعظم</w:t>
      </w:r>
      <w:r>
        <w:rPr>
          <w:rStyle w:val="FootnoteAnchor"/>
          <w:rtl w:val="true"/>
        </w:rPr>
        <w:footnoteReference w:id="94"/>
      </w:r>
      <w:r>
        <w:rPr>
          <w:rFonts w:ascii="Amiri" w:hAnsi="Amiri" w:eastAsia="Amiri" w:cs="Amiri"/>
          <w:color w:val="111111"/>
          <w:sz w:val="28"/>
          <w:sz w:val="28"/>
          <w:szCs w:val="28"/>
          <w:rtl w:val="true"/>
          <w:lang w:bidi="ar-SA"/>
        </w:rPr>
        <w:t>بعدم العثور على الدليل عليها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11796_113379"/>
    </w:p>
    <w:p>
      <w:pPr>
        <w:pStyle w:val="Heading6"/>
        <w:numPr>
          <w:ilvl w:val="5"/>
          <w:numId w:val="1"/>
        </w:numPr>
        <w:rPr/>
      </w:pPr>
      <w:bookmarkStart w:id="55" w:name="__RefHeading___Toc10361772_73709187"/>
      <w:bookmarkStart w:id="56" w:name="_Toc21"/>
      <w:bookmarkEnd w:id="54"/>
      <w:bookmarkEnd w:id="55"/>
      <w:r>
        <w:rPr>
          <w:rtl w:val="true"/>
        </w:rPr>
        <w:t>يشرع الغَسل لو وجب التمكين</w:t>
      </w:r>
      <w:bookmarkEnd w:id="56"/>
    </w:p>
    <w:p>
      <w:pPr>
        <w:pStyle w:val="BookText"/>
        <w:rPr/>
      </w:pPr>
      <w:r>
        <w:rPr>
          <w:rFonts w:ascii="Amiri" w:hAnsi="Amiri" w:eastAsia="Amiri" w:cs="Amiri"/>
          <w:color w:val="111111"/>
          <w:sz w:val="28"/>
          <w:sz w:val="28"/>
          <w:szCs w:val="28"/>
          <w:rtl w:val="true"/>
          <w:lang w:bidi="ar-SA"/>
        </w:rPr>
        <w:t>وكيف كان، فإذا وجب عليها المضاجعة كما لو طلب منها الزوج، فهل يكون الغَسل مشروعاً لمجرّد ذلك، ويكون هو من غاياته،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ما دلَّ على توقّف الإباحة أو الجواز على الغسل عدم تحقّقهما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شرعيّته لإباحته أو جوازه، فلا دلالة فيه عليها، بل الظاهر منه أنّ المتوقّف عليه هو الغُسل الرافع لحَدَث الحيض، وأن وجه الحرمة أو الكراهة بقاء الحَدَث، فالمتوقّف عليه الغُسل الرافع له لا غَسلٌ خاص فائدته الإباحة أو الجواز، وذلك لإنصراف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المتوقّف على الغَسل جواز الوطء لانفس الوطء، فلا يكون الأمر بالوضوء غيريّاً، بل يكون عقليّاً من باب لزوم الجمع بين غرضي الشارع، فإذا وجب الوطء بطلب الزوج، لم يكن ذلك الوجوب كافياً في تشريع الغَسل لعدم كونه مقدّمةً له، بل هو مقدّمة للجواز، والجواز ليس من فعل المكلّف، والوجوب الغيري إنّما يتعلّق بما هو مقدّمة لفعل المكلّف إذا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يتمّ لو لم يكن التسليم مطلوباً، وإلّا فيسري منه الأمر إليه، ولا ينافي ذلك ظهور الأدلّة في توقّف الجواز على الغُسل الرافع لحَدَث الحيض، فإنّه إذا تعلّق الأمر به من الأمر بالتسليم، فلا محالة يكون الغَسل رافعاً للحَدَث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مطلق وجود الوطء وإن لم يتوقّف على الغَسل، إلّاأنّ وجود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الوطء الذي لا مفسدة فيه ولا مبغوضيّة، يكون متوقّفاً عليه، فكما أنّ قراءة سور العزائم لا تتوقّف عليه، بل وجودها الكامل يتوقّف على الغُسل، وتكون إحدى غاياته، فكذلك في المقام</w:t>
      </w:r>
      <w:r>
        <w:rPr>
          <w:rFonts w:eastAsia="Amiri" w:cs="Amiri" w:ascii="Amiri" w:hAnsi="Amiri"/>
          <w:color w:val="111111"/>
          <w:sz w:val="28"/>
          <w:szCs w:val="28"/>
          <w:rtl w:val="true"/>
          <w:lang w:bidi="ar-SA"/>
        </w:rPr>
        <w:t>.</w:t>
      </w:r>
      <w:bookmarkStart w:id="57" w:name="pg11796_113381"/>
    </w:p>
    <w:p>
      <w:pPr>
        <w:pStyle w:val="Heading6"/>
        <w:numPr>
          <w:ilvl w:val="5"/>
          <w:numId w:val="1"/>
        </w:numPr>
        <w:rPr/>
      </w:pPr>
      <w:bookmarkStart w:id="58" w:name="__RefHeading___Toc10361774_73709187"/>
      <w:bookmarkStart w:id="59" w:name="_Toc22"/>
      <w:bookmarkEnd w:id="57"/>
      <w:bookmarkEnd w:id="58"/>
      <w:r>
        <w:rPr>
          <w:rtl w:val="true"/>
        </w:rPr>
        <w:t>الوطء مع التيمّم</w:t>
      </w:r>
      <w:bookmarkEnd w:id="59"/>
    </w:p>
    <w:p>
      <w:pPr>
        <w:pStyle w:val="BookText"/>
        <w:rPr/>
      </w:pPr>
      <w:r>
        <w:rPr>
          <w:rFonts w:ascii="Amiri" w:hAnsi="Amiri" w:eastAsia="Amiri" w:cs="Amiri"/>
          <w:color w:val="111111"/>
          <w:sz w:val="28"/>
          <w:sz w:val="28"/>
          <w:szCs w:val="28"/>
          <w:rtl w:val="true"/>
          <w:lang w:bidi="ar-SA"/>
        </w:rPr>
        <w:t xml:space="preserve">ثمّ إنّه لو فُقد الماء وتيمّمت، فهل يُباح الوطء، أو تزول الكراهة،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98"/>
      </w:r>
      <w:r>
        <w:rPr>
          <w:rFonts w:ascii="IRNazanin" w:hAnsi="IRNazanin" w:eastAsia="IRNazanin"/>
          <w:color w:val="111111"/>
          <w:sz w:val="28"/>
          <w:sz w:val="28"/>
          <w:szCs w:val="28"/>
          <w:rtl w:val="true"/>
          <w:lang w:bidi="fa-IR"/>
        </w:rPr>
        <w:t>رحمه الله‌؟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عبيدة،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 ترى الطهر في السفر، وليس معها من الماء ما يكفيها لغُسلها وقد حضرت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زوجها في تلك الحال‌؟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وتيمّمت فلا بأس</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الساباطي،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تيمّمت من الحيض هل تحلّ لزوجها؟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0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عموم البدليّة يُراد به </w:t>
      </w:r>
    </w:p>
    <w:p>
      <w:pPr>
        <w:pStyle w:val="BookText"/>
        <w:rPr/>
      </w:pPr>
      <w:r>
        <w:rPr>
          <w:rFonts w:ascii="Amiri" w:hAnsi="Amiri" w:eastAsia="Amiri" w:cs="Amiri"/>
          <w:color w:val="111111"/>
          <w:sz w:val="28"/>
          <w:sz w:val="28"/>
          <w:szCs w:val="28"/>
          <w:rtl w:val="true"/>
          <w:lang w:bidi="ar-SA"/>
        </w:rPr>
        <w:t>البدليّة من حيث الأحكام المنوطة بالطهارة ورفع الحَدَث، لا بخصوص بعض الوضوءات والأغسال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بعض المحقّقين</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عموم البدليّة إنّما يُجدي فيما عدا الجماع الذي يمتنع إجتماعه مع أثر التيمّم، فلا يعقل أن تكون الطهارة الحُكميّة الحاصلة منه مؤثّرة في إباحة الوطء المشروطة بوقوعه حال الطهارة عن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حرمة الوطء أو كراهته من أحكام بقاء الحَدَث وعدمها، من ما يترتّب على رفع الحَدَث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زوالها من أحكام الغُسل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عدم شمول عموم البدليّة لذلك، غير تامّة، كما ستعرف في مبحث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انتقاض التيمّم الذي هو بدلٌ من غُسل الحيض بالحَدَث الآخر غير الحيض، محلّ تأمّل وإشكال، وسيأتي تنقيح القول فيه أيضاً في مبحث التيمّم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خبر عمّار موثّق وهو حجّة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 موثّق البصري المروي عن أبي عبد اللّه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حاضتْ ثمّ طهرت في سفر، فلم تجد الماء يومين أو ثلاثة، 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لزوجها أن يقع عليها؟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لزوجها أن يقع عليها حتّى تغتسل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النهي عنه في يومين، مستلزمٌ لعدم الاكتفاء بالتيمّم الصادر منها لصلاتها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لا يكون ظاهراً إلّافي المنع من مواقعتها ما دامت مُحْدِثة بحَدَث الحيض، والروايتان حاكمتان على مثل هذا الإطلاق كما ادّعاه المحقّق الهمداني رحمه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إلّابناءً على ناقضيّة كلّ حدث للتيمّم الذي هو بدلٌ عن غُسل الحيض، وهي محلّ تأمّلٍ وإشكال، كما سيمرّ عليك في محلّه إن شاء اللّه تعالى؛ إذ حمل الموثّق على مَن لم تتيمّم، ولم تُصلِّ في يومين بعيدٌ، وحمله على بيان حكم إقتضائي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الجمع بتقييد الموثّق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بناءً على الكراهة، فإنّ الجمع بين النصوص يقتضي الالتزام بخفّة الكراهة مع التيمّم، وعدم ارتفاعها بالمرّة إلّابالغُسل، وبناءً على الحرمة يقتضي إرتفاعها به وبقاء الكراهة، فتدبّر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0" w:name="pg11796_113384"/>
    </w:p>
    <w:p>
      <w:pPr>
        <w:pStyle w:val="BookText"/>
        <w:rPr/>
      </w:pPr>
      <w:bookmarkEnd w:id="60"/>
      <w:r>
        <w:rPr>
          <w:rFonts w:ascii="Amiri" w:hAnsi="Amiri" w:eastAsia="Amiri" w:cs="Amiri"/>
          <w:color w:val="111111"/>
          <w:sz w:val="28"/>
          <w:sz w:val="28"/>
          <w:szCs w:val="28"/>
          <w:rtl w:val="true"/>
          <w:lang w:bidi="ar-SA"/>
        </w:rPr>
        <w:t>ولو وطء عمداً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الرجل الواطي زوجته عمداً</w:t>
      </w:r>
    </w:p>
    <w:p>
      <w:pPr>
        <w:pStyle w:val="Heading6"/>
        <w:numPr>
          <w:ilvl w:val="5"/>
          <w:numId w:val="1"/>
        </w:numPr>
        <w:rPr/>
      </w:pPr>
      <w:bookmarkStart w:id="61" w:name="__RefHeading___Toc10361776_73709187"/>
      <w:bookmarkStart w:id="62" w:name="_Toc23"/>
      <w:bookmarkEnd w:id="61"/>
      <w:r>
        <w:rPr>
          <w:rtl w:val="true"/>
        </w:rPr>
        <w:t>الخامس ممّا يحرم على الحائض</w:t>
      </w:r>
      <w:r>
        <w:rPr>
          <w:rtl w:val="true"/>
        </w:rPr>
        <w:t xml:space="preserve">: </w:t>
      </w:r>
      <w:r>
        <w:rPr>
          <w:rtl w:val="true"/>
        </w:rPr>
        <w:t>الوطء عمداً</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وطء عمداً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حَسْماً لمادّة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النصوص</w:t>
      </w:r>
      <w:r>
        <w:rPr>
          <w:rStyle w:val="FootnoteAnchor"/>
          <w:rtl w:val="true"/>
        </w:rPr>
        <w:footnoteReference w:id="106"/>
      </w:r>
      <w:r>
        <w:rPr>
          <w:rFonts w:ascii="Amiri" w:hAnsi="Amiri" w:eastAsia="Amiri" w:cs="Amiri"/>
          <w:color w:val="111111"/>
          <w:sz w:val="28"/>
          <w:sz w:val="28"/>
          <w:szCs w:val="28"/>
          <w:rtl w:val="true"/>
          <w:lang w:bidi="ar-SA"/>
        </w:rPr>
        <w:t>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حدٍّ خاص للتعزير، ويناط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أبي عليّ‌</w:t>
      </w:r>
      <w:r>
        <w:rPr>
          <w:rStyle w:val="FootnoteAnchor"/>
          <w:rtl w:val="true"/>
        </w:rPr>
        <w:footnoteReference w:id="108"/>
      </w:r>
      <w:r>
        <w:rPr>
          <w:rFonts w:ascii="Amiri" w:hAnsi="Amiri" w:eastAsia="Amiri" w:cs="Amiri"/>
          <w:color w:val="111111"/>
          <w:sz w:val="28"/>
          <w:sz w:val="28"/>
          <w:szCs w:val="28"/>
          <w:rtl w:val="true"/>
          <w:lang w:bidi="ar-SA"/>
        </w:rPr>
        <w:t>ولد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تعزيره بثُمن حدّ الزاني في آخر حيضها، ولم نجد له مأخذاً كما اعترف به الشيخ الأعظم رحمه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يظهر من النصوص، هو رُبع حدّ الزاني في أوّل أيّام حيضها، وثُمنه في آخرها؛ فعن الكليني بسنده إلى الفضل الهاشمي</w:t>
      </w:r>
      <w:r>
        <w:rPr>
          <w:rStyle w:val="FootnoteAnchor"/>
          <w:rtl w:val="true"/>
        </w:rPr>
        <w:footnoteReference w:id="1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أتى أهله وهي حائض‌؟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وعشرون سوطاً؛ ربع حدّ الزاني وهو صاغر، لأنّه أتى أهله سِفاحاً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محمّد بن مسلم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القمّي في تفسيره</w:t>
      </w:r>
      <w:r>
        <w:rPr>
          <w:rStyle w:val="FootnoteAnchor"/>
          <w:rtl w:val="true"/>
        </w:rPr>
        <w:footnoteReference w:id="112"/>
      </w:r>
      <w:r>
        <w:rPr>
          <w:rFonts w:ascii="Amiri" w:hAnsi="Amiri" w:eastAsia="Amiri" w:cs="Amiri"/>
          <w:color w:val="111111"/>
          <w:sz w:val="28"/>
          <w:sz w:val="28"/>
          <w:szCs w:val="28"/>
          <w:rtl w:val="true"/>
          <w:lang w:bidi="ar-SA"/>
        </w:rPr>
        <w:t>،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أمرأةً في الفرج في أيّام حيضٍ‌، فعليه أن يتصدّق بدينار، وعليه ربع حدّ الزاني خَمسة وعشرون جلدة، وإنْ أتاها في آخر أيّام حيضها، فعليه أن يتصدّق بنصف دينار، ويُضرب اثنتي عشرة جلدة ونصفاً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3" w:name="pg11796_113386"/>
    </w:p>
    <w:p>
      <w:pPr>
        <w:pStyle w:val="BookText"/>
        <w:rPr/>
      </w:pPr>
      <w:bookmarkEnd w:id="63"/>
      <w:r>
        <w:rPr>
          <w:rFonts w:ascii="Amiri" w:hAnsi="Amiri" w:eastAsia="Amiri" w:cs="Amiri"/>
          <w:color w:val="111111"/>
          <w:sz w:val="28"/>
          <w:sz w:val="28"/>
          <w:szCs w:val="28"/>
          <w:rtl w:val="true"/>
          <w:lang w:bidi="ar-SA"/>
        </w:rPr>
        <w:t>وكفَّر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وطء الحائض</w:t>
      </w:r>
    </w:p>
    <w:p>
      <w:pPr>
        <w:pStyle w:val="Heading6"/>
        <w:numPr>
          <w:ilvl w:val="5"/>
          <w:numId w:val="1"/>
        </w:numPr>
        <w:rPr/>
      </w:pPr>
      <w:bookmarkStart w:id="64" w:name="__RefHeading___Toc10361778_73709187"/>
      <w:bookmarkStart w:id="65" w:name="_Toc24"/>
      <w:bookmarkEnd w:id="64"/>
      <w:r>
        <w:rPr>
          <w:rtl w:val="true"/>
        </w:rPr>
        <w:t>السادس ممّا يترتّب على الحائض</w:t>
      </w:r>
      <w:r>
        <w:rPr>
          <w:rtl w:val="true"/>
        </w:rPr>
        <w:t xml:space="preserve">: </w:t>
      </w:r>
      <w:r>
        <w:rPr>
          <w:rtl w:val="true"/>
        </w:rPr>
        <w:t>الكفّارة</w:t>
      </w:r>
      <w:r>
        <w:rPr>
          <w:rtl w:val="true"/>
        </w:rPr>
        <w:t>.</w:t>
      </w:r>
      <w:bookmarkEnd w:id="65"/>
    </w:p>
    <w:p>
      <w:pPr>
        <w:pStyle w:val="Heading6"/>
        <w:numPr>
          <w:ilvl w:val="5"/>
          <w:numId w:val="1"/>
        </w:numPr>
        <w:rPr/>
      </w:pPr>
      <w:bookmarkStart w:id="66" w:name="__RefHeading___Toc10361780_7370918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فلو وطئها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وتشهد له النصوص</w:t>
      </w:r>
      <w:r>
        <w:rPr>
          <w:rStyle w:val="FootnoteAnchor"/>
          <w:rtl w:val="true"/>
        </w:rPr>
        <w:footnoteReference w:id="113"/>
      </w:r>
      <w:r>
        <w:rPr>
          <w:rFonts w:ascii="Amiri" w:hAnsi="Amiri" w:eastAsia="Amiri" w:cs="Amiri"/>
          <w:color w:val="111111"/>
          <w:sz w:val="28"/>
          <w:sz w:val="28"/>
          <w:szCs w:val="28"/>
          <w:rtl w:val="true"/>
          <w:lang w:bidi="ar-SA"/>
        </w:rPr>
        <w:t>التي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التكفير واجباً كما عن الصدوقين</w:t>
      </w:r>
      <w:r>
        <w:rPr>
          <w:rStyle w:val="FootnoteAnchor"/>
          <w:rtl w:val="true"/>
        </w:rPr>
        <w:footnoteReference w:id="114"/>
      </w:r>
      <w:r>
        <w:rPr>
          <w:rFonts w:ascii="Amiri" w:hAnsi="Amiri" w:eastAsia="Amiri" w:cs="Amiri"/>
          <w:color w:val="111111"/>
          <w:sz w:val="28"/>
          <w:sz w:val="28"/>
          <w:szCs w:val="28"/>
          <w:rtl w:val="true"/>
          <w:lang w:bidi="ar-SA"/>
        </w:rPr>
        <w:t>والشيخين</w:t>
      </w:r>
      <w:r>
        <w:rPr>
          <w:rStyle w:val="FootnoteAnchor"/>
          <w:rtl w:val="true"/>
        </w:rPr>
        <w:footnoteReference w:id="115"/>
      </w:r>
      <w:r>
        <w:rPr>
          <w:rFonts w:ascii="Amiri" w:hAnsi="Amiri" w:eastAsia="Amiri" w:cs="Amiri"/>
          <w:color w:val="111111"/>
          <w:sz w:val="28"/>
          <w:sz w:val="28"/>
          <w:szCs w:val="28"/>
          <w:rtl w:val="true"/>
          <w:lang w:bidi="ar-SA"/>
        </w:rPr>
        <w:t>والسيّد</w:t>
      </w:r>
      <w:r>
        <w:rPr>
          <w:rStyle w:val="FootnoteAnchor"/>
          <w:rtl w:val="true"/>
        </w:rPr>
        <w:footnoteReference w:id="116"/>
      </w:r>
      <w:r>
        <w:rPr>
          <w:rFonts w:ascii="Amiri" w:hAnsi="Amiri" w:eastAsia="Amiri" w:cs="Amiri"/>
          <w:color w:val="111111"/>
          <w:sz w:val="28"/>
          <w:sz w:val="28"/>
          <w:szCs w:val="28"/>
          <w:rtl w:val="true"/>
          <w:lang w:bidi="ar-SA"/>
        </w:rPr>
        <w:t>وبني حمزة</w:t>
      </w:r>
      <w:r>
        <w:rPr>
          <w:rStyle w:val="FootnoteAnchor"/>
          <w:rtl w:val="true"/>
        </w:rPr>
        <w:footnoteReference w:id="117"/>
      </w:r>
      <w:r>
        <w:rPr>
          <w:rFonts w:ascii="Amiri" w:hAnsi="Amiri" w:eastAsia="Amiri" w:cs="Amiri"/>
          <w:color w:val="111111"/>
          <w:sz w:val="28"/>
          <w:sz w:val="28"/>
          <w:szCs w:val="28"/>
          <w:rtl w:val="true"/>
          <w:lang w:bidi="ar-SA"/>
        </w:rPr>
        <w:t>وزُهرة</w:t>
      </w:r>
      <w:r>
        <w:rPr>
          <w:rStyle w:val="FootnoteAnchor"/>
          <w:rtl w:val="true"/>
        </w:rPr>
        <w:footnoteReference w:id="118"/>
      </w:r>
      <w:r>
        <w:rPr>
          <w:rFonts w:ascii="Amiri" w:hAnsi="Amiri" w:eastAsia="Amiri" w:cs="Amiri"/>
          <w:color w:val="111111"/>
          <w:sz w:val="28"/>
          <w:sz w:val="28"/>
          <w:szCs w:val="28"/>
          <w:rtl w:val="true"/>
          <w:lang w:bidi="ar-SA"/>
        </w:rPr>
        <w:t>وإدريس</w:t>
      </w:r>
      <w:r>
        <w:rPr>
          <w:rStyle w:val="FootnoteAnchor"/>
          <w:rtl w:val="true"/>
        </w:rPr>
        <w:footnoteReference w:id="119"/>
      </w:r>
      <w:r>
        <w:rPr>
          <w:rFonts w:ascii="Amiri" w:hAnsi="Amiri" w:eastAsia="Amiri" w:cs="Amiri"/>
          <w:color w:val="111111"/>
          <w:sz w:val="28"/>
          <w:sz w:val="28"/>
          <w:szCs w:val="28"/>
          <w:rtl w:val="true"/>
          <w:lang w:bidi="ar-SA"/>
        </w:rPr>
        <w:t>وغيرهم</w:t>
      </w:r>
      <w:r>
        <w:rPr>
          <w:rStyle w:val="FootnoteAnchor"/>
          <w:rtl w:val="true"/>
        </w:rPr>
        <w:footnoteReference w:id="120"/>
      </w:r>
      <w:r>
        <w:rPr>
          <w:rFonts w:ascii="Amiri" w:hAnsi="Amiri" w:eastAsia="Amiri" w:cs="Amiri"/>
          <w:color w:val="111111"/>
          <w:sz w:val="28"/>
          <w:sz w:val="28"/>
          <w:szCs w:val="28"/>
          <w:rtl w:val="true"/>
          <w:lang w:bidi="ar-SA"/>
        </w:rPr>
        <w:t>، بل هو المنسوب إلى المشهور بين القدماء؟</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اختارها المصنّف رحمه الله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وجماعةٌ من متأخّري المتأخّرين</w:t>
      </w:r>
      <w:r>
        <w:rPr>
          <w:rStyle w:val="FootnoteAnchor"/>
          <w:rtl w:val="true"/>
        </w:rPr>
        <w:footnoteReference w:id="129"/>
      </w:r>
      <w:r>
        <w:rPr>
          <w:rFonts w:ascii="Amiri" w:hAnsi="Amiri" w:eastAsia="Amiri" w:cs="Amiri"/>
          <w:color w:val="111111"/>
          <w:sz w:val="28"/>
          <w:sz w:val="28"/>
          <w:szCs w:val="28"/>
          <w:rtl w:val="true"/>
          <w:lang w:bidi="ar-SA"/>
        </w:rPr>
        <w:t>، بل نُسِب إلى أكثرهم</w:t>
      </w:r>
      <w:r>
        <w:rPr>
          <w:rStyle w:val="FootnoteAnchor"/>
          <w:rtl w:val="true"/>
        </w:rPr>
        <w:footnoteReference w:id="130"/>
      </w:r>
      <w:r>
        <w:rPr>
          <w:rFonts w:ascii="Amiri" w:hAnsi="Amiri" w:eastAsia="Amiri" w:cs="Amiri"/>
          <w:color w:val="111111"/>
          <w:sz w:val="28"/>
          <w:sz w:val="28"/>
          <w:szCs w:val="28"/>
          <w:rtl w:val="true"/>
          <w:lang w:bidi="ar-SA"/>
        </w:rPr>
        <w:t>، بل المشهور بينهم‌؟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فرقد</w:t>
      </w:r>
      <w:r>
        <w:rPr>
          <w:rStyle w:val="FootnoteAnchor"/>
          <w:rtl w:val="true"/>
        </w:rPr>
        <w:footnoteReference w:id="131"/>
      </w:r>
      <w:r>
        <w:rPr>
          <w:rFonts w:ascii="Amiri" w:hAnsi="Amiri" w:eastAsia="Amiri" w:cs="Amiri"/>
          <w:color w:val="111111"/>
          <w:sz w:val="28"/>
          <w:sz w:val="28"/>
          <w:szCs w:val="28"/>
          <w:rtl w:val="true"/>
          <w:lang w:bidi="ar-SA"/>
        </w:rPr>
        <w:t>، عن أبي عبد اللّه عليه السلام في كفّارة الطمث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يتصدّق إذا كان في أوّله بدينار، وفي وسطه نصف دينار، وفي آخره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ما يكفِّر؟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واحد، وإلّا استغفر اللّه ولا يعود، فإنّ الإستغفار توبةٌ وكفّارةٌ لمن لم يجد السبيل إلى شيء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Style w:val="FootnoteAnchor"/>
          <w:rtl w:val="true"/>
        </w:rPr>
        <w:footnoteReference w:id="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أتى إمرأته وهي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ويستغفر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w:t>
      </w:r>
      <w:r>
        <w:rPr>
          <w:rStyle w:val="FootnoteAnchor"/>
          <w:rtl w:val="true"/>
        </w:rPr>
        <w:footnoteReference w:id="133"/>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أتى المرأة وهي 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وفي وسطه نصف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w:t>
      </w:r>
      <w:r>
        <w:rPr>
          <w:rStyle w:val="FootnoteAnchor"/>
          <w:rtl w:val="true"/>
        </w:rPr>
        <w:footnoteReference w:id="134"/>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 فعليه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135"/>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إمرأته وهي حائض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على مسكين بقدر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القمّي المتقدّم</w:t>
      </w:r>
      <w:r>
        <w:rPr>
          <w:rStyle w:val="FootnoteAnchor"/>
          <w:rtl w:val="true"/>
        </w:rPr>
        <w:footnoteReference w:id="136"/>
      </w:r>
      <w:r>
        <w:rPr>
          <w:rFonts w:ascii="Amiri" w:hAnsi="Amiri" w:eastAsia="Amiri" w:cs="Amiri"/>
          <w:color w:val="111111"/>
          <w:sz w:val="28"/>
          <w:sz w:val="28"/>
          <w:szCs w:val="28"/>
          <w:rtl w:val="true"/>
          <w:lang w:bidi="ar-SA"/>
        </w:rPr>
        <w:t>، ونحوها غيرها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على الاستدلال بها باُمور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دلالة بعضها كرواية دواد، فإنّ الكفّارة أعمّ من الواجبة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قصور سندها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يتعيّن حملها على الاستحباب، لما فيها من الاختلاف، بنحوٍ يصعبُ الجمع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معارضة مع صحيح العيص</w:t>
      </w:r>
      <w:r>
        <w:rPr>
          <w:rStyle w:val="FootnoteAnchor"/>
          <w:rtl w:val="true"/>
        </w:rPr>
        <w:footnoteReference w:id="1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واقع المرأة وهي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قد نهى اللّه تعالى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أعليه كفّارة‌؟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شيئاً، 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زرارة</w:t>
      </w:r>
      <w:r>
        <w:rPr>
          <w:rStyle w:val="FootnoteAnchor"/>
          <w:rtl w:val="true"/>
        </w:rPr>
        <w:footnoteReference w:id="139"/>
      </w:r>
      <w:r>
        <w:rPr>
          <w:rFonts w:ascii="Amiri" w:hAnsi="Amiri" w:eastAsia="Amiri" w:cs="Amiri"/>
          <w:color w:val="111111"/>
          <w:sz w:val="28"/>
          <w:sz w:val="28"/>
          <w:szCs w:val="28"/>
          <w:rtl w:val="true"/>
          <w:lang w:bidi="ar-SA"/>
        </w:rPr>
        <w:t>،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الحائض يأتيها زوجها؟ قال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عليه شيء، يستغفر اللّه ولا يعود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وموثّق ليث</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وقوع الرجل على إمرأته وهي طامث خطأً؟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عَصى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العرفي يقتضي حمل الطائفة الاُولى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في باقي النصوص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ظاهرة في الوجوب للأمر بالتصدّق فيها، مع عدم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بعضها موثّق وبعضها صحيح، مع أنّه لو سُلّم ضعف سندها فهو منجبرٌ بعمل قدماء الأصحاب، بل ومتأخّريهم، حيث إنّهم أيضاً عملوا بها بالحمل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الجمع العرفي في ما بينها، بتقييد صحيح الحلبي بصورة عدم التمكّن بقرينة خبر داود، وموثّق أبي بصير بما إذا كان الوطء في وسط الحيض، وصحيح ابن مسلم بما إذا كان في أوّله بقرينة خبر داود ونحوه خبره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يكون الواجب على الواطئ مراعاة هذا التفصيل، ومع ذلك يأمره الإمام عليه السلام عند الإستفهام عن حكمه بأنْ يتصدّق على مسكين بقدر شبعه‌؟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حمل المطلق على المقيّد في شيء من الموارد، لجريان عين هذا البرهان في الجميع، وقد تقدّم غير مرّةٍ أنّ ميزان كون الجمع عرفيّاً، جمع المتنافيين في كلام واحد، وفرض صدور الجميع عن شخص واحد في مجلس واحد، فإنْ لم ير أهل العرف التهافت بينهما، ورأوا قرينيّة أحدهما على الآخر، يكون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المزبور عرفيّاً، وإلّا فلا، وفي المقام إذا جمعنا جميع هذه النصوص في كلامٍ واحد، لا ريب أنّ أهل العرف يرون بعض نصوص الباب قرينةً على البعض الآخر، ويجمعون بينهما بما جمعناه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الجمع بين الطائفتين وإنْ كان يقتضي ما ذُكر، إلّاأنّ إعراض القدماء عن الطائفة الثانية، وعدم إفتاء أحدٍ منهم بمضمونها، مع كونها بمرأى منهم ومنظر، فذلك يوجب ضعفها ووهنها وعدم صلاحية الإستناد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محاولة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ليث</w:t>
      </w:r>
      <w:r>
        <w:rPr>
          <w:rStyle w:val="FootnoteAnchor"/>
          <w:rtl w:val="true"/>
        </w:rPr>
        <w:footnoteReference w:id="142"/>
      </w:r>
      <w:r>
        <w:rPr>
          <w:rFonts w:ascii="Amiri" w:hAnsi="Amiri" w:eastAsia="Amiri" w:cs="Amiri"/>
          <w:color w:val="111111"/>
          <w:sz w:val="28"/>
          <w:sz w:val="28"/>
          <w:szCs w:val="28"/>
          <w:rtl w:val="true"/>
          <w:lang w:bidi="ar-SA"/>
        </w:rPr>
        <w:t>خارجٌ عن محلّ النزاع، لتقييده المواقعة بالخطأ، والخبرين الآخرين</w:t>
      </w:r>
      <w:r>
        <w:rPr>
          <w:rStyle w:val="FootnoteAnchor"/>
          <w:rtl w:val="true"/>
        </w:rPr>
        <w:footnoteReference w:id="143"/>
      </w:r>
      <w:r>
        <w:rPr>
          <w:rFonts w:ascii="Amiri" w:hAnsi="Amiri" w:eastAsia="Amiri" w:cs="Amiri"/>
          <w:color w:val="111111"/>
          <w:sz w:val="28"/>
          <w:sz w:val="28"/>
          <w:szCs w:val="28"/>
          <w:rtl w:val="true"/>
          <w:lang w:bidi="ar-SA"/>
        </w:rPr>
        <w:t>مخالفان للإجماعات، التي هي بمنزلة الأخبار الصحيحة، والروايات المتقدّمة المعتبرة في أنفسها، وموافقان لفتوى الشافعي في الجديد</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محيى الدين بن النووي في كتابه المجموع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واللّيث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الخطأ في خبر ليث اُريد به الخطيئة،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عَصَى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والإجماعات مع معلوميّة المدرك ليست بحجّة، فضلاً عن أن تكون بمنزلة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العامّة إنّما تكون إحدى المرجّحات فيما لا يمكن الجمع العرفيي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بعضٍ من حمل نصوص النفي على نفي، غير الكفّارة، يأباه صريح صحيح العيص فلاحظه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وعليه فالأظهر هو الوجوب</w:t>
      </w:r>
      <w:r>
        <w:rPr>
          <w:rFonts w:eastAsia="Amiri" w:cs="Amiri" w:ascii="Amiri" w:hAnsi="Amiri"/>
          <w:color w:val="111111"/>
          <w:sz w:val="28"/>
          <w:szCs w:val="28"/>
          <w:rtl w:val="true"/>
          <w:lang w:bidi="ar-SA"/>
        </w:rPr>
        <w:t>.</w:t>
      </w:r>
      <w:bookmarkStart w:id="68" w:name="pg11796_113392"/>
    </w:p>
    <w:p>
      <w:pPr>
        <w:pStyle w:val="Heading6"/>
        <w:numPr>
          <w:ilvl w:val="5"/>
          <w:numId w:val="1"/>
        </w:numPr>
        <w:rPr/>
      </w:pPr>
      <w:bookmarkStart w:id="69" w:name="__RefHeading___Toc10361782_73709187"/>
      <w:bookmarkStart w:id="70" w:name="_Toc26"/>
      <w:bookmarkEnd w:id="68"/>
      <w:bookmarkEnd w:id="69"/>
      <w:r>
        <w:rPr>
          <w:rtl w:val="true"/>
        </w:rPr>
        <w:t>فروع</w:t>
      </w:r>
      <w:r>
        <w:rPr>
          <w:rtl w:val="true"/>
        </w:rPr>
        <w:t>:</w:t>
      </w:r>
      <w:bookmarkEnd w:id="70"/>
    </w:p>
    <w:p>
      <w:pPr>
        <w:pStyle w:val="Heading6"/>
        <w:numPr>
          <w:ilvl w:val="5"/>
          <w:numId w:val="1"/>
        </w:numPr>
        <w:rPr/>
      </w:pPr>
      <w:bookmarkStart w:id="71" w:name="__RefHeading___Toc10361784_73709187"/>
      <w:bookmarkStart w:id="72" w:name="_Toc27"/>
      <w:bookmarkEnd w:id="71"/>
      <w:r>
        <w:rPr>
          <w:rtl w:val="true"/>
        </w:rPr>
        <w:t>مقدار الكفّارة</w:t>
      </w:r>
      <w:bookmarkEnd w:id="7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فروع ينبغي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الكفّارة دينار في أوّل الحيض، ونصفه في وسطه، وربعه في آخره، إذا كانت الموطوءة زوجة، بل عن السيّد</w:t>
      </w:r>
      <w:r>
        <w:rPr>
          <w:rStyle w:val="FootnoteAnchor"/>
          <w:rtl w:val="true"/>
        </w:rPr>
        <w:footnoteReference w:id="145"/>
      </w:r>
      <w:r>
        <w:rPr>
          <w:rFonts w:ascii="Amiri" w:hAnsi="Amiri" w:eastAsia="Amiri" w:cs="Amiri"/>
          <w:color w:val="111111"/>
          <w:sz w:val="28"/>
          <w:sz w:val="28"/>
          <w:szCs w:val="28"/>
          <w:rtl w:val="true"/>
          <w:lang w:bidi="ar-SA"/>
        </w:rPr>
        <w:t>والشيخ</w:t>
      </w:r>
      <w:r>
        <w:rPr>
          <w:rStyle w:val="FootnoteAnchor"/>
          <w:rtl w:val="true"/>
        </w:rPr>
        <w:footnoteReference w:id="146"/>
      </w:r>
      <w:r>
        <w:rPr>
          <w:rFonts w:ascii="Amiri" w:hAnsi="Amiri" w:eastAsia="Amiri" w:cs="Amiri"/>
          <w:color w:val="111111"/>
          <w:sz w:val="28"/>
          <w:sz w:val="28"/>
          <w:szCs w:val="28"/>
          <w:rtl w:val="true"/>
          <w:lang w:bidi="ar-SA"/>
        </w:rPr>
        <w:t>وابن زُهرة</w:t>
      </w:r>
      <w:r>
        <w:rPr>
          <w:rStyle w:val="FootnoteAnchor"/>
          <w:rtl w:val="true"/>
        </w:rPr>
        <w:footnoteReference w:id="147"/>
      </w:r>
      <w:r>
        <w:rPr>
          <w:rFonts w:ascii="Amiri" w:hAnsi="Amiri" w:eastAsia="Amiri" w:cs="Amiri"/>
          <w:color w:val="111111"/>
          <w:sz w:val="28"/>
          <w:sz w:val="28"/>
          <w:szCs w:val="28"/>
          <w:rtl w:val="true"/>
          <w:lang w:bidi="ar-SA"/>
        </w:rPr>
        <w:t>والمحقّق</w:t>
      </w:r>
      <w:r>
        <w:rPr>
          <w:rStyle w:val="FootnoteAnchor"/>
          <w:rtl w:val="true"/>
        </w:rPr>
        <w:footnoteReference w:id="148"/>
      </w:r>
      <w:r>
        <w:rPr>
          <w:rFonts w:ascii="IRNazanin" w:hAnsi="IRNazanin" w:eastAsia="IRNazanin"/>
          <w:color w:val="111111"/>
          <w:sz w:val="28"/>
          <w:sz w:val="28"/>
          <w:szCs w:val="28"/>
          <w:rtl w:val="true"/>
          <w:lang w:bidi="fa-IR"/>
        </w:rPr>
        <w:t>والمصنّف رحمه الله</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المتقدّم، وكذا سائر ما تقدّم بعد الجمع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واقع امرأته وهي حائض‌؟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واقعها في استقبال الدّم، فليستغفر اللّه تعالى، ويتصدّق على سبعة نفرٍ من المؤمنين بقدر قوت كلّ نفرٍ منهم ليومه، ولا يَعُد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فلعدم العامل به يُطرح، أو يُحمل على ما حَمَله عليه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من كون قوت السّبعة قيمة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صحيحه</w:t>
      </w:r>
      <w:r>
        <w:rPr>
          <w:rStyle w:val="FootnoteAnchor"/>
          <w:rtl w:val="true"/>
        </w:rPr>
        <w:footnoteReference w:id="152"/>
      </w:r>
      <w:r>
        <w:rPr>
          <w:rFonts w:ascii="Amiri" w:hAnsi="Amiri" w:eastAsia="Amiri" w:cs="Amiri"/>
          <w:color w:val="111111"/>
          <w:sz w:val="28"/>
          <w:sz w:val="28"/>
          <w:szCs w:val="28"/>
          <w:rtl w:val="true"/>
          <w:lang w:bidi="ar-SA"/>
        </w:rPr>
        <w:t>المتقدّم، فقد عرفت أنّه محمولٌ على صورة عدم التمكّن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من العمل به وجعل الدينار رواية</w:t>
      </w:r>
      <w:r>
        <w:rPr>
          <w:rFonts w:eastAsia="Amiri" w:cs="Amiri" w:ascii="Amiri" w:hAnsi="Amiri"/>
          <w:color w:val="111111"/>
          <w:sz w:val="28"/>
          <w:szCs w:val="28"/>
          <w:rtl w:val="true"/>
          <w:lang w:bidi="ar-SA"/>
        </w:rPr>
        <w:t xml:space="preserve">. </w:t>
      </w:r>
      <w:bookmarkStart w:id="73" w:name="pg11796_113393"/>
    </w:p>
    <w:p>
      <w:pPr>
        <w:pStyle w:val="BookText"/>
        <w:rPr/>
      </w:pPr>
      <w:bookmarkEnd w:id="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المتبادر من النصوص والفتاوي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حيض أوّلاً ووسطاً وآخراً بالنسبة إلى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لذات الثلاثة يومٌ واحد، ولذات الأربعة يومٌ وثلث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الوسط ما بين الخمسة إلى السبعة، وعليه فلا وسط ولا آخر لمن إعتادت ما دون الخمسة إلى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قُطب الدين الراوندي</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العِبرة بالعَشَرة لا بالعادة، إلّاأنّه ثَلّثها تثليثاً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ضعيفان</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0361786_73709187"/>
      <w:bookmarkStart w:id="75" w:name="_Toc28"/>
      <w:bookmarkEnd w:id="74"/>
      <w:r>
        <w:rPr>
          <w:rtl w:val="true"/>
        </w:rPr>
        <w:t>في عمومية الحكم للأجنبية</w:t>
      </w:r>
      <w:bookmarkEnd w:id="75"/>
    </w:p>
    <w:p>
      <w:pPr>
        <w:pStyle w:val="Heading6"/>
        <w:numPr>
          <w:ilvl w:val="5"/>
          <w:numId w:val="1"/>
        </w:numPr>
        <w:rPr/>
      </w:pPr>
      <w:bookmarkStart w:id="76" w:name="__RefHeading___Toc10361788_73709187"/>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بوطء زوجته، أم يعمّ الأجنبيّة‌؟</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لها فيها؛ لأنّ بعض النصوص وإنْ لم يكن له إطلاقٌ كخبر داود، لوروده في مقام بيان مقدار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ابن مسلم المتقدّم عن الإمام الباقر عليه السلام له إطلاقٌ‌، لوروده في مقام بيان حكم من أتى المرأة وهي حائض، وهو وإن تضمّن حكم الوطء في أوّل الحيض ووسطه، ولا تعرّض له لما في آخره، إلّاأنّه يثبت فيه أيضاً حكمه لها بعدم الفصل، وبضميمة سائر النصوص، مع أنّه لو سُلّم اختصاص النصّ بالزوجة، فإنّه يمكن الالتزام بثبوته للأجنبيّة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إلى الحليلة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المَنشأ لهذا الانصراف بنحوٍ يصلح أن يكون مقيّداً للإطلاق</w:t>
      </w:r>
      <w:r>
        <w:rPr>
          <w:rFonts w:eastAsia="Amiri" w:cs="Amiri" w:ascii="Amiri" w:hAnsi="Amiri"/>
          <w:color w:val="111111"/>
          <w:sz w:val="28"/>
          <w:szCs w:val="28"/>
          <w:rtl w:val="true"/>
          <w:lang w:bidi="ar-SA"/>
        </w:rPr>
        <w:t xml:space="preserve">. </w:t>
      </w:r>
      <w:bookmarkStart w:id="78" w:name="pg11796_113394"/>
    </w:p>
    <w:p>
      <w:pPr>
        <w:pStyle w:val="BookText"/>
        <w:rPr/>
      </w:pPr>
      <w:bookmarkEnd w:id="78"/>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والمصنّف</w:t>
      </w:r>
      <w:r>
        <w:rPr>
          <w:rStyle w:val="FootnoteAnchor"/>
          <w:rtl w:val="true"/>
        </w:rPr>
        <w:footnoteReference w:id="158"/>
      </w:r>
      <w:r>
        <w:rPr>
          <w:rFonts w:ascii="Amiri" w:hAnsi="Amiri" w:eastAsia="Amiri" w:cs="Amiri"/>
          <w:color w:val="111111"/>
          <w:sz w:val="28"/>
          <w:sz w:val="28"/>
          <w:szCs w:val="28"/>
          <w:rtl w:val="true"/>
          <w:lang w:bidi="ar-SA"/>
        </w:rPr>
        <w:t>والشهيد</w:t>
      </w:r>
      <w:r>
        <w:rPr>
          <w:rStyle w:val="FootnoteAnchor"/>
          <w:rtl w:val="true"/>
        </w:rPr>
        <w:footnoteReference w:id="159"/>
      </w:r>
      <w:r>
        <w:rPr>
          <w:rFonts w:ascii="Amiri" w:hAnsi="Amiri" w:eastAsia="Amiri" w:cs="Amiri"/>
          <w:color w:val="111111"/>
          <w:sz w:val="28"/>
          <w:sz w:val="28"/>
          <w:szCs w:val="28"/>
          <w:rtl w:val="true"/>
          <w:lang w:bidi="ar-SA"/>
        </w:rPr>
        <w:t>من عموم الحكم للأجنبيّة هو الأقوى</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0361790_73709187"/>
      <w:bookmarkStart w:id="80" w:name="_Toc30"/>
      <w:bookmarkEnd w:id="79"/>
      <w:r>
        <w:rPr>
          <w:rtl w:val="true"/>
        </w:rPr>
        <w:t>كفّارة وطء الأمَة</w:t>
      </w:r>
      <w:bookmarkEnd w:id="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من ثبوت الإطلاق يظهر شمول الأدلّة لوطء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المعروف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يتصدّق في وطء جاريته بثلاثة أمداد على ثلاثة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إنتفاء الكفّارة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الكفّارة المذكورة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عبد الملك، عن </w:t>
      </w:r>
    </w:p>
    <w:p>
      <w:pPr>
        <w:pStyle w:val="BookText"/>
        <w:rPr/>
      </w:pPr>
      <w:r>
        <w:rPr>
          <w:rFonts w:ascii="Amiri" w:hAnsi="Amiri" w:eastAsia="Amiri" w:cs="Amiri"/>
          <w:color w:val="111111"/>
          <w:sz w:val="28"/>
          <w:sz w:val="28"/>
          <w:szCs w:val="28"/>
          <w:rtl w:val="true"/>
          <w:lang w:bidi="ar-SA"/>
        </w:rPr>
        <w:t>عبدالكريم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أتى جاريته وهي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 ربه،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يقولون عليه نصف دينار أو دينار؟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كون المراد توزيع الدينار على‌عشرة مساكين، خلاف الظاهر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بالرضوي</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جامعتَ أمَتَك وهي حائض، فعليك أن تتصدّق بثلاثة أمداد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بدعوى أنّ ضعف سنده منجبرٌ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الموافقة لا ينهض في جبره، كيف وقد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المستند رواية لا تنهض بصحّة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أنّ المستند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w:t>
      </w:r>
      <w:r>
        <w:rPr>
          <w:rStyle w:val="FootnoteAnchor"/>
          <w:rtl w:val="true"/>
        </w:rPr>
        <w:footnoteReference w:id="164"/>
      </w:r>
      <w:r>
        <w:rPr>
          <w:rFonts w:ascii="Amiri" w:hAnsi="Amiri" w:eastAsia="Amiri" w:cs="Amiri"/>
          <w:color w:val="111111"/>
          <w:sz w:val="28"/>
          <w:sz w:val="28"/>
          <w:szCs w:val="28"/>
          <w:rtl w:val="true"/>
          <w:lang w:bidi="ar-SA"/>
        </w:rPr>
        <w:t>فظاهره التصدّق بعشرة أمداد لعشرة مساكين، وحيث لا قائل بوجوبه، فيتعيّن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بأس بالإلتزام باستحباب التصدّق بثلاثة أمداد، لما سبق بضميمة قاعدة التسامح، فأفضل الفردين ما تضمّنه الحَسَن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استدلال السيّد</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التصدّق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وغيره من الآيات الآمرة بالطاعة، بدعوى أنّ الصدقة بِرٌّ وقربةٌ وطاعة اللّه تعالى، وظاهر الأمر الإيجاب، وإنّما خرج عن ظاهر هذه الآيات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1" w:name="pg11796_113396"/>
    </w:p>
    <w:p>
      <w:pPr>
        <w:pStyle w:val="BookText"/>
        <w:rPr/>
      </w:pPr>
      <w:bookmarkEnd w:id="81"/>
      <w:r>
        <w:rPr>
          <w:rFonts w:ascii="Amiri" w:hAnsi="Amiri" w:eastAsia="Amiri" w:cs="Amiri"/>
          <w:color w:val="111111"/>
          <w:sz w:val="28"/>
          <w:sz w:val="28"/>
          <w:szCs w:val="28"/>
          <w:rtl w:val="true"/>
          <w:lang w:bidi="ar-SA"/>
        </w:rPr>
        <w:t>خرج بدليلٍ‌، ولا دليل على الخروج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أنّها للاستحباب، لما فيها من القرائن الداخليّة والخارجيّة، وطريق الاحتياط غير محتاج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إطلاق الحَسَن، شمول هذا الحكم للأمَة المزوّجة والمحلّلة إذا وطئها مالكها، لصدق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وطئهما، وأمّا المبعّضة والمشتركة، فلا يشملها الحسن، فتكونان باقيتين تحت عموم ما دلّ على أنّ كفّارة وطء الطامث الدينار ونصفه وربعه، على ما عرفت من ثبوت الإطلاق له، فهما ملحقتان بالزوجة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0361792_73709187"/>
      <w:bookmarkStart w:id="83" w:name="_Toc31"/>
      <w:bookmarkEnd w:id="82"/>
      <w:r>
        <w:rPr>
          <w:rtl w:val="true"/>
        </w:rPr>
        <w:t>لا كفّارة على المرأة</w:t>
      </w:r>
      <w:bookmarkEnd w:id="8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المرأة بلا خلافٍ ظاهر،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اختصاص النصوص بالواطي</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0361794_73709187"/>
      <w:bookmarkStart w:id="85" w:name="_Toc32"/>
      <w:bookmarkEnd w:id="84"/>
      <w:r>
        <w:rPr>
          <w:rtl w:val="true"/>
        </w:rPr>
        <w:t>شرائط وجوب الكفّارة</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الكفّارة البلوغ، لا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Style w:val="FootnoteAnchor"/>
          <w:rtl w:val="true"/>
        </w:rPr>
        <w:footnoteReference w:id="169"/>
      </w:r>
      <w:r>
        <w:rPr>
          <w:rFonts w:ascii="Amiri" w:hAnsi="Amiri" w:eastAsia="Amiri" w:cs="Amiri"/>
          <w:color w:val="111111"/>
          <w:sz w:val="28"/>
          <w:sz w:val="28"/>
          <w:szCs w:val="28"/>
          <w:rtl w:val="true"/>
          <w:lang w:bidi="ar-SA"/>
        </w:rPr>
        <w:t>عن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في محلّه من عدم شموله لباب الغرامات والكفّارات، بل لأنّ الظاهر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تسمية التصدّق كفّارة في بعض النصوص</w:t>
      </w:r>
      <w:r>
        <w:rPr>
          <w:rStyle w:val="FootnoteAnchor"/>
          <w:rtl w:val="true"/>
        </w:rPr>
        <w:footnoteReference w:id="170"/>
      </w:r>
      <w:r>
        <w:rPr>
          <w:rFonts w:ascii="IRNazanin" w:hAnsi="IRNazanin" w:eastAsia="IRNazanin"/>
          <w:color w:val="111111"/>
          <w:sz w:val="28"/>
          <w:sz w:val="28"/>
          <w:szCs w:val="28"/>
          <w:rtl w:val="true"/>
          <w:lang w:bidi="fa-IR"/>
        </w:rPr>
        <w:t>، والأمر بالإستغفار</w:t>
      </w:r>
      <w:r>
        <w:rPr>
          <w:rStyle w:val="FootnoteAnchor"/>
          <w:rtl w:val="true"/>
        </w:rPr>
        <w:footnoteReference w:id="171"/>
      </w:r>
      <w:r>
        <w:rPr>
          <w:rFonts w:ascii="Amiri" w:hAnsi="Amiri" w:eastAsia="Amiri" w:cs="Amiri"/>
          <w:color w:val="111111"/>
          <w:sz w:val="28"/>
          <w:sz w:val="28"/>
          <w:szCs w:val="28"/>
          <w:rtl w:val="true"/>
          <w:lang w:bidi="ar-SA"/>
        </w:rPr>
        <w:t xml:space="preserve">، وعدم العود في جملةٍ منها مع الكفّارة، والأمر به خاصّة عند </w:t>
      </w:r>
      <w:bookmarkStart w:id="86" w:name="pg11796_113397"/>
    </w:p>
    <w:p>
      <w:pPr>
        <w:pStyle w:val="BookText"/>
        <w:rPr/>
      </w:pPr>
      <w:bookmarkEnd w:id="86"/>
      <w:r>
        <w:rPr>
          <w:rFonts w:ascii="Amiri" w:hAnsi="Amiri" w:eastAsia="Amiri" w:cs="Amiri"/>
          <w:color w:val="111111"/>
          <w:sz w:val="28"/>
          <w:sz w:val="28"/>
          <w:szCs w:val="28"/>
          <w:rtl w:val="true"/>
          <w:lang w:bidi="ar-SA"/>
        </w:rPr>
        <w:t>عدم التمكّن من الكفّارة في جملةٍ اُخرى</w:t>
      </w:r>
      <w:r>
        <w:rPr>
          <w:rStyle w:val="FootnoteAnchor"/>
          <w:rtl w:val="true"/>
        </w:rPr>
        <w:footnoteReference w:id="172"/>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الكفّارة بصورة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وجه اعتبار العقل والعمد والعلم بكونها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في الأخيرين بحديث الرفع</w:t>
      </w:r>
      <w:r>
        <w:rPr>
          <w:rStyle w:val="FootnoteAnchor"/>
          <w:rtl w:val="true"/>
        </w:rPr>
        <w:footnoteReference w:id="173"/>
      </w:r>
      <w:r>
        <w:rPr>
          <w:rFonts w:ascii="Amiri" w:hAnsi="Amiri" w:eastAsia="Amiri" w:cs="Amiri"/>
          <w:color w:val="111111"/>
          <w:sz w:val="28"/>
          <w:sz w:val="28"/>
          <w:szCs w:val="28"/>
          <w:rtl w:val="true"/>
          <w:lang w:bidi="ar-SA"/>
        </w:rPr>
        <w:t>، فهو فاسدٌ، لاختصاص الحديث بما إذا كان في رفع الحكم منّةٌ على الاُمّة، ولا امتنان في رفع الحكم المزبور على الاُمة، وإنْ كان منّةً على الواطي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بالحرمة، فإنْ كان قاصراً، فلا كفّارة عليه لعدم المعصية، وإلّا فعليه الكفّارة،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76"/>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الكفّارة إذا كان جاهلاً بالحكم، متينٌ إذا كان جهله عن عُذرٍ، وإلّا 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العالم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بوجوب الكفّارة، فمقتضى إطلاق الأدلّة ثبوت الكفّارة عليه لتحقّق المعصية</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0361796_73709187"/>
      <w:bookmarkStart w:id="88" w:name="_Toc33"/>
      <w:bookmarkEnd w:id="87"/>
      <w:r>
        <w:rPr>
          <w:rtl w:val="true"/>
        </w:rPr>
        <w:t>حكم الوطء في الدبر</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الحائض في دُبُرها، فهل يجب عليه الكفّارة أم لا؟ وجهان، مبنيّان على حرمة وطئها في الدُّبر، وعدمه</w:t>
      </w:r>
      <w:r>
        <w:rPr>
          <w:rFonts w:eastAsia="Amiri" w:cs="Amiri" w:ascii="Amiri" w:hAnsi="Amiri"/>
          <w:color w:val="111111"/>
          <w:sz w:val="28"/>
          <w:szCs w:val="28"/>
          <w:rtl w:val="true"/>
          <w:lang w:bidi="ar-SA"/>
        </w:rPr>
        <w:t xml:space="preserve">: </w:t>
      </w:r>
      <w:bookmarkStart w:id="89" w:name="pg11796_113398"/>
    </w:p>
    <w:p>
      <w:pPr>
        <w:pStyle w:val="BookText"/>
        <w:rPr/>
      </w:pPr>
      <w:bookmarkEnd w:id="89"/>
      <w:r>
        <w:rPr>
          <w:rFonts w:ascii="Amiri" w:hAnsi="Amiri" w:eastAsia="Amiri" w:cs="Amiri"/>
          <w:color w:val="111111"/>
          <w:sz w:val="28"/>
          <w:sz w:val="28"/>
          <w:szCs w:val="28"/>
          <w:rtl w:val="true"/>
          <w:lang w:bidi="ar-SA"/>
        </w:rPr>
        <w:t>إذ على الحرمة تتحقّق المعصية، فيشمله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الحائض</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لا يشمله لعدم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أنّ الأقوى هو الثاني، فلا كفّارة في الوطء في دُبر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إذا خرج حيضها من غير الفرج، فوَطَئَها في الفرج الخالي من الدّم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361798_73709187"/>
      <w:bookmarkStart w:id="91" w:name="_Toc34"/>
      <w:bookmarkEnd w:id="90"/>
      <w:r>
        <w:rPr>
          <w:rtl w:val="true"/>
        </w:rPr>
        <w:t>حكم وطء المرأة الميتة</w:t>
      </w:r>
      <w:bookmarkEnd w:id="91"/>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وطء المرأة الميتة فهل عليه كفّارة أم لا؟</w:t>
      </w:r>
    </w:p>
    <w:p>
      <w:pPr>
        <w:pStyle w:val="BookText"/>
        <w:rPr/>
      </w:pPr>
      <w:r>
        <w:rPr>
          <w:rFonts w:ascii="Amiri" w:hAnsi="Amiri" w:eastAsia="Amiri" w:cs="Amiri"/>
          <w:color w:val="111111"/>
          <w:sz w:val="28"/>
          <w:sz w:val="28"/>
          <w:szCs w:val="28"/>
          <w:rtl w:val="true"/>
          <w:lang w:bidi="ar-SA"/>
        </w:rPr>
        <w:t>وجهان، مبنيّان على صدق الحائض عليها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عدم صدقها عليها لا كفّارة عليه وإنْ حَرُم وطئها، لعدم تبعيّتها للحرمة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ثبوت الكفّارة بوطئها لايجري، لكونه من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غير مرّةٍ أنّ الاستصحاب لايجري في الأحكام الكليّة، لكونه محكوماً لاستصحاب عدم الجعل، ومع الصدق تجب الكفّارة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وانصرافها إلى الحيّة، لو سُلّم، فإنّما هو بدوي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لا يدلّ على ثبوتها، لعدم كونها حرمة لها كما لا يخفى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الصدق، لا يبعد دعوى جريان استصحاب بقاء الصدق، حتّى بناءً على عدم جريان استصحاب بقاء الحيض، كما هو المختار، فتدبّر</w:t>
      </w:r>
      <w:r>
        <w:rPr>
          <w:rFonts w:eastAsia="Amiri" w:cs="Amiri" w:ascii="Amiri" w:hAnsi="Amiri"/>
          <w:color w:val="111111"/>
          <w:sz w:val="28"/>
          <w:szCs w:val="28"/>
          <w:rtl w:val="true"/>
          <w:lang w:bidi="ar-SA"/>
        </w:rPr>
        <w:t xml:space="preserve">. </w:t>
      </w:r>
      <w:bookmarkStart w:id="92" w:name="pg11796_113399"/>
    </w:p>
    <w:p>
      <w:pPr>
        <w:pStyle w:val="Heading6"/>
        <w:numPr>
          <w:ilvl w:val="5"/>
          <w:numId w:val="1"/>
        </w:numPr>
        <w:rPr/>
      </w:pPr>
      <w:bookmarkStart w:id="93" w:name="__RefHeading___Toc10361800_73709187"/>
      <w:bookmarkStart w:id="94" w:name="_Toc35"/>
      <w:bookmarkEnd w:id="92"/>
      <w:bookmarkEnd w:id="93"/>
      <w:r>
        <w:rPr>
          <w:rtl w:val="true"/>
        </w:rPr>
        <w:t>جواز إعطاء قيمة الدينار</w:t>
      </w:r>
      <w:bookmarkEnd w:id="94"/>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كُتُب المصنّف</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والشهيدين</w:t>
      </w:r>
      <w:r>
        <w:rPr>
          <w:rStyle w:val="FootnoteAnchor"/>
          <w:rtl w:val="true"/>
        </w:rPr>
        <w:footnoteReference w:id="1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إعطاء الدينار، وهو المثقال الشرعي من الذهب المضروب، واختاره الشيخ الأعظم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ما بمقداره من الذهب، وإنْلم يكن مسكوكاً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قيمة الدينار ولو من غير 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واختاره جماعة من المحقّقين، منهم المحقّق الهمداني رحمه الله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النصّ‌</w:t>
      </w:r>
      <w:r>
        <w:rPr>
          <w:rStyle w:val="FootnoteAnchor"/>
          <w:rtl w:val="true"/>
        </w:rPr>
        <w:footnoteReference w:id="196"/>
      </w:r>
      <w:r>
        <w:rPr>
          <w:rFonts w:ascii="Amiri" w:hAnsi="Amiri" w:eastAsia="Amiri" w:cs="Amiri"/>
          <w:color w:val="111111"/>
          <w:sz w:val="28"/>
          <w:sz w:val="28"/>
          <w:szCs w:val="28"/>
          <w:rtl w:val="true"/>
          <w:lang w:bidi="ar-SA"/>
        </w:rPr>
        <w:t>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لا يفهمون من الأمر بإعطاء ما يكون ممحّضاً للثمنيّة دخل خصوصيّاته في الحكم، بل المنساق إلى أذهانهم ليس إلّاإرادة المقدار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بإعطاء النصف والربع،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كونهما مضروبين في زمان صدور الروايات، وعدم إرادة تسليط المستحقين على النصف أو الرّبع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اُريد بهما القيمة، وبقرينة السياق يُحمل الدينار أيضاً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الأقوى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 وإنْ كان يقتضي القول الأوّل، ولكن من جهة تعذّره غالباً، لاسيّما وأنّ الظاهر من الدينار هو الشيء الخاص المضروب في ذلك الزمان، الذي كان وزنه مثقالاً شرعيّاً، لا كلّ مضروبٍ‌، كان مثقالاً من الذهب، فإنّه يتعيّن حمله على إرادة القيمة أو المقدار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أولى‌؛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الأوّل، مضافاً إلى كونه أقرب إلى الحقيقة، وإلى الاحتفاظ بخصوصيّة الذهب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سقوط الأمر بالتصديق لتعذّر امتثاله، وقاعدة الميسور</w:t>
      </w:r>
      <w:r>
        <w:rPr>
          <w:rStyle w:val="FootnoteAnchor"/>
          <w:rtl w:val="true"/>
        </w:rPr>
        <w:footnoteReference w:id="197"/>
      </w:r>
      <w:r>
        <w:rPr>
          <w:rFonts w:ascii="Amiri" w:hAnsi="Amiri" w:eastAsia="Amiri" w:cs="Amiri"/>
          <w:color w:val="111111"/>
          <w:sz w:val="28"/>
          <w:sz w:val="28"/>
          <w:szCs w:val="28"/>
          <w:rtl w:val="true"/>
          <w:lang w:bidi="ar-SA"/>
        </w:rPr>
        <w:t>غير ثابتة بنحوٍ تشمل المقام، كما أشرنا إليه في هذا الشرح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عدم سقوطه بالتعذّر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السكة القديمة في صدق الدينار ممنوعٌ‌، والتعذّر إنّما يصلح أن يكون وجهاً للإقتصار على المقدار من الذهب أو القيمة في مورد التعذّر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المثقال الشرعي من الذهب، فلا فرق بين المضروب والتبر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كما هو المنسوب إلى الأصحاب دخل الضرب المخصوص والمسمّى بالسكّة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الإجتزاء بالقيمة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الإختصاص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فهل المناط قيمة وقت الأداء، أو وقت الوطء، أم وقت تشريع الحكم، أم أقلّ القيم الثلاث، أم أكثرها؟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بنينا على أنّ الواجب هو الدينار خاصّة، وإنّما يُجتزي بالقيمة في صورة التعذّر، وكانت القيمة مسقطة للواجب، فالأظهر هو الأخير، لأنّه مع عدم إعطاء الأكثر، يُشكّ في سقوط الواجب، والأصل يقتضي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كانت القيمة بنفسها في الذمّة، فحيث إنّ مدرك ثبوتها حينئذٍ ليس إلّا الإجماع، وجب الاقتصار على القدر المتيقّن، وهو أقلّ القيم الثلاث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ما هو الحقّ من أنّ الواجب في الأصل هي قيمة الدينار، فالظاهر كون المناط قيمة وقت الأداء؛ إذ الظاهر من الدليل أنّ المأمور به هو التصدّق بما للدينار من الماليّة الملحوظة عنواناً له إلى حين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أنّه لا </w:t>
      </w:r>
      <w:bookmarkStart w:id="95" w:name="pg11796_113402"/>
    </w:p>
    <w:p>
      <w:pPr>
        <w:pStyle w:val="BookText"/>
        <w:rPr/>
      </w:pPr>
      <w:bookmarkEnd w:id="95"/>
      <w:r>
        <w:rPr>
          <w:rFonts w:ascii="Amiri" w:hAnsi="Amiri" w:eastAsia="Amiri" w:cs="Amiri"/>
          <w:color w:val="111111"/>
          <w:sz w:val="28"/>
          <w:sz w:val="28"/>
          <w:szCs w:val="28"/>
          <w:rtl w:val="true"/>
          <w:lang w:bidi="ar-SA"/>
        </w:rPr>
        <w:t>شبهة في جواز إعطاء الدينار نفسه، وإن نقصت قيمته عن ماله من القيمة في غير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الاستدلال للثاني، بأنّه وقت الشُّغل، وللثالث بأنّها تكون ملحوظة حين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بكون العبرة بقيمة وقت الأداء</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361802_73709187"/>
      <w:bookmarkStart w:id="97" w:name="_Toc36"/>
      <w:bookmarkEnd w:id="96"/>
      <w:r>
        <w:rPr>
          <w:rtl w:val="true"/>
        </w:rPr>
        <w:t>يعتبر إعطاء كفّارة الأمداد، لثلاثة مساكين</w:t>
      </w:r>
      <w:bookmarkEnd w:id="97"/>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إعطاء كفّارة الأمداد، لثلاثة مساكين، لكلّ مسكينٍ مُدٌّ، للإجماع المنقول الذي هو العمدة في مشروعيّتها، وأمّا كفّارة الدينار فلا خلاف أجده في جواز إعطائها لمسكين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بعد عدم الدليل على اشتراط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صرفها على سبعة مساكين، بمقدار ما يكفي لكلّ منهم قوت يومه، لحسن الحلبي</w:t>
      </w:r>
      <w:r>
        <w:rPr>
          <w:rStyle w:val="FootnoteAnchor"/>
          <w:rtl w:val="true"/>
        </w:rPr>
        <w:footnoteReference w:id="199"/>
      </w:r>
      <w:r>
        <w:rPr>
          <w:rFonts w:ascii="Amiri" w:hAnsi="Amiri" w:eastAsia="Amiri" w:cs="Amiri"/>
          <w:color w:val="111111"/>
          <w:sz w:val="28"/>
          <w:sz w:val="28"/>
          <w:szCs w:val="28"/>
          <w:rtl w:val="true"/>
          <w:lang w:bidi="ar-SA"/>
        </w:rPr>
        <w:t>المتقدّم، أو عشرة مساكين لحسن عبد الملك</w:t>
      </w:r>
      <w:r>
        <w:rPr>
          <w:rStyle w:val="FootnoteAnchor"/>
          <w:rtl w:val="true"/>
        </w:rPr>
        <w:footnoteReference w:id="200"/>
      </w:r>
      <w:r>
        <w:rPr>
          <w:rFonts w:ascii="Amiri" w:hAnsi="Amiri" w:eastAsia="Amiri" w:cs="Amiri"/>
          <w:color w:val="111111"/>
          <w:sz w:val="28"/>
          <w:sz w:val="28"/>
          <w:szCs w:val="28"/>
          <w:rtl w:val="true"/>
          <w:lang w:bidi="ar-SA"/>
        </w:rPr>
        <w:t>المتقدّم، لاحتمال عدم إختصاصه بالأمة، وإنْ كان ذلك خلاف الظاهر، وأمّا الاحتياط بالستّة فلم نقف له على مستند</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361804_73709187"/>
      <w:bookmarkStart w:id="99" w:name="_Toc37"/>
      <w:bookmarkEnd w:id="98"/>
      <w:r>
        <w:rPr>
          <w:rtl w:val="true"/>
        </w:rPr>
        <w:t>حكم تكرّر الوطء</w:t>
      </w:r>
      <w:bookmarkEnd w:id="99"/>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الوطء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تخلّل التكفير بينهما، فلا إشكال في تكرّر الكفّارة، وإنْ كان ظاهر </w:t>
      </w:r>
    </w:p>
    <w:p>
      <w:pPr>
        <w:pStyle w:val="BookText"/>
        <w:rPr/>
      </w:pP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فيه، إلّاأنّه بعيدٌ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بعض الأعاظم</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قيل فيما يأتي بالتداخل، لأجل التداخل في السبب، كان اللّازم القول به هنا، وعدم وجوب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يقول به، فإنّما يقول بأنّ السبب هي الطبيعة الصادقة على الواحد والمتعدّد، وهذا إنّما يوجب عدم التكرار فيما لم يتخلّل التكفير، وإلّا فبعده لو وطء يصدق تحقّق الطبيعة، فتجب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عدم التخلّل،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التكرار مطلقاً، وهو المحكيّ عن الشهيدين</w:t>
      </w:r>
      <w:r>
        <w:rPr>
          <w:rStyle w:val="FootnoteAnchor"/>
          <w:rtl w:val="true"/>
        </w:rPr>
        <w:footnoteReference w:id="204"/>
      </w:r>
      <w:r>
        <w:rPr>
          <w:rFonts w:ascii="Amiri" w:hAnsi="Amiri" w:eastAsia="Amiri" w:cs="Amiri"/>
          <w:color w:val="111111"/>
          <w:sz w:val="28"/>
          <w:sz w:val="28"/>
          <w:szCs w:val="28"/>
          <w:rtl w:val="true"/>
          <w:lang w:bidi="ar-SA"/>
        </w:rPr>
        <w:t>، والمحقّق الثاني</w:t>
      </w:r>
      <w:r>
        <w:rPr>
          <w:rStyle w:val="FootnoteAnchor"/>
          <w:rtl w:val="true"/>
        </w:rPr>
        <w:footnoteReference w:id="2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 في شرح المفاتيح</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كذلك، 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إذا كان العدد المتكرّر في وقتٍ تختلف الكفّارة فيه، كما إذا وطئها أوّلاً في الثُّلث الأوّل، ثمّ في الثُّلث الثاني مثلاً فيجب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إذا كرّر الوطء في كلّ ثُلثٍ فلا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المنسوب إلى المصنّف</w:t>
      </w:r>
      <w:r>
        <w:rPr>
          <w:rStyle w:val="FootnoteAnchor"/>
          <w:rtl w:val="true"/>
        </w:rPr>
        <w:footnoteReference w:id="209"/>
      </w:r>
      <w:r>
        <w:rPr>
          <w:rFonts w:ascii="Amiri" w:hAnsi="Amiri" w:eastAsia="Amiri" w:cs="Amiri"/>
          <w:color w:val="111111"/>
          <w:sz w:val="28"/>
          <w:sz w:val="28"/>
          <w:szCs w:val="28"/>
          <w:rtl w:val="true"/>
          <w:lang w:bidi="ar-SA"/>
        </w:rPr>
        <w:t>والمحقّق</w:t>
      </w:r>
      <w:r>
        <w:rPr>
          <w:rStyle w:val="FootnoteAnchor"/>
          <w:rtl w:val="true"/>
        </w:rPr>
        <w:footnoteReference w:id="21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لزوم التكرار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تعليق الأمر بشيء على ماهيّةٍ لا يقتضي إلّاسببيّة وجود الماهيّة من حيث هي، من غير نظر إلى الأفراد والماهيّة، وكما تتحقّق بفردٍ واحدٍ، تتحقّق بالأفراد المتعدّدة، فلا يتصوّر التعدّد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الدليل في مقام بيان تمام ما يترتّب عليه الجزاء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ينبغي التأمّل في عدم التكرّر، حتّى مع سببيّة الأفراد، بعد احتمال كون فردٍ فاقداً لما يعتبر في تأثير الماهيّة، ومن ذلك كون الفرد غير مسبوقٍ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سُلّمت دلالة الشرط على سببيّة كلّ واحدٍ من أفراد الوطء لأداء الدينار، إلّاأنّ مقتضى إطلاق الجزاء وحدة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التتبّع في الموارد الخاصّة، يورث الوثوق بأنّ ظهور الشرطيّة في سببيّة كلّ فرد من الأفراد مستقلّاً غير مطابق للمراد، وأنّه لاتجب معاملة الأسباب العقليّة مع الأسباب الشرعيّة، لأنّها معرّفات غالباً يجوز ورودها على أمرٍ واحد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المسبّب هو طلب التصدّق بدينار، وتعدّد سبب الطلب، يستلزم تأكّد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الطلب لا تعدّد متعلّقه؛ إذ قد تجتمع الإيجابات المتعدّدة في فعل واحدٍ للتأكيد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الفعل الواحد يمكن أنْ يكون كافياً في تحقّق تكليفين وإن علم تعدّدهما كما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القضيّة الشرطيّة كالقضيّة الحقيقيّة تنحلّ إلى قضايا عديدة؛ لأنّ أداة الشرط إنّما وضعت لجعل مدخولها موضع الفرض والتقدير، وإثبات التالي على هذا الفرض، وعليه فظاهرها كون الشرط فيها ملحوظاً بنحو الطبيعة السارية، لا ملحوظاً بنحو صرف الوجود المقابل للعدم، فمقتضى إطلاقها كون كلّ فردٍ من تحصّلاتها سبباً وموجباً لحصول أمر، وحينئذٍ فإمّا أن يكون أثر الفرد الثاني عين أثر الفرد الأوّل أو غيره، والأوّل باطلٌ‌، فيتعيّن الثاني، ومقتضاه تكرّر المسبّب بتكرّر أفراد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كون الدليل في مقام بيان تمام مايترتّب عليه المسبّب خلاف فرض الإطلاق، فإنّ به يرفع احتمال اعتبار أمرٍ غير حاصلٍ في الفرد الثاني في سببيّة الماهيّة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الجزاء، وإنْ كان وحدة المسبّب، إلّاأنّه فيما إذا تعلّق طلبٌ واحدٌ بماهيّةٍ واحدة، من جهة أنّه إنّما يقتضي إيجاد متعلّقه خارجاً، ونقض عدمه المطلق الصادق قهراً على أوّل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تعلّق طلبان بماهيّةٍ واحدة، فليس مقتضى الإطلاق الإجتزاء بوجودٍ واحد، بل مقتضى كلّ طلبٍ إيجاد تلك الماهيّة مستقلّةً‌، فمقتضاهما إيجادها مرّتين، والتوهّم المزبور نشأ من تخيّل دخل صِرْف الوجود في المتعلّق، مع أنّه لا دليل على ذلك،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فالالتزام بالتعدّد الخارجي لتوارد السببين أو تعاقبهما على الماهيّة القابلة للتعدّد، لا يوجب تقييداً لإطلاق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شيوع استعمال الجملة الشرطيّة المتضمّنة لبيان الأحكام الشرعيّة، مع القرينة في ما يكون من قبيل المعرّفات، لا يوجب صَرف اللّفظ عن ظهوره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كثرة الاستعمال على وجه توجب الإجمال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المسبّب إنّما هو التكليف المتعلّق بشيء خاص لا هو من حيث هو، ومن المعلوم أنّ تعدّد ذلك يستدعي تعدّد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 خلافُ الأصل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كلّ واحدٍ من هذه الوجوه مع أجوبتها، وما يمكن أنْ يورد عليها، والجواب من تلك الإيرادات، موكولٌ إلى محلّه في الاُصول، ولقد أشبعنا الكلام في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وقع التكرار في وقتٍ لا يختلف في الكفّارة، فبما أنّ الشرط هو الماهيّة، وهي واحدة لا تتكرّر وإن تكرّرت أشخاصها، فإنّه لا تجب إلّاكفّارة واحدة، وأمّا إنْ وقع في وقتٍ تختلف فيه الكفّارة، فبما أنّه على هذا التقدير يختلف الشرط فيتكرّر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w:t>
      </w:r>
      <w:r>
        <w:rPr>
          <w:rStyle w:val="FootnoteAnchor"/>
          <w:rtl w:val="true"/>
        </w:rPr>
        <w:footnoteReference w:id="215"/>
      </w:r>
      <w:r>
        <w:rPr>
          <w:rFonts w:ascii="Amiri" w:hAnsi="Amiri" w:eastAsia="Amiri" w:cs="Amiri"/>
          <w:color w:val="111111"/>
          <w:sz w:val="28"/>
          <w:sz w:val="28"/>
          <w:szCs w:val="28"/>
          <w:rtl w:val="true"/>
          <w:lang w:bidi="ar-SA"/>
        </w:rPr>
        <w:t>من إنحلال القضيّة الشرطيّة، فراجع، فإنّه على هذا يتعيّن الالتزام بالتكرار حتّى في الصورة الاُولى‌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 وممّا يؤيّد المختار أنّ المستفاد من نصوص الباب تبعيّة الكفّارة للمعصية، وحيثُ إنّه لا ريب في تعدّد المعصية بتعدّد الوطء، فلا محالة يتكرّر ما يتبعها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0" w:name="pg11796_113407"/>
    </w:p>
    <w:p>
      <w:pPr>
        <w:pStyle w:val="Heading6"/>
        <w:numPr>
          <w:ilvl w:val="5"/>
          <w:numId w:val="1"/>
        </w:numPr>
        <w:rPr/>
      </w:pPr>
      <w:bookmarkStart w:id="101" w:name="__RefHeading___Toc10361806_73709187"/>
      <w:bookmarkStart w:id="102" w:name="_Toc38"/>
      <w:bookmarkEnd w:id="100"/>
      <w:bookmarkEnd w:id="101"/>
      <w:r>
        <w:rPr>
          <w:rtl w:val="true"/>
        </w:rPr>
        <w:t>حكم النَفساء</w:t>
      </w:r>
      <w:bookmarkEnd w:id="102"/>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بعضهم النُّفساء بالحائض في وجوب الكفّارة، بل نُسب إلى ظاهر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أنّ النفساء كالحائض، بدعوى أنّ مقتضى إطلاق معقده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زرارة</w:t>
      </w:r>
      <w:r>
        <w:rPr>
          <w:rStyle w:val="FootnoteAnchor"/>
          <w:rtl w:val="true"/>
        </w:rPr>
        <w:footnoteReference w:id="217"/>
      </w:r>
      <w:r>
        <w:rPr>
          <w:rFonts w:ascii="Amiri" w:hAnsi="Amiri" w:eastAsia="Amiri" w:cs="Amiri"/>
          <w:color w:val="111111"/>
          <w:sz w:val="28"/>
          <w:sz w:val="28"/>
          <w:szCs w:val="28"/>
          <w:rtl w:val="true"/>
          <w:lang w:bidi="ar-SA"/>
        </w:rPr>
        <w:t>بعد إرجاع النفساء إلى العادة، وإيجاب الإستظهار عليها، والعمل بوظيفة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والحائضُ مثل ذلك سواء، فإنْ انقطع عنها الدّم، وإلّا فهي مستحاضة، تصنع مثل النفساء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مقتضى إطلاق التنزيل ثبوت كلّ حكمٍ ثابت لإحداهما للاُخرى، وإلّا فلو اختصّت الحائض بحكمٍ وهو وجوب الكفّارة على من وطئها، لزم التخصيص في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مقرن،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سلمان قدس سره عليّاً عليه السلام عن رزق الولد في بطن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حَبَس عليها الحيضة، فجعلها رزقه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مستند ما اُشتهر من أنّ النفاس حيضٌ محتبس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وإنْ تكرّرت دعواه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كذلك أيضاً إلّاأنّ القدر المتيقّن منه هي أحكام الحائض، أي التكاليف المتوجّهة إليها، </w:t>
      </w:r>
    </w:p>
    <w:p>
      <w:pPr>
        <w:pStyle w:val="BookText"/>
        <w:rPr/>
      </w:pPr>
      <w:r>
        <w:rPr>
          <w:rFonts w:ascii="Amiri" w:hAnsi="Amiri" w:eastAsia="Amiri" w:cs="Amiri"/>
          <w:color w:val="111111"/>
          <w:sz w:val="28"/>
          <w:sz w:val="28"/>
          <w:szCs w:val="28"/>
          <w:rtl w:val="true"/>
          <w:lang w:bidi="ar-SA"/>
        </w:rPr>
        <w:t>لا مثل هذا الحكم الثابت لمن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من العدول عن هذا التعبير إلى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النفساء مايَحرُم على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المساواة في اُمور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فوقوع الإستثناء من بعض نَقَلة الإجماع، لما يكون من أحكام غيرها من قاعدة المساواة، لا يصلح أن يكون دليلاً على عموم القاعدة بنحوٍ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بيانه من دليل التنزيل، إثبات ما للمنزّل عليه من الأحكام للمنزّل، فمقتضى إطلاقه ثبوت جميعها له، لا العكس كي 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التخصيص لإثبات ما شكّ في ثبوته من أحكام المنزّل للمنزّل عليه، وحيث إنّه في الصحيح نزّلت الحائض منزلة النفساء، فلا سبيل إلى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وروده في مقام بيان قضيّة خارجيّة لا شرعيّة تنزيليّة، فإذاً ما صرّح به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من أنّه لا دليل على الحكم المزبور، هو الصحيح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الثبوت، والقول بتكرّر الكفّارة بتكرّر الوطء، لو وطئها بوطء واحد منطبق على تمام النفاس، فهل تجب الكفّارات الثلاث أم لا تجب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كفّارة واحدة‌؟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الوطء في الأوّل والآخر والوسط، فيجب عليه دينار ونصفه وربعه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تماميّة كون السبب هو كلّ واحدٍ من تحصّلات الماهيّة، إلّاأنّه لا ريب في أنّ المناط في الفرديّة نظر العرف، فمثل التكلّم الذي يعد المقدار المتّصل منه فرداً واحداً عرفاً، لا يترتّب عليه إلّامسبّبٌ واحد، وعليه فالوطء المفروض بما أنّه واحدٌ لا تترتّب عليه إلّاكفّارة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حاضت المرأة في أثناء الوطء، فإنّه لا ريب في وجوب الإخراج، ومع الإبقاء تجب الكفّارة، فكما أنّه في الفرض يكون الوطء محكوماً بحكمين،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الوطء الواحد الموجب للكفّارة بسبب وقوعه في الأوّل والوسط والآخر، ينحلّ ولو اعتباراً إلى الأفراد المتميّزة، كما أنّه في المثال الموجب للكفّارة بسبب وصف الحيض، متميّزٌ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الواحد لأجل صدق الوطء في الأوّل والوسط والآخر، سببٌ للكفّارة باعتبار كلّ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الوطء الواحد لا يقتضي بالذّات إلّاكفّارة واحدة، إلّاأنّه إذا كان في الوسط أو الآخر لا يكون مقتضياً إلّالنصف الدينار أو ربعه، وليس فيه ما يقتضي الزائد، فإذا فُرض اشتمال الفرد على الجهة المقتضية للزائد وهي الوطء في الأوّل، غَلبت هي على ما يقتضي النصف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الثاني</w:t>
      </w:r>
      <w:r>
        <w:rPr>
          <w:rFonts w:eastAsia="Amiri" w:cs="Amiri" w:ascii="Amiri" w:hAnsi="Amiri"/>
          <w:color w:val="111111"/>
          <w:sz w:val="28"/>
          <w:szCs w:val="28"/>
          <w:rtl w:val="true"/>
          <w:lang w:bidi="ar-SA"/>
        </w:rPr>
        <w:t>.</w:t>
      </w:r>
      <w:bookmarkStart w:id="103" w:name="pg11796_113410"/>
    </w:p>
    <w:p>
      <w:pPr>
        <w:pStyle w:val="Heading6"/>
        <w:numPr>
          <w:ilvl w:val="5"/>
          <w:numId w:val="1"/>
        </w:numPr>
        <w:rPr/>
      </w:pPr>
      <w:bookmarkStart w:id="104" w:name="__RefHeading___Toc10361808_73709187"/>
      <w:bookmarkStart w:id="105" w:name="_Toc39"/>
      <w:bookmarkEnd w:id="103"/>
      <w:bookmarkEnd w:id="104"/>
      <w:r>
        <w:rPr>
          <w:rtl w:val="true"/>
        </w:rPr>
        <w:t>السابع</w:t>
      </w:r>
      <w:r>
        <w:rPr>
          <w:rtl w:val="true"/>
        </w:rPr>
        <w:t xml:space="preserve">: </w:t>
      </w:r>
      <w:r>
        <w:rPr>
          <w:rtl w:val="true"/>
        </w:rPr>
        <w:t>سقوط الصلاة والصوم عنها ولا ينعقد لها صلاةٌ ولا صوم</w:t>
      </w:r>
      <w:r>
        <w:rPr>
          <w:rtl w:val="true"/>
        </w:rPr>
        <w:t>.</w:t>
      </w:r>
      <w:bookmarkEnd w:id="105"/>
    </w:p>
    <w:p>
      <w:pPr>
        <w:pStyle w:val="Heading6"/>
        <w:numPr>
          <w:ilvl w:val="5"/>
          <w:numId w:val="1"/>
        </w:numPr>
        <w:rPr/>
      </w:pPr>
      <w:bookmarkStart w:id="106" w:name="__RefHeading___Toc10361810_73709187"/>
      <w:bookmarkStart w:id="107" w:name="_Toc40"/>
      <w:bookmarkEnd w:id="106"/>
      <w:r>
        <w:rPr>
          <w:rtl w:val="true"/>
        </w:rPr>
        <w:t>حرمة العبادات المشروطة بالطهارة عليها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ممّا يترتّب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الصلاة والصوم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ولا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غيرهما من العبادات المشروطة بالطهارة،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عامّة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من النصوص</w:t>
      </w:r>
      <w:r>
        <w:rPr>
          <w:rStyle w:val="FootnoteAnchor"/>
          <w:rtl w:val="true"/>
        </w:rPr>
        <w:footnoteReference w:id="225"/>
      </w:r>
      <w:r>
        <w:rPr>
          <w:rFonts w:ascii="Amiri" w:hAnsi="Amiri" w:eastAsia="Amiri" w:cs="Amiri"/>
          <w:color w:val="111111"/>
          <w:sz w:val="28"/>
          <w:sz w:val="28"/>
          <w:szCs w:val="28"/>
          <w:rtl w:val="true"/>
          <w:lang w:bidi="ar-SA"/>
        </w:rPr>
        <w:t>الواردة في باب الحيض والعبادات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إشكال فيه ولا كلام، إنّما الكلام في أنّ الحرمة المذكورة ذاتيّة أو تشريعيّة، وقبل ذكر أدلّة الطرفين لابدَّ من التعرّض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الخلاف المذكور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موضوع احتمال الحرمة الذاتيّة، ليس ذات المركّب الجعلي، مع قطع النظر عن قصد التقرّب أو عنوان آخر؛ إذ لا خلاف عندهم في عدم حرمته عليها بقصد التعليم، مضافاً إلى عدم مساعدة الأدلّة المساقة لإثباتها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ليس الموضوع هو ذلك المركّب بقصد التقرّب جزماً أو احتمالاً؛ إذ مع إمكانهما لا يُعقل النهي عنهما، لأنّ حُسن الإطاعة الجزميّة أو الاحتماليّة ذاتي، لا يُعقل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إمكانهما، لا يُعقل النهي لعدم القدرة، لأنّه كالأمر لا يتعلّق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الموضوع لا يخلو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المركّب الجعلي تشريعاً، فيكون التشريع الخاص محرّماً من حيث كونه تشريعاً، ومن حيث كونه تشريعاً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المركّب المجعول شرعاً بعنوان الخضوع والتذلّل وإظهار العبوديّة، الذي لا يتوقّف صدق العبادة عليه إلّاعلى العلم بكونه عملاً يمكن إبراز الخضوع به، وقد كشف الشارع عن ذلك بالأمر فيما ليس للعرف طريقٌ إلى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المشهور، حيث نُسب إليهم القول بالعبادة الذاتيّة في قبال ما تكون عبادة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بهذا المعنى أيضاً لا يصحّ النهي عنها، لأنّها إذا كانت أدباً وحَسَناً ذاتيّاً، فالنهي عنها إنّما يكون كالنهي عن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الذّاتي مانعٌ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في المكلّف من الأرجاس ما يوجبُ عدم كونه لائقاً بإظهار العبوديّة، فتكون العبادة منه قبيحة، فيصحّ النهي عنها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الموضوع هو الثاني؛ إذ الأدلّة المتضمّنة للنهي عن عبادتها إن اُستفيد منها الحرمة التشريعيّة يصعب استفادة الخصوصيّة منها</w:t>
      </w:r>
      <w:r>
        <w:rPr>
          <w:rFonts w:eastAsia="Amiri" w:cs="Amiri" w:ascii="Amiri" w:hAnsi="Amiri"/>
          <w:color w:val="111111"/>
          <w:sz w:val="28"/>
          <w:szCs w:val="28"/>
          <w:rtl w:val="true"/>
          <w:lang w:bidi="ar-SA"/>
        </w:rPr>
        <w:t>.</w:t>
      </w:r>
      <w:bookmarkStart w:id="108" w:name="pg11796_113412"/>
    </w:p>
    <w:p>
      <w:pPr>
        <w:pStyle w:val="Heading6"/>
        <w:numPr>
          <w:ilvl w:val="5"/>
          <w:numId w:val="1"/>
        </w:numPr>
        <w:rPr/>
      </w:pPr>
      <w:bookmarkStart w:id="109" w:name="__RefHeading___Toc10361812_73709187"/>
      <w:bookmarkStart w:id="110" w:name="_Toc41"/>
      <w:bookmarkEnd w:id="108"/>
      <w:bookmarkEnd w:id="109"/>
      <w:r>
        <w:rPr>
          <w:rtl w:val="true"/>
        </w:rPr>
        <w:t>ثمرة الخلاف في كون الحرمة ذاتيّة أو تشريعيّة</w:t>
      </w:r>
      <w:bookmarkEnd w:id="110"/>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ثمرة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أنّ ثمرته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الإتيان بالصلاة بداعي أنّها عبادة بالذّات، بناءً على الحرمة الذاتيّة، وعدم حرمته بناءً على الحرمة التشريعيّة، لعدم قصد الأمر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الاحتياط المطلق، لو شكّت في الحيض بإتيان الصّلاة بداعي احتمال الأمر، بناءً على الحرمة التشريعيّة، وعدم حصوله بناءً على الحرمة الذاتيّة، لدوران الفعل بين الوجوب والحرمة، فالفعل موجبٌ للاحتياط من 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يختلج في البال، عدم تماميّة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كون موضوع الحرمة هو المركّب الجعلي تشريعاً فواضح، وأمّا بناءً على كونه هي العبادة ذاتاً، فلأنّ حرمة الإتيان بالصلاة بداعي أنّها عبادة على القول بالحرمة الذاتيّة، وإنْ كانت ممّا لا كلام فيها، إلّاأنّ الظاهر هو ذلك أيضاً على القول بالحرمة التشريعيّة، إذ لا يحتمل أن يكون مراد القائلين بها عدم صحّة صلاتها وصومها، إذا كان مقصودها إمتثال الأمر التشريعي، وصحّتهما إذا أتت بهما بقصد العباديّة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عند تردّد الدّم بين الحيض وغيره، إذا أتت بالصلاة بداعي الأمر الاحتمالي، لا تحتمل حرمتها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بالحرمة التشريعيّة فواضح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بالحرمة الذاتيّة، فلأنّه إذا أتت بها لاحتمال الأمر، يكون </w:t>
      </w:r>
      <w:bookmarkStart w:id="111" w:name="pg11796_113413"/>
    </w:p>
    <w:p>
      <w:pPr>
        <w:pStyle w:val="BookText"/>
        <w:rPr/>
      </w:pPr>
      <w:bookmarkEnd w:id="111"/>
      <w:r>
        <w:rPr>
          <w:rFonts w:ascii="Amiri" w:hAnsi="Amiri" w:eastAsia="Amiri" w:cs="Amiri"/>
          <w:color w:val="111111"/>
          <w:sz w:val="28"/>
          <w:sz w:val="28"/>
          <w:szCs w:val="28"/>
          <w:rtl w:val="true"/>
          <w:lang w:bidi="ar-SA"/>
        </w:rPr>
        <w:t>قصدها الصّلاة عن الأمر الشرعي متوقّفاً على وجود الاًمر واقعاً، ومع عدمه لا تكون الحائض قاصدة للصلاة عن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الأمر واقعاً تكون قاصدة للصلاة بعنوان الخضوع والتذلّل، وعلى فرض عدمه لا تكون قاصدةً لها كذلك، فلا تحتمل المخالفة للحرمة، كي لا تتمكّن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ترتّب ثمرةٍ على الخلاف المذكور</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0361814_73709187"/>
      <w:bookmarkStart w:id="113" w:name="_Toc42"/>
      <w:bookmarkEnd w:id="112"/>
      <w:r>
        <w:rPr>
          <w:rtl w:val="true"/>
        </w:rPr>
        <w:t>أدلّة الطرفين</w:t>
      </w:r>
      <w:bookmarkEnd w:id="1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أنّه قد استدلّ للحرمة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أكثر معاقد الإجماعات، المشتملة على الحرمة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وبنصوص الإستظهار</w:t>
      </w:r>
      <w:r>
        <w:rPr>
          <w:rStyle w:val="FootnoteAnchor"/>
          <w:rtl w:val="true"/>
        </w:rPr>
        <w:footnoteReference w:id="226"/>
      </w:r>
      <w:r>
        <w:rPr>
          <w:rFonts w:ascii="Amiri" w:hAnsi="Amiri" w:eastAsia="Amiri" w:cs="Amiri"/>
          <w:color w:val="111111"/>
          <w:sz w:val="28"/>
          <w:sz w:val="28"/>
          <w:szCs w:val="28"/>
          <w:rtl w:val="true"/>
          <w:lang w:bidi="ar-SA"/>
        </w:rPr>
        <w:t>الدالّة على وجوب ترك العبادة، أو جوازه عند احتمال كونه حيضاً، وقد سمّاه في بعضها بالاحتياط، فلو لم تكن حرمة الصّلاة ذاتيّة، كان فعل الاحتياط برجاء المطلوبيّة، ولم يكن الترك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موضوع الحرمة التشريعيّة هو التشريع القلبي دون العمل الجوارحي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النصوص أنّ موضوع الحرمة هو الثاني، فإنّ ظاهر النصوص الناهية الدلالة على الحرمة، بل في بعضها التصريح بالحرمة وعدم الجواز، ونحوهما ممّا يكون ظاهراً في ذلك، كما في صحيح زرارة؛ فقد ورد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لا تحلّ لها الصّلاة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عليها الصّلاة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خَلَف بن حمّاد</w:t>
      </w:r>
      <w:r>
        <w:rPr>
          <w:rStyle w:val="FootnoteAnchor"/>
          <w:rtl w:val="true"/>
        </w:rPr>
        <w:footnoteReference w:id="229"/>
      </w:r>
      <w:r>
        <w:rPr>
          <w:rFonts w:ascii="Amiri" w:hAnsi="Amiri" w:eastAsia="Amiri" w:cs="Amiri"/>
          <w:color w:val="111111"/>
          <w:sz w:val="28"/>
          <w:sz w:val="28"/>
          <w:szCs w:val="28"/>
          <w:rtl w:val="true"/>
          <w:lang w:bidi="ar-SA"/>
        </w:rPr>
        <w:t>المتقدّم، الوارد فيمن اشتبه حيضها بدم العُذرة،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 تعالى، فإنْ كان من دمّ الحيض، فلتُمسك عن الصّلاة حتّى ترى الطهر، ولُيمسك عنها بعلها، وإنْ كان من العُذرة فلتتّق اللّه تعالى ولتتوضّأ ولتصلِّ‌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أنّ الأمر دائرٌ بين المحذورين، وأن المورد ممّا لا يمكن فيه الاحتياط، ومعلوم أنّه لو لم تكن الصّلاة محرّمة عليها ذاتاً، لكان 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مَسْعَدة</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يخاف مَن يُصلّي على غير وضوء أن تأخذه الأرض خسفاً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معارضٌ بظاهر بعض معاقد الإجماعات، المشتملة على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وحيث إنّ المراد واحد، وحَمْل الثاني على الأوّل ليس بأولى من العكس، فلا سبيل إلى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مقام ذكر الثمرة، أنّ الاحتياط المطلق ممكنٌ‌، ويتحقّق بالفعل على القول بالحرمة الذاتيّة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ذلك، بما أنّ المراد بالاحتياط حينئذٍ ليس هو الاحتياط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المطلق، فالأمر يدور بين حمله على إرادة الاحتياط من جهةٍ‌، وبين حمله على إرادة الاحتياط بلحاظ الوطء ونحوه، وليس الأوّل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المحقَّق في محلّه، كون العمل أيضاً حراماً، وليس المحرّم خصوص العمل الجناني، بل الجري على طبقه أيضاً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ورد في المحرّمات البِدْعيّة مثل صوم الوصال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النهي فيها، وغيره من الألفاظ الظاهرة في الحرمة الذاتيّة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في مقام توهّم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سوى عدم الأمر، كما أنّ الأمر الوارد عقيب الحظر أو توهّمه، لا يستفاد منهما سوى عدم الحرمة، مع أنّ ثبوت حرمتها التشريعيّة من الخارج وكونها بدعة، يصلح أن يكون قرينة لصرف تلك الألفاظ عن ظاهرها، وحملها على الحرمة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النهي في هذه النصوص هي الصّلاة بقصد القربة، أي التي كانت تأتي بها في غير حال الحيض، وعليه فلا مجال لإنكار ظهورها في الحرمة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وجوب الفحص عند الاشتباه وعدم العمل بالاستصحاب، وليس إلّافي مقام بيان ذلك، ولا يستفاد منه عدم صحّة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لوروده في مقام بيان حكم من إبتلي بقوم ناصبة، واُقيمت لهم الصّلاة وسأله عليه السلام عن حكم صلاته معهم، وهو على غير وضوء، فإنّه يتعيّن طرحه؛ إذ لا ريب في تقدّم أدلّة التقيّة على غيرها من الأدلّة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الحرمة الذاتيّة، وأنّ الأقوى هي الحرمة التشريعيّة، فما هو ظاهر المتن هو الصحيح الموافق للأدلّة</w:t>
      </w:r>
      <w:r>
        <w:rPr>
          <w:rFonts w:eastAsia="Amiri" w:cs="Amiri" w:ascii="Amiri" w:hAnsi="Amiri"/>
          <w:color w:val="111111"/>
          <w:sz w:val="28"/>
          <w:szCs w:val="28"/>
          <w:rtl w:val="true"/>
          <w:lang w:bidi="ar-SA"/>
        </w:rPr>
        <w:t>.</w:t>
      </w:r>
      <w:bookmarkStart w:id="114" w:name="pg11796_113416"/>
    </w:p>
    <w:p>
      <w:pPr>
        <w:pStyle w:val="Heading6"/>
        <w:numPr>
          <w:ilvl w:val="5"/>
          <w:numId w:val="1"/>
        </w:numPr>
        <w:rPr/>
      </w:pPr>
      <w:bookmarkStart w:id="115" w:name="__RefHeading___Toc10361816_73709187"/>
      <w:bookmarkStart w:id="116" w:name="_Toc43"/>
      <w:bookmarkEnd w:id="114"/>
      <w:bookmarkEnd w:id="115"/>
      <w:r>
        <w:rPr>
          <w:rtl w:val="true"/>
        </w:rPr>
        <w:t>الثامن</w:t>
      </w:r>
      <w:r>
        <w:rPr>
          <w:rtl w:val="true"/>
        </w:rPr>
        <w:t xml:space="preserve">: </w:t>
      </w:r>
      <w:r>
        <w:rPr>
          <w:rtl w:val="true"/>
        </w:rPr>
        <w:t>عدم انعقاد الطهارة الرافعة للحدَث لها ولا طهارةٍ رافعةٍ للحَدَث</w:t>
      </w:r>
      <w:r>
        <w:rPr>
          <w:rtl w:val="true"/>
        </w:rPr>
        <w:t>.</w:t>
      </w:r>
      <w:bookmarkEnd w:id="116"/>
    </w:p>
    <w:p>
      <w:pPr>
        <w:pStyle w:val="Heading6"/>
        <w:numPr>
          <w:ilvl w:val="5"/>
          <w:numId w:val="1"/>
        </w:numPr>
        <w:rPr/>
      </w:pPr>
      <w:bookmarkStart w:id="117" w:name="__RefHeading___Toc10361818_73709187"/>
      <w:bookmarkStart w:id="118" w:name="_Toc44"/>
      <w:bookmarkEnd w:id="117"/>
      <w:r>
        <w:rPr>
          <w:rtl w:val="true"/>
        </w:rPr>
        <w:t>إرتفاع الحَدَث مع الحيض</w:t>
      </w:r>
      <w:bookmarkEnd w:id="118"/>
    </w:p>
    <w:p>
      <w:pPr>
        <w:pStyle w:val="BookText"/>
        <w:rPr/>
      </w:pPr>
      <w:r>
        <w:rPr>
          <w:rFonts w:ascii="Amiri" w:hAnsi="Amiri" w:eastAsia="Amiri" w:cs="Amiri"/>
          <w:color w:val="111111"/>
          <w:sz w:val="28"/>
          <w:sz w:val="28"/>
          <w:szCs w:val="28"/>
          <w:rtl w:val="true"/>
          <w:lang w:bidi="ar-SA"/>
        </w:rPr>
        <w:t>الثامن ممّا يترتّب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الطهارة الرافعة للحدَث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رافعة للحَدَث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وغيرها،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لها حَدثٌ‌، 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المباني في المقام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 الأحداث الموجبة للأغسال والوضوء حقيقة واحدة، وأنّ الأصغر مرتبة أضعف من الأكبر، حيث يبتني القول بأنّ تداخل الأغسال عزيمة، فلا ينبغي التوقّف في عدم الارتفاع، لعدم معقوليّة الإرتفاع حال وجود الموجب، ولو وجدت رواية دالّة على الارتفاع، يتعيّن طرحها، أو حملها على غير ظاهرها على هذا المبنى‌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بناءً على القول بأنّ تخلّل الموجب بين أجزاء الغُسل مبطلٌ له، ولو كان موجباً لغُسلٍ آخر غير الذي اشتغل به، فلابدّ من الحكم بعدم ارتفاع الحَدَث؛ إذ </w:t>
      </w:r>
    </w:p>
    <w:p>
      <w:pPr>
        <w:pStyle w:val="BookText"/>
        <w:rPr/>
      </w:pPr>
      <w:r>
        <w:rPr>
          <w:rFonts w:ascii="Amiri" w:hAnsi="Amiri" w:eastAsia="Amiri" w:cs="Amiri"/>
          <w:color w:val="111111"/>
          <w:sz w:val="28"/>
          <w:sz w:val="28"/>
          <w:szCs w:val="28"/>
          <w:rtl w:val="true"/>
          <w:lang w:bidi="ar-SA"/>
        </w:rPr>
        <w:t>الحيض حدثٌ واحدٌ مستمرٌّ إلى زمان الانقطاع رأساً، فلا يصحّ الغسل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 على عدم رجوع الأحداث إلى حقيقة واحدة، وعدم كون التخلّل مبطلاً مطلقاً، فقد استدلّ لعدم الارتفاع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الطهارة ضدّ الحيض، فلا تتحقّق مع وجوده،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الحَدَث ملازمٌ للحيض، فلا يرتفع مع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الكاهلي،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يجامعها زوجها فتحيّض، وهي في المغتسل تغتسل أو لا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قد جاءها ما يُفسد الصّلاة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أصاب من امرأته ثمّ حاضت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 الدّم وهي جُنبٌ تغتسل من الجنابة‌؟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بناءً على عدم اتّحاد الأحداث حقيقةً‌، تكون الطهارة التي هي ضدّ الحيض غير ما تكون ضدّ الجنابة، فلو إغتسلت الحائض للجنابة، لا مانع من الالتزام بحصول الطهارة من الجنابة، لعدم كونها ضدّ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استفادة ذلك من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مصحّح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الاحتمالات فيه؛ إذ السؤال فيه كما يحتمل أن يكون عن مشروعيّة غُسل الجنابة، ليدلّ جوابه عليه السلام على عدم المشروعيّة، كذلك يحتمل أن يكون من وجوبه، فيكون جوابه عليه السلام أنّ وجوبه بما أنّه يكون للصلاة، وهي لا تصحّ منها في حال الحيض، فلا يجب عليها، أو مشروعيّته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الأخيرين لا يدلّ على عدم ارتفاع الحَدَث به، وحيث إنّه ظاهر من جهة التعليل في أحدالأخيرين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تساوي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فلاسبيل إلى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اتّحاد الغُسلين، وهو غير ملازمٍ لاتّحاد الحَدَثين، لجواز أن يكونا مختلفين، أحدهما قابل للرفع دون الآخر، ويكون الإتيان بالغُسل لرفع ما يقبل الإرتفاع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دلالته على الوحدة بحسب أصل الشرع تأمّلاً، لاحتمال أن يكون المراد أن الذي يجب عليها الإتيان به هو غُسلٌ واحد لهما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الجائز أن يكون المسؤول عنه هو وجوب غُسل الجنابة، فالجواب إنّما يدلّ على نفي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تنزّلنا عمّا ذكرناه، وسَلّمنا ظهورها في عدم إرتفاع الحَدَث، يتعيّن حملها على ماذكرناه بقرينة ما هو صريح في الارتفاع، كموثّق الساباطي،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يواقعها زوجها ثمّ تحيض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وإن لم تفعل فليس عليها شيء، فإذا طهرت اغتسلت غُسلاً واحداً للحيض والجنابة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إطلاق أدلّة 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إرتفاع الحَدَث وصحّة الأغسال الواجبة والمستحبّة حال الحيض، وكذا الوضوءات المندوبة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9" w:name="pg11796_113420"/>
    </w:p>
    <w:p>
      <w:pPr>
        <w:pStyle w:val="Heading6"/>
        <w:numPr>
          <w:ilvl w:val="5"/>
          <w:numId w:val="1"/>
        </w:numPr>
        <w:rPr/>
      </w:pPr>
      <w:bookmarkStart w:id="120" w:name="__RefHeading___Toc10361820_73709187"/>
      <w:bookmarkStart w:id="121" w:name="_Toc45"/>
      <w:bookmarkEnd w:id="119"/>
      <w:bookmarkEnd w:id="120"/>
      <w:r>
        <w:rPr>
          <w:rtl w:val="true"/>
        </w:rPr>
        <w:t>التاسع</w:t>
      </w:r>
      <w:r>
        <w:rPr>
          <w:rtl w:val="true"/>
        </w:rPr>
        <w:t xml:space="preserve">: </w:t>
      </w:r>
      <w:r>
        <w:rPr>
          <w:rtl w:val="true"/>
        </w:rPr>
        <w:t>بطلان طواف الحائض ولا طواف</w:t>
      </w:r>
      <w:r>
        <w:rPr>
          <w:rtl w:val="true"/>
        </w:rPr>
        <w:t>.</w:t>
      </w:r>
      <w:bookmarkEnd w:id="121"/>
    </w:p>
    <w:p>
      <w:pPr>
        <w:pStyle w:val="Heading6"/>
        <w:numPr>
          <w:ilvl w:val="5"/>
          <w:numId w:val="1"/>
        </w:numPr>
        <w:rPr/>
      </w:pPr>
      <w:bookmarkStart w:id="122" w:name="__RefHeading___Toc10361822_73709187"/>
      <w:bookmarkStart w:id="123" w:name="_Toc46"/>
      <w:bookmarkEnd w:id="122"/>
      <w:r>
        <w:rPr>
          <w:rtl w:val="true"/>
        </w:rPr>
        <w:t>حكم طواف الحائض</w:t>
      </w:r>
      <w:bookmarkEnd w:id="123"/>
    </w:p>
    <w:p>
      <w:pPr>
        <w:pStyle w:val="BookText"/>
        <w:rPr/>
      </w:pPr>
      <w:r>
        <w:rPr>
          <w:rFonts w:ascii="Amiri" w:hAnsi="Amiri" w:eastAsia="Amiri" w:cs="Amiri"/>
          <w:color w:val="111111"/>
          <w:sz w:val="28"/>
          <w:sz w:val="28"/>
          <w:szCs w:val="28"/>
          <w:rtl w:val="true"/>
          <w:lang w:bidi="ar-SA"/>
        </w:rPr>
        <w:t>التاسع ما يترتّب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طواف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إذ في موارد اجتماع الأمر والنهي إذا كان المأمور به والمنهيّ عنه عنوانين منطبقين على شيءٍ واحد ووجود فارد، وكان التركيب بينهما اتّحادياً، فلا مناص عن القول بإمتناع اجتماع الأمر والنهي، كما حقّقناه في محلّه من الاُصول،</w:t>
      </w:r>
      <w:r>
        <w:rPr>
          <w:rStyle w:val="FootnoteAnchor"/>
          <w:rtl w:val="true"/>
        </w:rPr>
        <w:footnoteReference w:id="243"/>
      </w:r>
      <w:r>
        <w:rPr>
          <w:rFonts w:ascii="Amiri" w:hAnsi="Amiri" w:eastAsia="Amiri" w:cs="Amiri"/>
          <w:color w:val="111111"/>
          <w:sz w:val="28"/>
          <w:sz w:val="28"/>
          <w:szCs w:val="28"/>
          <w:rtl w:val="true"/>
          <w:lang w:bidi="ar-SA"/>
        </w:rPr>
        <w:t>وحينئذٍ يقع التعارض بين إطلاقي دليلي الأمر والنهي، ولابدّ من تقديم أحدهما، فلو قُدّم الإطلاق في طرف النهي، يخرج المجمع عن حيّز الأمر واقعاً، ويكون متمحّضاً في الحرمة، فلا يقع صحيحاً، وبما أنّ الإطلاق في جانب النهي شمولي، فيقدّم هو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الحائض، فبما أنّ الطواف عنوانٌ منطبق على الكون في المسجد والمرور فيه بنحو خاص، وهذان العنوانان محرّمان على الحائض، فيتّحد المأمور به والمنهيّ عنهما وجوداً، فيُقدَّم النهي، فطواف الحائض لا تنطبق عليه الطبيعة المأمور بها فيقع فاسداً، ولا فرق في ذلك بين علمها بالحيض وجهلها به؛ إذ على القول بالامتناع، وتقديم جانب النهي، يخرج المجمع عن حيّز الأمر، ويكون متمحّضاً في الحرمة، ومعه لا وجه للإجتزاء به لو تبيّن كونها حائضاً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سيّد مشايخنا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طافت ندباً، فتبيّن كونها حائضاً ففي صحّته وجهان</w:t>
      </w:r>
      <w:r>
        <w:rPr>
          <w:rFonts w:eastAsia="Amiri" w:cs="Amiri" w:ascii="Amiri" w:hAnsi="Amiri"/>
          <w:color w:val="111111"/>
          <w:sz w:val="28"/>
          <w:szCs w:val="28"/>
          <w:rtl w:val="true"/>
          <w:lang w:bidi="ar-SA"/>
        </w:rPr>
        <w:t xml:space="preserve">: </w:t>
      </w:r>
      <w:bookmarkStart w:id="124" w:name="pg11796_113421"/>
    </w:p>
    <w:p>
      <w:pPr>
        <w:pStyle w:val="BookText"/>
        <w:rPr/>
      </w:pPr>
      <w:bookmarkEnd w:id="124"/>
      <w:r>
        <w:rPr>
          <w:rFonts w:ascii="Amiri" w:hAnsi="Amiri" w:eastAsia="Amiri" w:cs="Amiri"/>
          <w:color w:val="111111"/>
          <w:sz w:val="28"/>
          <w:sz w:val="28"/>
          <w:szCs w:val="28"/>
          <w:rtl w:val="true"/>
          <w:lang w:bidi="ar-SA"/>
        </w:rPr>
        <w:t>ولا اعتكاف،</w:t>
      </w:r>
    </w:p>
    <w:p>
      <w:pPr>
        <w:pStyle w:val="BookText"/>
        <w:rPr/>
      </w:pPr>
      <w:r>
        <w:rPr>
          <w:rFonts w:ascii="Amiri" w:hAnsi="Amiri" w:eastAsia="Amiri" w:cs="Amiri"/>
          <w:color w:val="111111"/>
          <w:sz w:val="28"/>
          <w:sz w:val="28"/>
          <w:szCs w:val="28"/>
          <w:rtl w:val="true"/>
          <w:lang w:bidi="ar-SA"/>
        </w:rPr>
        <w:t>من أنّه لكونه عين الدخول في المسجد يكون منهيّاً عنه في الواقع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مفهوم الطواف أعمّ من الكون في المسجد من وجهٍ‌، وإنْ كان أخصّ من الصّلاة بحسب الخارج، فالنهي عنه مع الكون في المسجد، والفرض أنّه لأجل الجهل بالحيض مرتفعٌ‌، فيصحّ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تأمّل فيما ذكرناه، هذا كلّه مضافاً إلى أنّ الطواف الواجب يتوقّف على الطهارة المضادة للحيض، مع أنّ جملة من النصوص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كتاب الحجّ‌</w:t>
      </w:r>
      <w:r>
        <w:rPr>
          <w:rFonts w:eastAsia="Amiri" w:cs="Amiri" w:ascii="Amiri" w:hAnsi="Amiri"/>
          <w:color w:val="111111"/>
          <w:sz w:val="28"/>
          <w:szCs w:val="28"/>
          <w:rtl w:val="true"/>
          <w:lang w:bidi="ar-SA"/>
        </w:rPr>
        <w:t>.</w:t>
      </w:r>
      <w:r>
        <w:rPr>
          <w:rStyle w:val="FootnoteAnchor"/>
          <w:rtl w:val="true"/>
        </w:rPr>
        <w:footnoteReference w:id="244"/>
      </w:r>
    </w:p>
    <w:p>
      <w:pPr>
        <w:pStyle w:val="Heading6"/>
        <w:numPr>
          <w:ilvl w:val="5"/>
          <w:numId w:val="1"/>
        </w:numPr>
        <w:rPr/>
      </w:pPr>
      <w:bookmarkStart w:id="125" w:name="__RefHeading___Toc10361824_73709187"/>
      <w:bookmarkStart w:id="126" w:name="_Toc47"/>
      <w:bookmarkEnd w:id="125"/>
      <w:r>
        <w:rPr>
          <w:rtl w:val="true"/>
        </w:rPr>
        <w:t>العاشر</w:t>
      </w:r>
      <w:r>
        <w:rPr>
          <w:rtl w:val="true"/>
        </w:rPr>
        <w:t xml:space="preserve">: </w:t>
      </w:r>
      <w:r>
        <w:rPr>
          <w:rtl w:val="true"/>
        </w:rPr>
        <w:t>لا يصحّ منها اعتكاف</w:t>
      </w:r>
      <w:bookmarkEnd w:id="1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إذ لا حقيقة له سوى الكون في المسجد، وحيث إنّه محرمٌ على الحائض، فلا يصحّ منها لما اُشير إليه في الطواف، مع أنّه يشترط فيه الصوم وهو لا يصحّ منها</w:t>
      </w:r>
      <w:r>
        <w:rPr>
          <w:rFonts w:eastAsia="Amiri" w:cs="Amiri" w:ascii="Amiri" w:hAnsi="Amiri"/>
          <w:color w:val="111111"/>
          <w:sz w:val="28"/>
          <w:szCs w:val="28"/>
          <w:rtl w:val="true"/>
          <w:lang w:bidi="ar-SA"/>
        </w:rPr>
        <w:t>.</w:t>
      </w:r>
      <w:bookmarkStart w:id="127" w:name="pg11796_113422"/>
    </w:p>
    <w:p>
      <w:pPr>
        <w:pStyle w:val="Heading6"/>
        <w:numPr>
          <w:ilvl w:val="5"/>
          <w:numId w:val="1"/>
        </w:numPr>
        <w:rPr/>
      </w:pPr>
      <w:bookmarkStart w:id="128" w:name="__RefHeading___Toc10361826_73709187"/>
      <w:bookmarkStart w:id="129" w:name="_Toc48"/>
      <w:bookmarkEnd w:id="127"/>
      <w:bookmarkEnd w:id="128"/>
      <w:r>
        <w:rPr>
          <w:rtl w:val="true"/>
        </w:rPr>
        <w:t>الحادي عشر</w:t>
      </w:r>
      <w:r>
        <w:rPr>
          <w:rtl w:val="true"/>
        </w:rPr>
        <w:t xml:space="preserve">: </w:t>
      </w:r>
      <w:r>
        <w:rPr>
          <w:rtl w:val="true"/>
        </w:rPr>
        <w:t>ولا يصحّ طلاقها ولا يصحّ طلاقها</w:t>
      </w:r>
      <w:r>
        <w:rPr>
          <w:rtl w:val="true"/>
        </w:rPr>
        <w:t>.</w:t>
      </w:r>
      <w:bookmarkEnd w:id="129"/>
    </w:p>
    <w:p>
      <w:pPr>
        <w:pStyle w:val="Heading6"/>
        <w:numPr>
          <w:ilvl w:val="5"/>
          <w:numId w:val="1"/>
        </w:numPr>
        <w:rPr/>
      </w:pPr>
      <w:bookmarkStart w:id="130" w:name="__RefHeading___Toc10361828_73709187"/>
      <w:bookmarkStart w:id="131" w:name="_Toc49"/>
      <w:bookmarkEnd w:id="130"/>
      <w:r>
        <w:rPr>
          <w:rtl w:val="true"/>
        </w:rPr>
        <w:t>بطلان طلاق الحائض</w:t>
      </w:r>
      <w:bookmarkEnd w:id="131"/>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ظهارها على المشهور، بل بلا خلاف فيهما، بل عن غير واحد دعوى الإجماع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اليسع</w:t>
      </w:r>
      <w:r>
        <w:rPr>
          <w:rStyle w:val="FootnoteAnchor"/>
          <w:rtl w:val="true"/>
        </w:rPr>
        <w:footnoteReference w:id="245"/>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Style w:val="FootnoteAnchor"/>
          <w:rtl w:val="true"/>
        </w:rPr>
        <w:footnoteReference w:id="246"/>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الظهار؟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لإمرأته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الزوج حاضراً، وكانت الزوجة مدخولاً بها، ولم تكن حاملاً، وإلّا فيصحّ طلاقها بلا خلافٍ‌، للخبرالصحيح الذي رواه الجُعفي</w:t>
      </w:r>
      <w:r>
        <w:rPr>
          <w:rStyle w:val="FootnoteAnchor"/>
          <w:rtl w:val="true"/>
        </w:rPr>
        <w:footnoteReference w:id="247"/>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المستبين حملها، والّتي لم يدخل بها زوجها، والغائب عنهازوجها، والتي لم تحض، والتي قدجلست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حكومتها على الأدلّة الدالّة على اعتبار الطهر تُقدم عليها، وإنْ كانت النسبة بينهما عموماً من وجه، ولا فرق في الدخول بين المأتيين لإطلاق الأدلّة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بين أن يكون حيضاً وجدانيّاً، أو بالرجوع إلى التمييز </w:t>
      </w:r>
    </w:p>
    <w:p>
      <w:pPr>
        <w:pStyle w:val="BookText"/>
        <w:rPr/>
      </w:pPr>
      <w:r>
        <w:rPr>
          <w:rFonts w:ascii="Amiri" w:hAnsi="Amiri" w:eastAsia="Amiri" w:cs="Amiri"/>
          <w:color w:val="111111"/>
          <w:sz w:val="28"/>
          <w:sz w:val="28"/>
          <w:szCs w:val="28"/>
          <w:rtl w:val="true"/>
          <w:lang w:bidi="ar-SA"/>
        </w:rPr>
        <w:t>أو التخيير بين الأعدادالمذكورة سابقاً، لأنّ ذلك ممّا يقتضيه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في صورة التخيير بعد مُضيّ ثلاثة أيّام قبل اختيارها التحيّض إلى الستّة أو السبعة، فاختارت التحيّض إليها، بطل الطلاق؛ إذ لو اختارت ذلك يكون الطلاق واقعاً في زمانٍ محكوم شرعاً بكونها حائضاً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يُحكم به من زمان اختيارها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 صحّة اختيارها ولو من قبل زمان الاختيار، بناءً على ما هو الحقّ من القول بالكشف في باب الإجازة، لجريان نفس ذلك البرهان في المقام، وقد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في خصوص الفرض لا محيص عن الالتزام، بذلك وإلّا لزم الفصل بين أيّام التحيّض، وهو كما ترى‌، مضافاً إلى ماستعرف من الحكم بالبطلان مع عدم اختيار التحيّض ولا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أنّها لو اختارت عدم التحيّض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قبل الاختيار بَطَل أيضاً، لعدم إحراز الشرط لا ظاهراً ولا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طهرت ولم تغتسل صحَّ طلاقها، لأنّ الدليل إنّما دلّ على بطلان طلاق الحائض، وهي لا تصدق على من طهرت منه ولم تغتسل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الأصحاب من الصحّة هو الأقوى‌</w:t>
      </w:r>
      <w:r>
        <w:rPr>
          <w:rFonts w:eastAsia="Amiri" w:cs="Amiri" w:ascii="Amiri" w:hAnsi="Amiri"/>
          <w:color w:val="111111"/>
          <w:sz w:val="28"/>
          <w:szCs w:val="28"/>
          <w:rtl w:val="true"/>
          <w:lang w:bidi="ar-SA"/>
        </w:rPr>
        <w:t>.</w:t>
      </w:r>
      <w:bookmarkStart w:id="132" w:name="pg11796_113424"/>
    </w:p>
    <w:p>
      <w:pPr>
        <w:pStyle w:val="Heading6"/>
        <w:numPr>
          <w:ilvl w:val="5"/>
          <w:numId w:val="1"/>
        </w:numPr>
        <w:rPr/>
      </w:pPr>
      <w:bookmarkStart w:id="133" w:name="__RefHeading___Toc10361830_73709187"/>
      <w:bookmarkStart w:id="134" w:name="_Toc50"/>
      <w:bookmarkEnd w:id="132"/>
      <w:bookmarkEnd w:id="133"/>
      <w:r>
        <w:rPr>
          <w:rtl w:val="true"/>
        </w:rPr>
        <w:t>الثاني عشر</w:t>
      </w:r>
      <w:r>
        <w:rPr>
          <w:rtl w:val="true"/>
        </w:rPr>
        <w:t xml:space="preserve">: </w:t>
      </w:r>
      <w:r>
        <w:rPr>
          <w:rtl w:val="true"/>
        </w:rPr>
        <w:t>ولا يجب عليها قضاء الصّلاة ولا يجب عليها قضاء الصّلاة</w:t>
      </w:r>
      <w:r>
        <w:rPr>
          <w:rtl w:val="true"/>
        </w:rPr>
        <w:t>.</w:t>
      </w:r>
      <w:bookmarkEnd w:id="134"/>
    </w:p>
    <w:p>
      <w:pPr>
        <w:pStyle w:val="Heading6"/>
        <w:numPr>
          <w:ilvl w:val="5"/>
          <w:numId w:val="1"/>
        </w:numPr>
        <w:rPr/>
      </w:pPr>
      <w:bookmarkStart w:id="135" w:name="__RefHeading___Toc10361832_73709187"/>
      <w:bookmarkStart w:id="136" w:name="_Toc51"/>
      <w:bookmarkEnd w:id="135"/>
      <w:r>
        <w:rPr>
          <w:rtl w:val="true"/>
        </w:rPr>
        <w:t>سقوط قضاء الصّلاة عنها</w:t>
      </w:r>
      <w:bookmarkEnd w:id="136"/>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عليها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علماء الإسلام،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w:t>
      </w:r>
      <w:r>
        <w:rPr>
          <w:rStyle w:val="FootnoteAnchor"/>
          <w:rtl w:val="true"/>
        </w:rPr>
        <w:footnoteReference w:id="249"/>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بل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الفضل بن شاذان</w:t>
      </w:r>
      <w:r>
        <w:rPr>
          <w:rStyle w:val="FootnoteAnchor"/>
          <w:rtl w:val="true"/>
        </w:rPr>
        <w:footnoteReference w:id="252"/>
      </w:r>
      <w:r>
        <w:rPr>
          <w:rFonts w:ascii="Amiri" w:hAnsi="Amiri" w:eastAsia="Amiri" w:cs="Amiri"/>
          <w:color w:val="111111"/>
          <w:sz w:val="28"/>
          <w:sz w:val="28"/>
          <w:szCs w:val="28"/>
          <w:rtl w:val="true"/>
          <w:lang w:bidi="ar-SA"/>
        </w:rPr>
        <w:t>،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الحائض تقضي الصيام ولا تقضي الصّلاة لعلل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الحسن بن راشد</w:t>
      </w:r>
      <w:r>
        <w:rPr>
          <w:rStyle w:val="FootnoteAnchor"/>
          <w:rtl w:val="true"/>
        </w:rPr>
        <w:footnoteReference w:id="2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تقضي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تقضي الصوم‌؟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بالصلاة اليوميّة، أم يعمّ غيرها من الفرائض الموقّتة التي تصادف أوقاتها أيّام الحيض‌؟</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بل قولان، وإنْ كان ظاهر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من أنّ عدم </w:t>
      </w:r>
    </w:p>
    <w:p>
      <w:pPr>
        <w:pStyle w:val="BookText"/>
        <w:rPr/>
      </w:pPr>
      <w:r>
        <w:rPr>
          <w:rFonts w:ascii="Amiri" w:hAnsi="Amiri" w:eastAsia="Amiri" w:cs="Amiri"/>
          <w:color w:val="111111"/>
          <w:sz w:val="28"/>
          <w:sz w:val="28"/>
          <w:szCs w:val="28"/>
          <w:rtl w:val="true"/>
          <w:lang w:bidi="ar-SA"/>
        </w:rPr>
        <w:t>وجوب قضاء الصّلاة الموقّتة موضع وفاق بين العلماء، يدلّ على عدم القول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بانصراف الصّلاة في نصوص الباب إلى اليوميّة، فترجع في غيرها إلى عموم ما دلّ على وجوب قضاء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الفوات، لعدم قابليّة المكلّف للتكليف بالفعل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مكلّفة بالترك، فلا يصدق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القضاء ليس منوطاً بصدق الفوت فقط، بل المستفاد من الأدلّة أنّ كلّ صلاةٍ تُركت يجب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هذا الإيراد وجوابه، سيأتي إن شاء اللّه تعالى في كتاب القضاء فانتظر،</w:t>
      </w:r>
      <w:r>
        <w:rPr>
          <w:rStyle w:val="FootnoteAnchor"/>
          <w:rtl w:val="true"/>
        </w:rPr>
        <w:footnoteReference w:id="255"/>
      </w:r>
      <w:r>
        <w:rPr>
          <w:rFonts w:ascii="Amiri" w:hAnsi="Amiri" w:eastAsia="Amiri" w:cs="Amiri"/>
          <w:color w:val="111111"/>
          <w:sz w:val="28"/>
          <w:sz w:val="28"/>
          <w:szCs w:val="28"/>
          <w:rtl w:val="true"/>
          <w:lang w:bidi="ar-SA"/>
        </w:rPr>
        <w:t>ولكن يمكن أنْ يورد على الانصراف بكونه انصرافاً بدويّاً ناشئاً من ندرة الوجود، فلا يصلح أن تقيّد به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نصوص الباب عُلّل وجوب قضاء الصّلاة بالإبتلاء بها في كلّ يوم وليلة، مثلاً ورد في خبر أبي بصير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الحائض تقضي الصوم ولا تقضي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إنّما هو في السَّنة شهر، والصّلاة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هذه العلّة بخصوص اليوميّة واضح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أمثال هذه التعبيرات ليست عللاً حقيقيّة، وإنّما هي بيانع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للحكم والمقتضيات، فلا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خبر أبي بصير في إنحصار العلّة في ذلك لو سُلّم، يتعيّن صرفه عن ظاهره، لخبر الفضل المتقدّم، الصريح في أنّ لعدم وجوب القضاء عللاً شتّى‌، فلا يصحّ التمسّك بمفهوم هذا الخبر لنفيه عن غير مورد وجود 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الأقوى هو عدم وجوب القضاء، وسيأتي تمام الكلام في خصوص صلاة الآيات موضعها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كونها من الموقتة التي تفوت بفوات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المنذورة في وقتٍ معيّن اتّفق فيه الحيض بالموقّتة،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استقرب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ما دلّ على وجوب قضاء الفوائت من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ما دلّ على نفي الوجوب عن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شمول ما دلّ على وجوب القضاء في نفسه للصلاة الواجبة بالنذر محلّ نظر بل منع؛ إذ تلك الأدلّة تختصّ بالاُمور القابلة للتدارك، لا في مثل الصّلاة المنذورة الواجبة بعنوان الوفاء بالنذر، فإنّ هذا العنوان ممّا لا يقبل لأنْ يُقضى، وتمام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يكشف بالحيض فساد النذر، لعدم مشروعيّة المنذور، فلا فوت ولا 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إنّما هو فيما إذا لم يكن النذر تعلّق بذلك الوقت الشخصي، بل تعلّق بنوعه، كما لو نَذَرت صوم كلّ خميس، فإنّ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اتّفاق الحيض في بعض أيّام الخميس لا يكشف عن فساد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وإن لم يوجب فساد النذر مطلقاً، لكنّه يوجب فساده في أيّام المصادفة؛ إذ مشروعيّة بعض المنذور لا تكفي في صحّة نذر المجموع، بعد اعتبار المشروعيّة في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الأظهر عدم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النذر المعيّن في وقت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أخّرت الفعل المنذور حتّى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وجوب قضاء الصّلاة المنذورة مطلقاً، لما أشرنا إليه آنفاً، لا شبهة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شمول أدلّة القضاء لها أيضاً، فهل يجب القضاء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أقواهما الأوّل؛ إذ المتبادر من النصوص هو نفي قضاء ما استند عدم الإتيان بها من الصَّلوات إلى الحيض، وكان هو السبب المنحصر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فترجع الحائض في ذلك إلى عموم ما دلّ على وجوب القضاء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7" w:name="pg11796_113428"/>
    </w:p>
    <w:p>
      <w:pPr>
        <w:pStyle w:val="Heading6"/>
        <w:numPr>
          <w:ilvl w:val="5"/>
          <w:numId w:val="1"/>
        </w:numPr>
        <w:rPr/>
      </w:pPr>
      <w:bookmarkStart w:id="138" w:name="__RefHeading___Toc10361834_73709187"/>
      <w:bookmarkStart w:id="139" w:name="_Toc52"/>
      <w:bookmarkEnd w:id="137"/>
      <w:bookmarkEnd w:id="138"/>
      <w:r>
        <w:rPr>
          <w:rtl w:val="true"/>
        </w:rPr>
        <w:t>فروع</w:t>
      </w:r>
      <w:r>
        <w:rPr>
          <w:rtl w:val="true"/>
        </w:rPr>
        <w:t>:</w:t>
      </w:r>
      <w:bookmarkEnd w:id="139"/>
    </w:p>
    <w:p>
      <w:pPr>
        <w:pStyle w:val="Heading6"/>
        <w:numPr>
          <w:ilvl w:val="5"/>
          <w:numId w:val="1"/>
        </w:numPr>
        <w:rPr/>
      </w:pPr>
      <w:bookmarkStart w:id="140" w:name="__RefHeading___Toc10361836_73709187"/>
      <w:bookmarkStart w:id="141" w:name="_Toc53"/>
      <w:bookmarkEnd w:id="140"/>
      <w:r>
        <w:rPr>
          <w:rtl w:val="true"/>
        </w:rPr>
        <w:t>الحيض بعد دخول وقت الصّلاة</w:t>
      </w:r>
      <w:bookmarkEnd w:id="141"/>
    </w:p>
    <w:p>
      <w:pPr>
        <w:pStyle w:val="Heading6"/>
        <w:numPr>
          <w:ilvl w:val="5"/>
          <w:numId w:val="1"/>
        </w:numPr>
        <w:rPr/>
      </w:pPr>
      <w:bookmarkStart w:id="142" w:name="__RefHeading___Toc10361838_73709187"/>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بعد دخول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بعد مُضيّ مقدار الواجب من صلاتها بحسب حالها، وتحصيل الشرائط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ولا خلاف في وجوب القضاء عليها، لعدّة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ما دلّ على وجوب قضاء الفائتة، بعد اختصاص ما دلّ على نفي القضاء عن الحائض بما إذا كان الحيض هو السبب الوحيد لفوته، كما هو الظاهر من 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ولحسن ابن الحجّاج</w:t>
      </w:r>
      <w:r>
        <w:rPr>
          <w:rStyle w:val="FootnoteAnchor"/>
          <w:rtl w:val="true"/>
        </w:rPr>
        <w:footnoteReference w:id="2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تطمث بعدما تزول الشمس، ولم تصلِّ الظهر، هل عليها قضاء تلك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يونس بن يعقوب</w:t>
      </w:r>
      <w:r>
        <w:rPr>
          <w:rStyle w:val="FootnoteAnchor"/>
          <w:rtl w:val="true"/>
        </w:rPr>
        <w:footnoteReference w:id="261"/>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دخل عليها وقت الصّلاة وهي طاهر، فأخّرت الصّلاة حتّى حاضت‌؟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الفضل بن يونس</w:t>
      </w:r>
      <w:r>
        <w:rPr>
          <w:rStyle w:val="FootnoteAnchor"/>
          <w:rtl w:val="true"/>
        </w:rPr>
        <w:footnoteReference w:id="262"/>
      </w:r>
      <w:r>
        <w:rPr>
          <w:rFonts w:ascii="Amiri" w:hAnsi="Amiri" w:eastAsia="Amiri" w:cs="Amiri"/>
          <w:color w:val="111111"/>
          <w:sz w:val="28"/>
          <w:sz w:val="28"/>
          <w:szCs w:val="28"/>
          <w:rtl w:val="true"/>
          <w:lang w:bidi="ar-SA"/>
        </w:rPr>
        <w:t xml:space="preserve">، عن 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رأت المرأة الدّم بعدما يمضي من زوال الشمس أربعة أقدام، </w:t>
      </w:r>
    </w:p>
    <w:p>
      <w:pPr>
        <w:pStyle w:val="BookText"/>
        <w:rPr/>
      </w:pPr>
      <w:r>
        <w:rPr>
          <w:rFonts w:ascii="Amiri" w:hAnsi="Amiri" w:eastAsia="Amiri" w:cs="Amiri"/>
          <w:color w:val="111111"/>
          <w:sz w:val="28"/>
          <w:sz w:val="28"/>
          <w:szCs w:val="28"/>
          <w:rtl w:val="true"/>
          <w:lang w:bidi="ar-SA"/>
        </w:rPr>
        <w:t>فلتمسك عن الصّلاة، فإذا طهرت من الحيض فلتقض صلاة الظهر، لأنّ وقت الظهر دخل عليها وهي طاهر، وخرج عنها وقت الظهر وهي طاهر، فضيّعت صلاة الظهر، فوجب عليه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خبر أبي عبيدة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فلأجل عدم القائل بمفهومه، يتعيّن صرفه عن ظاهره، وحمله على إهمال الشرطيّة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عنه المحقّق الهمداني رحمه الله</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لوجوب القضاء، ومقتضى عمومه وجوب القضاء في كلّ مورد صدق التضييع والتفويت، ومن تلك الموارد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مضافاً إلى أنّ صدق التضييع والتفويت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جهلها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بل منع، أنّ العلّة المنصوصة فيه هو التضييع بعدم الإتيان في وقت الظهر، مع أنّها كانت طاهرة في تمام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رتّب التضييع الموجب للقضاء على دخول وقت الظهر وخروجه وهي طاهرة ولم تُصلِّ‌، فلا سبيل إلى التعدّي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استدلاله رحمه الله على المختار 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في الجملة ما رواه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أنّه يجب القضاء إذا كانت طاهرة في تمام الوقت، غاية الأمر يدلّ على أنّ وقت الظهر يكون إلى أربعة أقدام لا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مُضيّ مقدار ما يسع الطهارة، أم يكفي كونه بمقدار مجرّد فعل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265"/>
      </w:r>
      <w:r>
        <w:rPr>
          <w:rFonts w:ascii="IRNazanin" w:hAnsi="IRNazanin" w:eastAsia="IRNazanin"/>
          <w:color w:val="111111"/>
          <w:sz w:val="28"/>
          <w:sz w:val="28"/>
          <w:szCs w:val="28"/>
          <w:rtl w:val="true"/>
          <w:lang w:bidi="fa-IR"/>
        </w:rPr>
        <w:t>وتبعه بعض الأعلام‌؟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صدق الفوت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أدلّة نفي القضاء عن الحائض، تدلّ على أنّ كلّ صلاةٍ فاتت، وكان فوتها مستنداً إلى الحيض، لا يجب قضاؤها، ولا ريب أنّ فوت الصّلاة هنا مستندٌ إلى الحيض، فلا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ريب في صدق الفوت على ترك الصّلاة المأمور بها في الوقت، وإن لم يعاقب على تركها كما في المقام، ولذا لو علمت قبل الوقت بمفاجأة الحيض لها يجب عليها تحصيل الطهارة قبله، والإتيان بالصلاة في أوّل وقتها، والجهل بذلك لا يوجب ارتفاع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فهي مكلّفة في الواقع بتحصيل الطهارة قبل الوقت والإتيان بالصلاة، وحيث إنّها تركتها، فيصدق في حقّها الفوت، فيجب عليها القضاء لعموم أدلّة قضاء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تدلّ عليه الأدلّة، أنّه لا يجب القضاء على الحائض إذا استند الفوت إلى الحيض، لتوقّفه على عدمه، وأمّا مجرّد استناد الفوت إليه، ولو مع كون الحيض بعض أجزاء علّته، فلا يكفي في سقوط القضاء، وليس المقام من قبيل الأوّل بل الثاني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الصّلاة في ذلك الوقت لا يستند إلى الحيض أصلاً، وإنّما يكون مستنداً إلى الحيض، وأمّا فوت الطبيعة في مجموع الوقت، فهو إنّما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مستنداً إلى كليهما، بمعنى أنّه يصدق الفوت على الحائض، بملاحظة الحيض اللّاحق، ويصدق الفوت على الطاهرة، بملاحظة ترك الطهارة قبل الوقت، والدليل إنّما يرفع قضاء فوائت الحائض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لا يدلّ على اعتبار مُضيّ مقدار الطهارة، لعدم دلالته على لزوم تحصيلها بعد 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لاعتباره بذلك،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إنّما تجب بدخول الوقت، نظراً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تقييد وجوب الصّلاة في أوّل الوقت بحصول الطهارة، لعدم معقوليّة إطلاق الأمر بالصلاة في أوّل الوقت، والترخيص في ترك ما يتوقّف عليه، فالمكلّف بالصّلاة في أوّل الوقت هو المتطهّر، فإذا كان المكلّف فاقداً للطهارة، لا يقتضي ذلك الدليل وجوب الصّلاة في حقّه، فلا يكون تركه لها فوتاً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بعينه يجري في كلّ شرطٍ غير حاصل يوجب عدمه ترك الصّلاة، إذا ثبت كون الإذن في تركه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شرطٍ كان التكليف بالصلاة مقيّداً بحصوله في أوّل الوقت، لا يصدق الفوت عند عدمه، وترك الصّلاة لأجله، ولذلك يُفرّق بين مقدّمات الفعل ومقدّمات مقدّماته، وبين المقدّمات بالنسبة إلى الطهارة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الطهارة ليست من شرائط التكليف بالصلاة بقول مطلق، بحيث لو لم تتطهّر لا تجب الصّلاة، كما أنّه لا شبهة في عدم وجوب الطهارة قبل الوقت، إذا كان الوقت واسعاً للطهارة والصّلاة؛ لأنّ وجوبها مترشّح من وجوب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فلا يعقل الترشّح قبل تحقّق ما يترشّح منه، فلذا يكون وجوب الطهارة مقيّداً بدخول الوقت، كما هو الشأن في جميع ما يتوقّف عليه الواجب، ولكن ربما تجب الطهارة قبل الوقت، كغيرها من المقدّمات، وذلك فيما إذا فُرِض عدم التمكّن منها في الوقت، لا بالوجوب المترشّح من الصّلاة، بل بحكم العقل من لزوم ما يتوقّف عليه تحصيل الغرض الملزم في ظرفه، كما حقّقناه في الاُصول في مبحث المقدّمات المفوّتة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وعليه، ففي الفرض تجب الطهارة قبل الوقت، غاية الأمر الجهل بطروّ العذر يجعل المكلّف معذوراً في الترك، فلا مانع من إطلاق الأمر بالصلاة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4" w:name="pg11796_113433"/>
    </w:p>
    <w:p>
      <w:pPr>
        <w:pStyle w:val="Heading6"/>
        <w:numPr>
          <w:ilvl w:val="5"/>
          <w:numId w:val="1"/>
        </w:numPr>
        <w:rPr/>
      </w:pPr>
      <w:bookmarkStart w:id="145" w:name="__RefHeading___Toc10361840_73709187"/>
      <w:bookmarkStart w:id="146" w:name="_Toc55"/>
      <w:bookmarkEnd w:id="144"/>
      <w:bookmarkEnd w:id="145"/>
      <w:r>
        <w:rPr>
          <w:rtl w:val="true"/>
        </w:rPr>
        <w:t>الحيض بعدما يسع الصّلاة الاضطراريّة</w:t>
      </w:r>
      <w:bookmarkEnd w:id="146"/>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أدركتْ أقلَّ من الصّلاة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مقدار الصّلاة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أقلّ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ظاهر الأكثر وجوب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w:t>
      </w:r>
      <w:r>
        <w:rPr>
          <w:rStyle w:val="FootnoteAnchor"/>
          <w:rtl w:val="true"/>
        </w:rPr>
        <w:footnoteReference w:id="269"/>
      </w:r>
      <w:r>
        <w:rPr>
          <w:rFonts w:ascii="Amiri" w:hAnsi="Amiri" w:eastAsia="Amiri" w:cs="Amiri"/>
          <w:color w:val="111111"/>
          <w:sz w:val="28"/>
          <w:sz w:val="28"/>
          <w:szCs w:val="28"/>
          <w:rtl w:val="true"/>
          <w:lang w:bidi="ar-SA"/>
        </w:rPr>
        <w:t>وأبي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إذا مضى ما يسع أكثر الصّلاة الاختياريّة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ظاهر المصنّف رحمه الله</w:t>
      </w:r>
      <w:r>
        <w:rPr>
          <w:rStyle w:val="FootnoteAnchor"/>
          <w:rtl w:val="true"/>
        </w:rPr>
        <w:footnoteReference w:id="270"/>
      </w:r>
      <w:r>
        <w:rPr>
          <w:rFonts w:ascii="Amiri" w:hAnsi="Amiri" w:eastAsia="Amiri" w:cs="Amiri"/>
          <w:color w:val="111111"/>
          <w:sz w:val="28"/>
          <w:sz w:val="28"/>
          <w:szCs w:val="28"/>
          <w:rtl w:val="true"/>
          <w:lang w:bidi="ar-SA"/>
        </w:rPr>
        <w:t>في بعض كتبه وجماعة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الاُمور المعتبرة في الصّلاة الاختياريّة، إنّما يختصّ اعتبارها فيها بصورة التمكّن منها، فإذا فرض عدم التمكّن منها، كانت الصّلاة واجبة بدونها أو مع أبدالها، فإذا تركتها فقد فاتت ووجب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الآمرة بالصلاة، بعد اختصاص أدلّة بعض الأجزاء والشرائط بصورة التمكّن، تقتضي أنّه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عَلِمت المرأة أنّها تحيض قبل زمان إدراك الصّلاة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الزمان الذي تُدركه ممّا يسع للصّلاة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الاضطراريّة، ولازم ذلك وجوب القضاء لو تركتها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تعلم بذلك، فإنّ وجوب الفعل الاضطراري، لايشترط فيه العلم بالإضطرار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انتقال التكليف إلى الصّلاة الاضطراريّة غير ثابت فيما لم تثبت مشروعيّة الصّلاة الاختياريّة، ففي المقام بما أنّها لا تشرع لأجل الحيض، فلا دليل على وجوب الصّلاة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بالصلاة الجامعة بين الاختياريّة والاضطراريّة، إنّما قيّد بأدلّة الأجزاء والشرائط الاختياريّة عند التمكّن منها، وأمّا مع عدمه، فلا مقيّد له، ومقتضاه وجوب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الاُمور الطارئة على المكلّف، الموجبة لإرتفاع التكليف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ذلك لكونه عُذراً عقليّاً، كالنسيان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يوجبه لأجل كونه عُذراً شرعيّاً، كالضرر والحَرَج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خروج المكلّف عن قابليّة التكليف عقلاً، كالجنون والإغماء، فإنّهما يوجبان عدم قابليّة المكلّف للخطاب، كالصغر ولو فرض محالاً انتفاء العذر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عن القابليّة شرعاً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التكليف رأساً، بل يرتفع بمقدار ما يقتضي العقل أو الشرع رفعه، فيبقى معه التكليف بالاضطراري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ذلك؛ إذ المستفاد من الأدلّة أنّه إذا كان المكلّف معذوراً من الصّلاة الاختياريّة، ولكن كان قابلاً للتكليف تجب عليه الاضطراريّة، وإلّا فلو كان غير قابلٍ له، فلا دليل على قيامها مقامها، ولذا نقول إنّه من علم من حاله عروض الجنون عليه بعد مُضيّ ما يسع الصّلاة الاضطراريّة، لا تجب </w:t>
      </w:r>
    </w:p>
    <w:p>
      <w:pPr>
        <w:pStyle w:val="BookText"/>
        <w:rPr/>
      </w:pPr>
      <w:r>
        <w:rPr>
          <w:rFonts w:ascii="Amiri" w:hAnsi="Amiri" w:eastAsia="Amiri" w:cs="Amiri"/>
          <w:color w:val="111111"/>
          <w:sz w:val="28"/>
          <w:sz w:val="28"/>
          <w:szCs w:val="28"/>
          <w:rtl w:val="true"/>
          <w:lang w:bidi="ar-SA"/>
        </w:rPr>
        <w:t>الاضطراريّة عليه، بخلاف من عَلم بعروض النسيان أو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أصل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إنّما يكون تداركاً للصلاة الاختياريّة التي استند فوتها إلى الحيض، لا للصلاة الاضطراريّة الواجبة بسبب الإضطرار تداركاً للصلاة الاختياريّة، ولذا لا تجب مطابقهما في الأجزاء والشرائط، وعليه ففي الفرض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إطلاق أدلّة سقوط القضاء عن الحائض، سقوطه إذا كان فوتُ ما يقضي لولا السقوط مستنداً إلى الحيض، وجب تداركه في الوقت واقعاً ببدله الإضطراري أم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يجب قضاؤه ليس خصوص الصّلاة الاختياريّة، بل الصّلاة الجامعة بينها وبين الاضطراريّة، غاية الأمر الواجب على المكلّف في كلّ حال باختلاف حالاته فردٌ خاص من أفرادها، بحسب ما يناسب حاله حين القضاء، ولذا يجب على من فاتته الصّلاة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مكلّفاً بالصلاة مع 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الطهارة المائيّة، فإذا وجبت الصّلاة على المكلّف في ضمن فرد منها، فإنْ أتى بها فهو، وإلّا وجب عليه قضاؤها على النحو المناسب لحاله حين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وتفصيل القول فيه موكولٌ إلى محلّه من مبحث القضاء</w:t>
      </w:r>
      <w:r>
        <w:rPr>
          <w:rStyle w:val="FootnoteAnchor"/>
          <w:rtl w:val="true"/>
        </w:rPr>
        <w:footnoteReference w:id="271"/>
      </w:r>
      <w:r>
        <w:rPr>
          <w:rFonts w:ascii="IRNazanin" w:hAnsi="IRNazanin" w:eastAsia="IRNazanin"/>
          <w:color w:val="111111"/>
          <w:sz w:val="28"/>
          <w:sz w:val="28"/>
          <w:szCs w:val="28"/>
          <w:rtl w:val="true"/>
          <w:lang w:bidi="fa-IR"/>
        </w:rPr>
        <w:t>من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الورد، عن أبي جعفر عليه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التي تكون في صلاة الظهر، وقد صلّت ركعتين، ثمّ ترى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ولا تقضي الركعتين، وإن كانت رأت الدّم وهي في صلاة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المغرب، وقد صلّت ركعتين، فلتقم من مسجدها، فإذا تطهرت فلتقض الركعة التي فاتتها من المغرب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مضافاً إلى إعراض الأصحاب عنه، واشتماله على ما لا يمكن الالتزام به، وهو قضاء الركعة وحدها، مع أنّ حمله على خصوص ما لو اشتغلت بالصلاة في أوّل الوقت يعدّ حملاً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بجعله مع موثّق سماعة المروي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صلّت من الظهر ركعتين، ثمّ طمثت وهي جالسة‌؟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مكانها فلا تقضي الركعتين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مؤيّدات المختار، بناءً على أنّ مقدار الركعتين الاختياريّتين، يساوي مقدار الصّلاة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 القضاء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إطلاق خبر ابن الحجّاج</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7" w:name="pg11796_113437"/>
    </w:p>
    <w:p>
      <w:pPr>
        <w:pStyle w:val="Heading6"/>
        <w:numPr>
          <w:ilvl w:val="5"/>
          <w:numId w:val="1"/>
        </w:numPr>
        <w:rPr/>
      </w:pPr>
      <w:bookmarkStart w:id="148" w:name="__RefHeading___Toc10361842_73709187"/>
      <w:bookmarkStart w:id="149" w:name="_Toc56"/>
      <w:bookmarkEnd w:id="147"/>
      <w:bookmarkEnd w:id="148"/>
      <w:r>
        <w:rPr>
          <w:rtl w:val="true"/>
        </w:rPr>
        <w:t>حكم عدم إدراك الحائض شيئاً من الصّلاة</w:t>
      </w:r>
      <w:bookmarkEnd w:id="149"/>
    </w:p>
    <w:p>
      <w:pPr>
        <w:pStyle w:val="BookText"/>
        <w:rPr/>
      </w:pPr>
      <w:r>
        <w:rPr>
          <w:rFonts w:ascii="Amiri" w:hAnsi="Amiri" w:eastAsia="Amiri" w:cs="Amiri"/>
          <w:color w:val="111111"/>
          <w:sz w:val="28"/>
          <w:sz w:val="28"/>
          <w:szCs w:val="28"/>
          <w:rtl w:val="true"/>
          <w:lang w:bidi="ar-SA"/>
        </w:rPr>
        <w:t>وأمّا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حاضت بعد دخول الوقت، ولم تُدرك شيئاً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القضاءعليها، ومالَ إليه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حسن ابن الحجّاج المتقدّم</w:t>
      </w:r>
      <w:r>
        <w:rPr>
          <w:rStyle w:val="FootnoteAnchor"/>
          <w:rtl w:val="true"/>
        </w:rPr>
        <w:footnoteReference w:id="277"/>
      </w:r>
      <w:r>
        <w:rPr>
          <w:rFonts w:ascii="Amiri" w:hAnsi="Amiri" w:eastAsia="Amiri" w:cs="Amiri"/>
          <w:color w:val="111111"/>
          <w:sz w:val="28"/>
          <w:sz w:val="28"/>
          <w:szCs w:val="28"/>
          <w:rtl w:val="true"/>
          <w:lang w:bidi="ar-SA"/>
        </w:rPr>
        <w:t>، في أوّل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سؤاله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تصلِّ الظهر هل عليها قضاء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المسؤول عنها هي الصّلاة التي دخل وقتها، وتمكّنت من الإتيان بها، ولم تأت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إطلاق له بنحوٍ يشمل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قضاء الفوائت، بدعوى أنّه يكفي في صدق الفوت مجرّد شأنية الثبوت، ولو بملاحظة نوع المكلّفين، بل لا يعتبر ذلك أيضاً، بل المدار ليس إلّاعلى ترك 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الفوت هو ترك ما له قوّة قريبة للحصول، فإذا كان الزمان غير وافٍ لنفس الفعل، لا يصحّ أن يقال إنّه فاتت منها الصّلاة في ذلك الوقت، لأنّ نسبة الفوت إلى الزمان تابعة لقابليّة وقوع الفعل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المناط هو ترك الصّلاة لا فوتها، لا تُصحّح ذلك؛ إذ ليس كلّ تركٍ موجباً للقضاء، وإلّا لوجب على الصغير والمجنون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وتسليم العموم، والخروج بالدليل كما ترى، بل فيما كان اقتضاء التكليف من حيث شرائطه المأخوذة فيه تامّاً، بحيث يصحّ أن يقال عرفاً إنّه ترك الواجب وإن لم يكن في الواقع واجباً حال الترك بواسطة أحد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المصنّف عليه السلام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الأداء ساقطٌ لاستحالة التكليف بما لا يطاق، ووجوب القضاء تابعٌ لوجوب الأداء،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لو سُلّم العموم بنحوٍ يشمل المقام، لوجب الخروج عنه بالأدلّة الخاصّة الدالّة على عدم وجوب القضاء على الحائض، فإنّ المتبادر منها نفي القضاء، فيما إذا استند عدم التمكّن من الصّلاة إلى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الوجوب في الفرض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0" w:name="pg11796_113439"/>
    </w:p>
    <w:p>
      <w:pPr>
        <w:pStyle w:val="Heading6"/>
        <w:numPr>
          <w:ilvl w:val="5"/>
          <w:numId w:val="1"/>
        </w:numPr>
        <w:rPr/>
      </w:pPr>
      <w:bookmarkStart w:id="151" w:name="__RefHeading___Toc10361844_73709187"/>
      <w:bookmarkStart w:id="152" w:name="_Toc57"/>
      <w:bookmarkEnd w:id="150"/>
      <w:bookmarkEnd w:id="151"/>
      <w:r>
        <w:rPr>
          <w:rtl w:val="true"/>
        </w:rPr>
        <w:t>الطُهر قبل خروج الوقت</w:t>
      </w:r>
      <w:bookmarkEnd w:id="15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من الحيض قَبل 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أدركتِ من الوقت مقدار تمام الصّلاة مع شرائطها، فلا إشكال ولا خلاف في وجوب الأداء عليها، وإن تركت وَجَب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مصحّح عُبيد بن زرارة</w:t>
      </w:r>
      <w:r>
        <w:rPr>
          <w:rStyle w:val="FootnoteAnchor"/>
          <w:rtl w:val="true"/>
        </w:rPr>
        <w:footnoteReference w:id="279"/>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رأت الطُهر وهي قادرة على أنْ تَغتسل في وقت صلاة ففرّطت فيها حتّى يدخل وقت صلاةٍ اُخرى، كان عليها قضاء تلك الصّلاة التي فرّطت فيها، وإنْ رأت الطُهر في وقتِ صلاةٍ‌، فقامت في تهيئة ذلك، فجاوز وقت صلاةٍ ودخل وقت صلاةٍ اُخرى‌، فليس عليها قضاءٌ وتُصلّي الصّلاة التي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الحلبي</w:t>
      </w:r>
      <w:r>
        <w:rPr>
          <w:rStyle w:val="FootnoteAnchor"/>
          <w:rtl w:val="true"/>
        </w:rPr>
        <w:footnoteReference w:id="280"/>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تقوم وقت الصّلاة فلا تقضي ظهرها حتّى تفوتها الصّلاة التي فاتتها؟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توانَتْ قَضَتها، وإنْ كانت دائبة في غُسلها فلا تقضي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أدركت من الوقت ركعةً‌، مع إحراز الشرائط، ففيه قولان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على المشهور، بل عن غير واحدٍ دعوى الإجماع عليه، لما يأتي في مبحث المواقيت من هذا الشرح،</w:t>
      </w:r>
      <w:r>
        <w:rPr>
          <w:rStyle w:val="FootnoteAnchor"/>
          <w:rtl w:val="true"/>
        </w:rPr>
        <w:footnoteReference w:id="281"/>
      </w:r>
      <w:r>
        <w:rPr>
          <w:rFonts w:ascii="Amiri" w:hAnsi="Amiri" w:eastAsia="Amiri" w:cs="Amiri"/>
          <w:color w:val="111111"/>
          <w:sz w:val="28"/>
          <w:sz w:val="28"/>
          <w:szCs w:val="28"/>
          <w:rtl w:val="true"/>
          <w:lang w:bidi="ar-SA"/>
        </w:rPr>
        <w:t>أنّ من أدرك ركعة من الوقت فقد أدرك الوقت، فإذا ثبتت مشروعيّتها وتركت، وجب قضاؤها لعموم ما دلّ على قضاء الفائت، وللخبرين المتقدّمين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من عدم وجوب القضاء والأداء في الفرض،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الحائض قبل غروب الشمس، في وقتٍ متَّسع لفعل فرض الظهر والعصر معاً، والطهارة لهما، وجب عليها أداء الصلاتين، أو قضاؤهما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أدركتِ الصّلاة، أو ركعةً منها مع الطهارة وغيرها من الشرائط، التي يمكن تقديمها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لم تُدرك تلك الشرائط لما تقدّم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توقفنا في وجوب تقديم المقدّمات قبل الوقت، لا مجال للتوقّف في وجوبها قبل الطُهر؛ إذ الصّلاة إنّما تجب عليها بجميع مقدّماتها بمجرّد دخول الوقت، لعدم كون الطهر من الحيض شرطاً للوجوب كالوقت، فالحيض لا يوجب تفويت الصّلاة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وهو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مصحّح عُبيد بن زرارة</w:t>
      </w:r>
      <w:r>
        <w:rPr>
          <w:rStyle w:val="FootnoteAnchor"/>
          <w:rtl w:val="true"/>
        </w:rPr>
        <w:footnoteReference w:id="287"/>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في تهيئة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التفريط والتواني اللّذان علّق عليهما القضاء في المصحّح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وموثّق الحلبي</w:t>
      </w:r>
      <w:r>
        <w:rPr>
          <w:rStyle w:val="FootnoteAnchor"/>
          <w:rtl w:val="true"/>
        </w:rPr>
        <w:footnoteReference w:id="288"/>
      </w:r>
      <w:r>
        <w:rPr>
          <w:rFonts w:ascii="Amiri" w:hAnsi="Amiri" w:eastAsia="Amiri" w:cs="Amiri"/>
          <w:color w:val="111111"/>
          <w:sz w:val="28"/>
          <w:sz w:val="28"/>
          <w:szCs w:val="28"/>
          <w:rtl w:val="true"/>
          <w:lang w:bidi="ar-SA"/>
        </w:rPr>
        <w:t>مع الإشتغال بتلك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بقرينة قوله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قادرة على أنْ تغتسل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الغسل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التفريط في المصحّح اُريد به التفريط، من حيث ترك الغُسل، كما هو الظاهر من تفريعه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قادرة على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التواني ذلك، بقرينة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دائبة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تتمكّن من الصّلاة الاختياريّة، وتمكّنت من الصّلاة مع الطهارة الترابيّة أو غيرها من الأبدال الاضطراريّة، لا يجب عليها الأداء، لعدم مشروعيّة البدل الإضطراري في ظرف عدم مشروعيّة المبدل منه الاختياري، كما عرفت في الفرع السابق، ولأجله لا يجب القضاء لعدم صدق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المروي عن منصور بن حازم</w:t>
      </w:r>
      <w:r>
        <w:rPr>
          <w:rStyle w:val="FootnoteAnchor"/>
          <w:rtl w:val="true"/>
        </w:rPr>
        <w:footnoteReference w:id="28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الحائض قبل العصر صلّت الظهر والعصر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الكناني المروي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والعشاء، وإنْ طَهُرت قبل أن تغيب الشمس، صلّت الظهر والعصر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من النصوص التي استدلّ بها على القول بوجوب القضاء إذا طَهُرت قبل خروج الوقت مطلقاً، فلا تدلّ عليه؛ إذ الظاهر منها أرادة الأداء لا القضاء، ووجوب الأداء إنّما يكون فيما إذا وسع الوقت لذلك، وإلّا لزم التكليف بما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سلمت دلالتها على وجوب القضاء، فإنّما مفادها أعمّ من ذلك، بل تدلّ على لزوم القضاء لو طَهُرت قبل خروج الوقت مطلقاً، وحيث لا قائل بالوجوب في هذا الفرض، فيتعيّن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حكومة ما دلّ على إناطة وجوب القضاء عليها بالتفريط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وجوب القضاء في هذين الموردين</w:t>
      </w:r>
      <w:r>
        <w:rPr>
          <w:rFonts w:eastAsia="Amiri" w:cs="Amiri" w:ascii="Amiri" w:hAnsi="Amiri"/>
          <w:color w:val="111111"/>
          <w:sz w:val="28"/>
          <w:szCs w:val="28"/>
          <w:rtl w:val="true"/>
          <w:lang w:bidi="ar-SA"/>
        </w:rPr>
        <w:t>.</w:t>
      </w:r>
      <w:bookmarkStart w:id="153" w:name="pg11796_113443"/>
    </w:p>
    <w:p>
      <w:pPr>
        <w:pStyle w:val="Heading6"/>
        <w:numPr>
          <w:ilvl w:val="5"/>
          <w:numId w:val="1"/>
        </w:numPr>
        <w:rPr/>
      </w:pPr>
      <w:bookmarkStart w:id="154" w:name="__RefHeading___Toc10361846_73709187"/>
      <w:bookmarkStart w:id="155" w:name="_Toc58"/>
      <w:bookmarkEnd w:id="153"/>
      <w:bookmarkEnd w:id="154"/>
      <w:r>
        <w:rPr>
          <w:rtl w:val="true"/>
        </w:rPr>
        <w:t>لو شكّت في سعة الوقت</w:t>
      </w:r>
      <w:bookmarkEnd w:id="15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في سعة الوقت وعدمها، فهل تجب عليهاالمبادرة أم لا؟</w:t>
      </w:r>
    </w:p>
    <w:p>
      <w:pPr>
        <w:pStyle w:val="BookText"/>
        <w:rPr/>
      </w:pPr>
      <w:r>
        <w:rPr>
          <w:rFonts w:ascii="Amiri" w:hAnsi="Amiri" w:eastAsia="Amiri" w:cs="Amiri"/>
          <w:color w:val="111111"/>
          <w:sz w:val="28"/>
          <w:sz w:val="28"/>
          <w:szCs w:val="28"/>
          <w:rtl w:val="true"/>
          <w:lang w:bidi="ar-SA"/>
        </w:rPr>
        <w:t>وعلى فرض العدم، فهل يجب القضاء أم لا؟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تشكّ في مقدار الوقت، واُخرى في مقدار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المبادرة، لاستصحاب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بانَت السِّعة وَجَب عليها القضاء لصدق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بانَ العدم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تردّدت في ذلك بعد مُضيّ الوقت، أيضاً يجري استصحاب بقاء الوقت في ظرفه، ويترتّب عليه وجوب الأداء، ووجوب القضاء بتبع 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علمت أنّ الوقت عَشرُ دقائق، وشكّت في مقدار الصّلاة، وأنّه تكفيها العشر دقائق أم لا؟</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الاستصحاب، لعدم الشكّ في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بقائه إلى آخر الصّلاة ليس شكّاً في الامتداد، كي يجري فيه الاستصحاب، فلا تجب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أمد الوقت ملاحظ في حدّ نفسه، مع قطع النظر عن ملاحظة حادثٍ آخر وإنْ كان معلوماً، إلّاأنّه مع ملاحظة الصّلاة وبالقياس إليها يكون مشكوكاً فيه، فلا مانع من استصحاب بقاء الوقت إلى آخر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الصورتين في الحكم أداءً وقضاءً‌</w:t>
      </w:r>
      <w:r>
        <w:rPr>
          <w:rFonts w:eastAsia="Amiri" w:cs="Amiri" w:ascii="Amiri" w:hAnsi="Amiri"/>
          <w:color w:val="111111"/>
          <w:sz w:val="28"/>
          <w:szCs w:val="28"/>
          <w:rtl w:val="true"/>
          <w:lang w:bidi="ar-SA"/>
        </w:rPr>
        <w:t xml:space="preserve">. </w:t>
      </w:r>
      <w:bookmarkStart w:id="156" w:name="pg11796_113444"/>
    </w:p>
    <w:p>
      <w:pPr>
        <w:pStyle w:val="Heading6"/>
        <w:numPr>
          <w:ilvl w:val="5"/>
          <w:numId w:val="1"/>
        </w:numPr>
        <w:rPr/>
      </w:pPr>
      <w:bookmarkStart w:id="157" w:name="__RefHeading___Toc10361848_73709187"/>
      <w:bookmarkStart w:id="158" w:name="_Toc59"/>
      <w:bookmarkEnd w:id="156"/>
      <w:bookmarkEnd w:id="157"/>
      <w:r>
        <w:rPr>
          <w:rtl w:val="true"/>
        </w:rPr>
        <w:t>حكم من وظيفتها التيمّم</w:t>
      </w:r>
      <w:bookmarkEnd w:id="158"/>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وظيفتها التيمّم، مع قطع النظر عن ضيق الوقت، وكان الوقت لا يسع للصلاة مع الطهارة المائيّة، وكانت لا تتمكّن من تحصيل الطهارة قبل الوقت، فهل يجب عليها الأداء والقضاء إذا تركتها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استناد عدم التمكّن من الطهارة المائيّة إلى غير الحيض، فينتقل فرضها إلى التيمّم، وحيث وَجَب عليها الأداء وتركت، فيجب عليها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عدم مشروعيّة البدل الاضطراري في مقامٍ لا يكون المبدل منه الاختياري مشروعاً لو لا العذر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أقوى، فلا تكون وظيفتها التيمّم في الفرض، فلا فوت، فلا يجب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159" w:name="pg11796_113445"/>
    </w:p>
    <w:p>
      <w:pPr>
        <w:pStyle w:val="Heading6"/>
        <w:numPr>
          <w:ilvl w:val="5"/>
          <w:numId w:val="1"/>
        </w:numPr>
        <w:rPr/>
      </w:pPr>
      <w:bookmarkStart w:id="160" w:name="__RefHeading___Toc10361850_73709187"/>
      <w:bookmarkStart w:id="161" w:name="_Toc60"/>
      <w:bookmarkEnd w:id="159"/>
      <w:bookmarkEnd w:id="160"/>
      <w:r>
        <w:rPr>
          <w:rtl w:val="true"/>
        </w:rPr>
        <w:t>الثالث عشر</w:t>
      </w:r>
      <w:r>
        <w:rPr>
          <w:rtl w:val="true"/>
        </w:rPr>
        <w:t xml:space="preserve">: </w:t>
      </w:r>
      <w:r>
        <w:rPr>
          <w:rtl w:val="true"/>
        </w:rPr>
        <w:t>ويجب عليها قضاء الصوم ويَجبُ عليها قضاء الصوم</w:t>
      </w:r>
      <w:r>
        <w:rPr>
          <w:rtl w:val="true"/>
        </w:rPr>
        <w:t>.</w:t>
      </w:r>
      <w:bookmarkEnd w:id="161"/>
    </w:p>
    <w:p>
      <w:pPr>
        <w:pStyle w:val="Heading6"/>
        <w:numPr>
          <w:ilvl w:val="5"/>
          <w:numId w:val="1"/>
        </w:numPr>
        <w:rPr/>
      </w:pPr>
      <w:bookmarkStart w:id="162" w:name="__RefHeading___Toc10361852_73709187"/>
      <w:bookmarkStart w:id="163" w:name="_Toc61"/>
      <w:bookmarkEnd w:id="162"/>
      <w:r>
        <w:rPr>
          <w:rtl w:val="true"/>
        </w:rPr>
        <w:t>وجوب قضاء الصّوم على الحائض</w:t>
      </w:r>
      <w:bookmarkEnd w:id="163"/>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عليها 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سواءٌ أكان الفائت من صوم شهر رمضان أو غيره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فقهاء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w:t>
      </w:r>
      <w:r>
        <w:rPr>
          <w:rStyle w:val="FootnoteAnchor"/>
          <w:rtl w:val="true"/>
        </w:rPr>
        <w:footnoteReference w:id="2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قضاء الحائض الصّلاة ثمّ تقضي الصيام‌؟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أن تقضي الصّلاة، وعليها أن تقضي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 الفضل بن شاذان</w:t>
      </w:r>
      <w:r>
        <w:rPr>
          <w:rStyle w:val="FootnoteAnchor"/>
          <w:rtl w:val="true"/>
        </w:rPr>
        <w:footnoteReference w:id="294"/>
      </w:r>
      <w:r>
        <w:rPr>
          <w:rFonts w:ascii="Amiri" w:hAnsi="Amiri" w:eastAsia="Amiri" w:cs="Amiri"/>
          <w:color w:val="111111"/>
          <w:sz w:val="28"/>
          <w:sz w:val="28"/>
          <w:szCs w:val="28"/>
          <w:rtl w:val="true"/>
          <w:lang w:bidi="ar-SA"/>
        </w:rPr>
        <w:t>والحَسَن بن راشد</w:t>
      </w:r>
      <w:r>
        <w:rPr>
          <w:rStyle w:val="FootnoteAnchor"/>
          <w:rtl w:val="true"/>
        </w:rPr>
        <w:footnoteReference w:id="295"/>
      </w:r>
      <w:r>
        <w:rPr>
          <w:rFonts w:ascii="Amiri" w:hAnsi="Amiri" w:eastAsia="Amiri" w:cs="Amiri"/>
          <w:color w:val="111111"/>
          <w:sz w:val="28"/>
          <w:sz w:val="28"/>
          <w:szCs w:val="28"/>
          <w:rtl w:val="true"/>
          <w:lang w:bidi="ar-SA"/>
        </w:rPr>
        <w:t>المتقدّمين في المسألة السابقة، وغيرهما من النصوص المطلقة، فإنّه القدر المتيقّن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قضائه وعدمه قولان للمصنّف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ما دلّ على وجوب القضاء على من فاته الصوم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وبإطلاق نصوص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في ثبوت الإطلاق لما دلّ على وجوب قضاء الصوم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محلّه من هذا الشرح فإنتظر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يشمل المنذور لما أشرنا إليه في قضاء الصّلاة المنذورة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في مقام بيان تشريع الحكم على الحائض، كي يصحّ التمسّك بإطلاقها، بل إنّما هي في مقام بيان عدم مانعيّة الحيض، وأنّ ما يفوت من الحائض من الصيام كالفائت عن غيرها بلا فرق بينهما، وعليه فكلّ ما يجب قضاؤه على غير الحائض لو فات منه، يجب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انصراف نصوص الباب إلى صوم شهر رمضان قريبة جدّاً، كما تفيده التعليلات الواردة في النصوص، كقوله عليه السلام في خبر أبي بصير</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الصوم إنّما هو في السَّنة شهر، والصّلاة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4" w:name="pg11796_113447"/>
    </w:p>
    <w:p>
      <w:pPr>
        <w:pStyle w:val="Heading6"/>
        <w:numPr>
          <w:ilvl w:val="5"/>
          <w:numId w:val="1"/>
        </w:numPr>
        <w:rPr/>
      </w:pPr>
      <w:bookmarkStart w:id="165" w:name="__RefHeading___Toc10361854_73709187"/>
      <w:bookmarkStart w:id="166" w:name="_Toc62"/>
      <w:bookmarkEnd w:id="164"/>
      <w:bookmarkEnd w:id="165"/>
      <w:r>
        <w:rPr>
          <w:rtl w:val="true"/>
        </w:rPr>
        <w:t>الرابع عشر</w:t>
      </w:r>
      <w:r>
        <w:rPr>
          <w:rtl w:val="true"/>
        </w:rPr>
        <w:t xml:space="preserve">: </w:t>
      </w:r>
      <w:r>
        <w:rPr>
          <w:rtl w:val="true"/>
        </w:rPr>
        <w:t>إذا طَهُرت، وَجَب عليها الغُسل</w:t>
      </w:r>
      <w:bookmarkEnd w:id="166"/>
    </w:p>
    <w:p>
      <w:pPr>
        <w:pStyle w:val="Heading6"/>
        <w:numPr>
          <w:ilvl w:val="5"/>
          <w:numId w:val="1"/>
        </w:numPr>
        <w:rPr/>
      </w:pPr>
      <w:bookmarkStart w:id="167" w:name="__RefHeading___Toc10361856_73709187"/>
      <w:bookmarkStart w:id="168" w:name="_Toc63"/>
      <w:bookmarkEnd w:id="167"/>
      <w:r>
        <w:rPr>
          <w:rtl w:val="true"/>
        </w:rPr>
        <w:t>عدم لزوم الوضوء مع غُسل الحيض</w:t>
      </w:r>
      <w:bookmarkEnd w:id="168"/>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وَجَب عليها الغُسل للغايات الواجبة المشروطة بالطهارة، لعدم حصولها إلّابه إجماعاً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استحبابه النفسي، هو الكلام في استحباب غُسل الجنابة والوضوء فتواً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 ما ذكرناه، وعليه فالأقوى كونه مستحبّاً نفسيّاً، مع قطع النظر عن كلّ غايةٍ حتّى التوليديّة، وعدم كونه واجباً كذلك، لما تقدّم في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مثل كيفيّة غُسل الجنابة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عدم البيان، مع كونه ممّا تعمّ به البلوى، وقد بيّن الشارع كيفيّة الغُسل في باب الجنابة، فإنّ أهل العرف يفهمون من الأمر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بيانه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على النحو المعهود في غُسل الجنابة كما هو الشأن في جميع ما هو من هذا القبيل، ألا ترى أنّه لو أمر بصلاة ركعتين تطوّعاً، بلا بيان كيفيّتها، لا يفهم منه إلّاإرادة إيجادها على النحو المعهود في الفريضة‌؟</w:t>
      </w:r>
    </w:p>
    <w:p>
      <w:pPr>
        <w:pStyle w:val="BookText"/>
        <w:rPr/>
      </w:pPr>
      <w:r>
        <w:rPr>
          <w:rFonts w:ascii="Amiri" w:hAnsi="Amiri" w:eastAsia="Amiri" w:cs="Amiri"/>
          <w:color w:val="111111"/>
          <w:sz w:val="28"/>
          <w:sz w:val="28"/>
          <w:szCs w:val="28"/>
          <w:rtl w:val="true"/>
          <w:lang w:bidi="ar-SA"/>
        </w:rPr>
        <w:t>ولذا نلتزم باعتبار جميع ما يعتبر في الفريضة فيها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 كموثّق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الجنابة </w:t>
      </w:r>
    </w:p>
    <w:p>
      <w:pPr>
        <w:pStyle w:val="BookText"/>
        <w:rPr/>
      </w:pPr>
      <w:r>
        <w:rPr>
          <w:rFonts w:ascii="Amiri" w:hAnsi="Amiri" w:eastAsia="Amiri" w:cs="Amiri"/>
          <w:color w:val="111111"/>
          <w:sz w:val="28"/>
          <w:sz w:val="28"/>
          <w:szCs w:val="28"/>
          <w:rtl w:val="true"/>
          <w:lang w:bidi="ar-SA"/>
        </w:rPr>
        <w:t>والحيض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كلّه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يكون أثره مثل أثر غُسل الجنابة، وأنّه يستباح بمجرّده الصّلاة ونحوها، أم لابدّ من الوضوء؟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الإماميّة الإقرار بأنّ في كلّ غُسلٍ وضوءٌ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وعن ابن الجنيد</w:t>
      </w:r>
      <w:r>
        <w:rPr>
          <w:rStyle w:val="FootnoteAnchor"/>
          <w:rtl w:val="true"/>
        </w:rPr>
        <w:footnoteReference w:id="302"/>
      </w:r>
      <w:r>
        <w:rPr>
          <w:rFonts w:ascii="Amiri" w:hAnsi="Amiri" w:eastAsia="Amiri" w:cs="Amiri"/>
          <w:color w:val="111111"/>
          <w:sz w:val="28"/>
          <w:sz w:val="28"/>
          <w:szCs w:val="28"/>
          <w:rtl w:val="true"/>
          <w:lang w:bidi="ar-SA"/>
        </w:rPr>
        <w:t>والسيّدوالأردبيلي</w:t>
      </w:r>
      <w:r>
        <w:rPr>
          <w:rStyle w:val="FootnoteAnchor"/>
          <w:rtl w:val="true"/>
        </w:rPr>
        <w:footnoteReference w:id="303"/>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والمفاتيح</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كلّ 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06"/>
      </w:r>
      <w:r>
        <w:rPr>
          <w:rFonts w:ascii="Amiri" w:hAnsi="Amiri" w:eastAsia="Amiri" w:cs="Amiri"/>
          <w:color w:val="111111"/>
          <w:sz w:val="28"/>
          <w:sz w:val="28"/>
          <w:szCs w:val="28"/>
          <w:rtl w:val="true"/>
          <w:lang w:bidi="ar-SA"/>
        </w:rPr>
        <w:t>، فإنّه شاملٌ لمَن اغتسل وغيره، خَرَج منه الجُنُب بالنصّ والإجماع، وبقي 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وبالعمومات الدالّة على سببيّة البول والغائط وغيرهما من النواقض، الّتي يمتنع تخلّفها عن الحائض عادةً لوجوب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بقاء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ابن أبي عُمير، عن رجلٍ‌،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إلّاغُسل الجنابة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إرساله بعد كون المرسِل من أصحاب الإجماع، ولا يروي ولا يُرسل إلّا عن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حمّاد بن عثمان،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يقطين،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 بينه وبين 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غير النصوص من الأدلّة يصحّ الاستدلال بها على فرض عدم الدليل على كفايته عن الوضوء، وإلّا فيتعيّن الخروج عنها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عنها المحقّق</w:t>
      </w:r>
      <w:r>
        <w:rPr>
          <w:rStyle w:val="FootnoteAnchor"/>
          <w:rtl w:val="true"/>
        </w:rPr>
        <w:footnoteReference w:id="310"/>
      </w:r>
      <w:r>
        <w:rPr>
          <w:rFonts w:ascii="Amiri" w:hAnsi="Amiri" w:eastAsia="Amiri" w:cs="Amiri"/>
          <w:color w:val="111111"/>
          <w:sz w:val="28"/>
          <w:sz w:val="28"/>
          <w:szCs w:val="28"/>
          <w:rtl w:val="true"/>
          <w:lang w:bidi="ar-SA"/>
        </w:rPr>
        <w:t xml:space="preserve">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على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نَسب إليهما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تدلّ إلّاعلى المشروعيّة والجواز، ولا يلزم من الجواز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ظهورها في نفسها في الوجوب لا يقبل الإنكار، لما حقّقناه في الاُصول</w:t>
      </w:r>
      <w:r>
        <w:rPr>
          <w:rStyle w:val="FootnoteAnchor"/>
          <w:rtl w:val="true"/>
        </w:rPr>
        <w:footnoteReference w:id="313"/>
      </w:r>
      <w:r>
        <w:rPr>
          <w:rFonts w:ascii="Amiri" w:hAnsi="Amiri" w:eastAsia="Amiri" w:cs="Amiri"/>
          <w:color w:val="111111"/>
          <w:sz w:val="28"/>
          <w:sz w:val="28"/>
          <w:szCs w:val="28"/>
          <w:rtl w:val="true"/>
          <w:lang w:bidi="ar-SA"/>
        </w:rPr>
        <w:t>من أنّ الجملة الخبريّة كالأمر محمولة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عنها بعض المحقّقين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مطلقها على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قبل الغُسل وجوباً شرطيّاً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يمكن الالتزام به، كما لم يلتزم به أحدٌ، لخلوّ الأخبار المسوقة لبيان الأغسال عن التعرّض له، فضلاً عن أنّها حينئذٍ تعارض موثّق الساباطي</w:t>
      </w:r>
      <w:r>
        <w:rPr>
          <w:rStyle w:val="FootnoteAnchor"/>
          <w:rtl w:val="true"/>
        </w:rPr>
        <w:footnoteReference w:id="314"/>
      </w:r>
      <w:r>
        <w:rPr>
          <w:rFonts w:ascii="Amiri" w:hAnsi="Amiri" w:eastAsia="Amiri" w:cs="Amiri"/>
          <w:color w:val="111111"/>
          <w:sz w:val="28"/>
          <w:sz w:val="28"/>
          <w:szCs w:val="28"/>
          <w:rtl w:val="true"/>
          <w:lang w:bidi="ar-SA"/>
        </w:rPr>
        <w:t>الآتي الصريح في عدم الوجوب،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حمل الأمر بالوضوء على الاستحباب، والالتزام بكونه كالاستنشاق من سُنن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الالتزام بكون النصوص مسوقة لبيان أنّ ماعدا غُسل الجنابة غير مُجْزٍ عن الغُسل، وإنّما اُمر بإيجاده قبل الغُسل لكونه أفضل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ثالث، إذ الالتزام بحملها على إرادة شرطيّة التقديم لصحّة الوضوء، ورافعيّته للحَدَث، واضح البطلان، كالالتزام بالوجوب أو الاستحباب النفسي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بناء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حملها على الأوّل، بل العكس أولى؛ إذ حمل ما ظاهره شرطيّة الوضوء لصحّة الغُسل بعد تعذّر الالتزام بها على شرطيّته لكماله، يعدّ أحسن المحامل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لحمل المطلق منها على المقيّد، لعدم التنافي الذي هو الملاك للحمل بينهما، لإمكان ثبوت كلا الحكمين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 لو تمّ فإنّما هو في مرسل ابن أبي عمير، لا صحيحه الثاني، لأنّه ظاهرٌ في إرادة عدم الإجتزاء بالغُسل عن الوضوء للصلاة، ونحوها ممّا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المرسل الأوّل، وأن تخيّل التعدّد إنّما نشأ من روايته في المرسل الأوّل عن رجلٍ‌، وفي الثاني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للظاهر، فإنّ‌الخبرين مختلفان من حيث المتن، فلاحظهما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الأصحاب، كالمفيد</w:t>
      </w:r>
      <w:r>
        <w:rPr>
          <w:rStyle w:val="FootnoteAnchor"/>
          <w:rtl w:val="true"/>
        </w:rPr>
        <w:footnoteReference w:id="315"/>
      </w:r>
      <w:r>
        <w:rPr>
          <w:rFonts w:ascii="Amiri" w:hAnsi="Amiri" w:eastAsia="Amiri" w:cs="Amiri"/>
          <w:color w:val="111111"/>
          <w:sz w:val="28"/>
          <w:sz w:val="28"/>
          <w:szCs w:val="28"/>
          <w:rtl w:val="true"/>
          <w:lang w:bidi="ar-SA"/>
        </w:rPr>
        <w:t>والحلبيين</w:t>
      </w:r>
      <w:r>
        <w:rPr>
          <w:rStyle w:val="FootnoteAnchor"/>
          <w:rtl w:val="true"/>
        </w:rPr>
        <w:footnoteReference w:id="316"/>
      </w:r>
      <w:r>
        <w:rPr>
          <w:rFonts w:ascii="Amiri" w:hAnsi="Amiri" w:eastAsia="Amiri" w:cs="Amiri"/>
          <w:color w:val="111111"/>
          <w:sz w:val="28"/>
          <w:sz w:val="28"/>
          <w:szCs w:val="28"/>
          <w:rtl w:val="true"/>
          <w:lang w:bidi="ar-SA"/>
        </w:rPr>
        <w:t>وغيرهم، التزموا بشرطيّة التقديم ووجوبه، فمع مساعدة الدليل لا مانع من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مع جملةٍ من النصوص الصريحة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Style w:val="FootnoteAnchor"/>
          <w:rtl w:val="true"/>
        </w:rPr>
        <w:footnoteReference w:id="317"/>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وأيُّ وضوءٍ أطهر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w:t>
      </w:r>
      <w:r>
        <w:rPr>
          <w:rStyle w:val="FootnoteAnchor"/>
          <w:rtl w:val="true"/>
        </w:rPr>
        <w:footnoteReference w:id="318"/>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اغتسل من جنابةٍ أو يوم جمعةٍ أو يوم عيدٍ، هل عليه الوضوء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ذلك أو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ولا بعدُ، فقد أجزأ عنه الغُسل،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بن عثمان،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يغتسل للجمعة أو غير ذلك، أيجزيه عن الوضوء؟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عبد الرحمن الهمداني</w:t>
      </w:r>
      <w:r>
        <w:rPr>
          <w:rStyle w:val="FootnoteAnchor"/>
          <w:rtl w:val="true"/>
        </w:rPr>
        <w:footnoteReference w:id="320"/>
      </w:r>
      <w:r>
        <w:rPr>
          <w:rFonts w:ascii="Amiri" w:hAnsi="Amiri" w:eastAsia="Amiri" w:cs="Amiri"/>
          <w:color w:val="111111"/>
          <w:sz w:val="28"/>
          <w:sz w:val="28"/>
          <w:szCs w:val="28"/>
          <w:rtl w:val="true"/>
          <w:lang w:bidi="ar-SA"/>
        </w:rPr>
        <w:t>،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للصلاة في غُسل الجمعة‌؟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للصّلاة في غُسل الجمعة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اعتضادها بالأخبار الكثيرة الواردة في أبواب الدّماء الثلاثة الآمرة بالغُسل والصّلاة عقيبه</w:t>
      </w:r>
      <w:r>
        <w:rPr>
          <w:rStyle w:val="FootnoteAnchor"/>
          <w:rtl w:val="true"/>
        </w:rPr>
        <w:footnoteReference w:id="321"/>
      </w:r>
      <w:r>
        <w:rPr>
          <w:rFonts w:ascii="Amiri" w:hAnsi="Amiri" w:eastAsia="Amiri" w:cs="Amiri"/>
          <w:color w:val="111111"/>
          <w:sz w:val="28"/>
          <w:sz w:val="28"/>
          <w:szCs w:val="28"/>
          <w:rtl w:val="true"/>
          <w:lang w:bidi="ar-SA"/>
        </w:rPr>
        <w:t>، مع ورودها في مقام الحاجة، فلو كان الوضوء واجباً 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يعضدها ما ورد في التيمّم</w:t>
      </w:r>
      <w:r>
        <w:rPr>
          <w:rStyle w:val="FootnoteAnchor"/>
          <w:rtl w:val="true"/>
        </w:rPr>
        <w:footnoteReference w:id="322"/>
      </w:r>
      <w:r>
        <w:rPr>
          <w:rFonts w:ascii="Amiri" w:hAnsi="Amiri" w:eastAsia="Amiri" w:cs="Amiri"/>
          <w:color w:val="111111"/>
          <w:sz w:val="28"/>
          <w:sz w:val="28"/>
          <w:szCs w:val="28"/>
          <w:rtl w:val="true"/>
          <w:lang w:bidi="ar-SA"/>
        </w:rPr>
        <w:t>حيث لم يتعرّض فيه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اتّحاد غُسل الحيض وغُسل الجنابة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من نصوص التداخل على إجزاء بعض الأغسال عن بعض</w:t>
      </w:r>
      <w:r>
        <w:rPr>
          <w:rStyle w:val="FootnoteAnchor"/>
        </w:rPr>
        <w:footnoteReference w:id="32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بلا إشارة إلى الوضوء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العرفي بين الطائفتين يقتضي الالتزام بإرادة مجرّد ثبوت المشروعيّة من الأخبار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القائلين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ذكر أغلبهم جميع النصوص الدالّة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عن هذه النصوص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جملةٍ من المحقّقين، وهو أنّ إعراض الأصحاب عنها مع كثرتها وتظافرها يوهنها، ويكشف عن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الصدور، أو جهة الصدور، أو من حيث الدلالة، فيُسقطها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عبارات القوم لا يأبى عن الحمل على مجرّد المشروعيّة، لاحظ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فإذاً الإعراض الموهن غير ثابت، فلا وجه لرفع اليد عنها، لاسيّما بعد اعتضادها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النصوص الاُوَل لأشهريّتها تُقدَّم على النصوص الأخيرة، لكونها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المرجّحات إنّما هو بعد عدم إمكان الجمع العرفي، وحيث إنّه يمكن في المقام، فلا مورد للرجوع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الدالّة على نفي الوجوب كالصريح في نفي المشروعيّة، فكيف يمكن الجمع‌؟ لاحظ</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 محمّد بن أحمد بن يحيى‌</w:t>
      </w:r>
      <w:r>
        <w:rPr>
          <w:rStyle w:val="FootnoteAnchor"/>
          <w:rtl w:val="true"/>
        </w:rPr>
        <w:footnoteReference w:id="327"/>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الغُسل وبعده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على 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يتوضّأ وضوء الصّلاة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أنقى من الغُسل وأبلغ</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 ماهيّته دون خصوص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مرفوع محمّد، فلضعف سنده يُطرح ولا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بغُسل الجنابة كما هو واضح، وحمل الألف واللّام على الجنس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من تقييده هذه النصوص بالنصوص الاُوَل، لإختصاصها بغير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النصوص صريحٌ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موثّق عمّار المتقدّم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حملها على ما إذا اجتمع معها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حَمْلاً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الساباطي</w:t>
      </w:r>
      <w:r>
        <w:rPr>
          <w:rStyle w:val="FootnoteAnchor"/>
          <w:rtl w:val="true"/>
        </w:rPr>
        <w:footnoteReference w:id="332"/>
      </w:r>
      <w:r>
        <w:rPr>
          <w:rFonts w:ascii="Amiri" w:hAnsi="Amiri" w:eastAsia="Amiri" w:cs="Amiri"/>
          <w:color w:val="111111"/>
          <w:sz w:val="28"/>
          <w:sz w:val="28"/>
          <w:szCs w:val="28"/>
          <w:rtl w:val="true"/>
          <w:lang w:bidi="ar-SA"/>
        </w:rPr>
        <w:t>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من جنابةٍ أو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هذا الحمل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من تقييده هذه النصوص بما إذا لم يكن وقت صلاةٍ‌، وإليه يرجع ما عن بعضهم من أنّ مشروعيّة الوضوء هنا ليست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لتكميل الأغسال، وإنّما هي لرفع موجبه، وهو الحَدَث الأصغر، فإذا أراد الصّلاة وَجَب عليه الوضوء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الموثّق</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قبلُ ولا بعدُ فقد أجزأ عنه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المكاتبة</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يدلّان على عدم صحّة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إجزاء كلّ غُسلٍ عن الوضوء، إلّاأنّه من جهة عدم إفتاء الأكثر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فالفرق بين غُسل الجنابة وغيره إنّما هو في عدم مشروعيّة الوضوء مع غُسل الجنابة، ومشروعيّته مع غيره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تقديم الوضوء على الغسل، أم يخيَّر بين إيجاده قبله أو بعده، وإنْ كان التقديم أفضل‌؟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نقلاً وتحصيلاً هو الثاني،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عدم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339"/>
      </w:r>
      <w:r>
        <w:rPr>
          <w:rFonts w:ascii="Amiri" w:hAnsi="Amiri" w:eastAsia="Amiri" w:cs="Amiri"/>
          <w:color w:val="111111"/>
          <w:sz w:val="28"/>
          <w:sz w:val="28"/>
          <w:szCs w:val="28"/>
          <w:rtl w:val="true"/>
          <w:lang w:bidi="ar-SA"/>
        </w:rPr>
        <w:t>في بعض كتبه، والمفيد</w:t>
      </w:r>
      <w:r>
        <w:rPr>
          <w:rStyle w:val="FootnoteAnchor"/>
          <w:rtl w:val="true"/>
        </w:rPr>
        <w:footnoteReference w:id="340"/>
      </w:r>
      <w:r>
        <w:rPr>
          <w:rFonts w:ascii="Amiri" w:hAnsi="Amiri" w:eastAsia="Amiri" w:cs="Amiri"/>
          <w:color w:val="111111"/>
          <w:sz w:val="28"/>
          <w:sz w:val="28"/>
          <w:szCs w:val="28"/>
          <w:rtl w:val="true"/>
          <w:lang w:bidi="ar-SA"/>
        </w:rPr>
        <w:t>، وأبي الصلاح</w:t>
      </w:r>
      <w:r>
        <w:rPr>
          <w:rStyle w:val="FootnoteAnchor"/>
          <w:rtl w:val="true"/>
        </w:rPr>
        <w:footnoteReference w:id="341"/>
      </w:r>
      <w:r>
        <w:rPr>
          <w:rFonts w:ascii="Amiri" w:hAnsi="Amiri" w:eastAsia="Amiri" w:cs="Amiri"/>
          <w:color w:val="111111"/>
          <w:sz w:val="28"/>
          <w:sz w:val="28"/>
          <w:szCs w:val="28"/>
          <w:rtl w:val="true"/>
          <w:lang w:bidi="ar-SA"/>
        </w:rPr>
        <w:t>، وابني بابويه</w:t>
      </w:r>
      <w:r>
        <w:rPr>
          <w:rStyle w:val="FootnoteAnchor"/>
          <w:rtl w:val="true"/>
        </w:rPr>
        <w:footnoteReference w:id="34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التقديم أشهر، ويساعده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ابن أبي عمير</w:t>
      </w:r>
      <w:r>
        <w:rPr>
          <w:rStyle w:val="FootnoteAnchor"/>
          <w:rtl w:val="true"/>
        </w:rPr>
        <w:footnoteReference w:id="345"/>
      </w:r>
      <w:r>
        <w:rPr>
          <w:rFonts w:ascii="Amiri" w:hAnsi="Amiri" w:eastAsia="Amiri" w:cs="Amiri"/>
          <w:color w:val="111111"/>
          <w:sz w:val="28"/>
          <w:sz w:val="28"/>
          <w:szCs w:val="28"/>
          <w:rtl w:val="true"/>
          <w:lang w:bidi="ar-SA"/>
        </w:rPr>
        <w:t>المتقدّم، المعتضد بالنصوص الكثيرة</w:t>
      </w:r>
      <w:r>
        <w:rPr>
          <w:rStyle w:val="FootnoteAnchor"/>
          <w:rtl w:val="true"/>
        </w:rPr>
        <w:footnoteReference w:id="346"/>
      </w:r>
      <w:r>
        <w:rPr>
          <w:rFonts w:ascii="Amiri" w:hAnsi="Amiri" w:eastAsia="Amiri" w:cs="Amiri"/>
          <w:color w:val="111111"/>
          <w:sz w:val="28"/>
          <w:sz w:val="28"/>
          <w:szCs w:val="28"/>
          <w:rtl w:val="true"/>
          <w:lang w:bidi="ar-SA"/>
        </w:rPr>
        <w:t>المتضمّنة أنّ الوضوء بعد الغُسل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يقطين المتقدّم</w:t>
      </w:r>
      <w:r>
        <w:rPr>
          <w:rStyle w:val="FootnoteAnchor"/>
          <w:rtl w:val="true"/>
        </w:rPr>
        <w:footnoteReference w:id="347"/>
      </w:r>
      <w:r>
        <w:rPr>
          <w:rFonts w:ascii="Amiri" w:hAnsi="Amiri" w:eastAsia="Amiri" w:cs="Amiri"/>
          <w:color w:val="111111"/>
          <w:sz w:val="28"/>
          <w:sz w:val="28"/>
          <w:szCs w:val="28"/>
          <w:rtl w:val="true"/>
          <w:lang w:bidi="ar-SA"/>
        </w:rPr>
        <w:t>إذ في بعض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 ثمّ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مرسله الأوّل مع الثاني، فلم يثبت وجود القيد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عرفت من عدم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إعراض الأصحاب عن ظاهره، مندفعة بما عرفت من التزام جماعةٍ بمضمونه، فلا مخرج عن ظاهره، وبه يُقيّد إطلاق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الوضوء شرطٌ في صحّة الغُسل أو كماله على القولين‌؟ أم يكون شرطاً لما يشترط بالوضوء كالصلاة ونحوها؟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الثمرة في ما يحرم على الحائض كاللّبث في المساجد،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يشهد للأوّل ظاهر النصوص، إلّاأنّه بعد التدبّر الكامل في النصوص المتضمّنة لمشروعيّة الأغسال المسنونة والواجبة، كغُسل الجمعة والاستحاضة والنفاس وغيرها من الإغسال، يظهر عدم الاشتراط، وأنّه يتعيّن صرف هذه النصوص عن ظاهرها، وحملها على اعتبار الوضوء في الغايات الموقوفة على الوضوء، فإنّها مع كونها في مقام البيان، خالية عن ذكر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نصوص عدم وجوب الوضوء كالصريحة في أنّ مورد النفي والإثبات إجزاء الغُسل عن الوضوء وعدمه، لا اعتباره في صحّته أو كماله، مع أنّ مرتكزات المتشرّعة أيضاً تساعد على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 على عدم اعتبار الوضوء، لو كان على المكلّف أغسالٌ متعدّدة ونوى الجنابة، وليس ذلك من جهة مادلّ على إغناء غُسل الجنابة عن الوضوء، فإنّه لا يدلّ على إغنائه عنه في جميع ما يعتبر فيه الوضوء حتّى الأغسال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تطمئن بعد ملاحظة ما ذكرناه وغيره من القرائن الداخليّة والخارجيّة، بعدم اعتباره في صحّة الغُسل أو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من الترديد في ذلك في غير محلّه، وأنّ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من نفي الإشكال في عدم الشرطيّة، هو الصحيح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9" w:name="pg11796_113459"/>
    </w:p>
    <w:p>
      <w:pPr>
        <w:pStyle w:val="Heading6"/>
        <w:numPr>
          <w:ilvl w:val="5"/>
          <w:numId w:val="1"/>
        </w:numPr>
        <w:rPr/>
      </w:pPr>
      <w:bookmarkStart w:id="170" w:name="__RefHeading___Toc10361858_73709187"/>
      <w:bookmarkStart w:id="171" w:name="_Toc64"/>
      <w:bookmarkEnd w:id="169"/>
      <w:bookmarkEnd w:id="170"/>
      <w:r>
        <w:rPr>
          <w:rtl w:val="true"/>
        </w:rPr>
        <w:t>الخامس عشر</w:t>
      </w:r>
      <w:r>
        <w:rPr>
          <w:rtl w:val="true"/>
        </w:rPr>
        <w:t xml:space="preserve">: </w:t>
      </w:r>
      <w:r>
        <w:rPr>
          <w:rtl w:val="true"/>
        </w:rPr>
        <w:t>ويكره لها اُمور</w:t>
      </w:r>
      <w:bookmarkEnd w:id="171"/>
    </w:p>
    <w:p>
      <w:pPr>
        <w:pStyle w:val="Heading6"/>
        <w:numPr>
          <w:ilvl w:val="5"/>
          <w:numId w:val="1"/>
        </w:numPr>
        <w:rPr/>
      </w:pPr>
      <w:bookmarkStart w:id="172" w:name="__RefHeading___Toc10361860_73709187"/>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ويُكره لها قراءة ما عَدا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 المُصحف، وحمله، والخِضاب، والوطء قبل الغُسل، والإستمتاع منها بما بين السُرّة والرُّكبة،</w:t>
      </w:r>
    </w:p>
    <w:p>
      <w:pPr>
        <w:pStyle w:val="Heading6"/>
        <w:numPr>
          <w:ilvl w:val="5"/>
          <w:numId w:val="1"/>
        </w:numPr>
        <w:rPr/>
      </w:pPr>
      <w:bookmarkStart w:id="174" w:name="__RefHeading___Toc10361862_73709187"/>
      <w:bookmarkStart w:id="175" w:name="_Toc66"/>
      <w:bookmarkEnd w:id="174"/>
      <w:r>
        <w:rPr>
          <w:rtl w:val="true"/>
        </w:rPr>
        <w:t>ما يُكره للحائض ويستحبُّ لها</w:t>
      </w:r>
      <w:bookmarkEnd w:id="175"/>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ما عَدا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لخبر الدعائم</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الحائض قرآناً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وعدّها من السّبعة الذين لا يقرؤن القرآن في خبر السكوني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سبع آيات وأقلّ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الكراهة في الجُنُب بالسَّبع لبعض النصوص، لا يلازم اختصاصها بها في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الكتابة منه، لما تقدّم في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مسّ الكتابة، فالظاهر حرمته لما تقدّم في ذلك المبحث،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 قبل الغُسل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الإستمتاع منها ما 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فيهما مفصّلاً عند التعرّض لحرمة الوطء فراجع</w:t>
      </w:r>
      <w:r>
        <w:rPr>
          <w:rFonts w:eastAsia="Amiri" w:cs="Amiri" w:ascii="Amiri" w:hAnsi="Amiri"/>
          <w:color w:val="111111"/>
          <w:sz w:val="28"/>
          <w:szCs w:val="28"/>
          <w:rtl w:val="true"/>
          <w:lang w:bidi="ar-SA"/>
        </w:rPr>
        <w:t xml:space="preserve">. </w:t>
      </w:r>
      <w:bookmarkStart w:id="176" w:name="pg11796_113460"/>
    </w:p>
    <w:p>
      <w:pPr>
        <w:pStyle w:val="Heading6"/>
        <w:numPr>
          <w:ilvl w:val="5"/>
          <w:numId w:val="1"/>
        </w:numPr>
        <w:rPr/>
      </w:pPr>
      <w:bookmarkStart w:id="177" w:name="__RefHeading___Toc10361864_73709187"/>
      <w:bookmarkStart w:id="178" w:name="_Toc67"/>
      <w:bookmarkEnd w:id="176"/>
      <w:bookmarkEnd w:id="177"/>
      <w:r>
        <w:rPr>
          <w:rtl w:val="true"/>
        </w:rPr>
        <w:t>السادس عشر</w:t>
      </w:r>
      <w:r>
        <w:rPr>
          <w:rtl w:val="true"/>
        </w:rPr>
        <w:t xml:space="preserve">: </w:t>
      </w:r>
      <w:r>
        <w:rPr>
          <w:rtl w:val="true"/>
        </w:rPr>
        <w:t>يستحبّ لها الوضوء لكلّ صلاة فريضةٍ‌، و</w:t>
      </w:r>
      <w:r>
        <w:rPr>
          <w:rtl w:val="true"/>
        </w:rPr>
        <w:t>...</w:t>
      </w:r>
      <w:bookmarkEnd w:id="178"/>
    </w:p>
    <w:p>
      <w:pPr>
        <w:pStyle w:val="Heading6"/>
        <w:numPr>
          <w:ilvl w:val="5"/>
          <w:numId w:val="1"/>
        </w:numPr>
        <w:rPr/>
      </w:pPr>
      <w:bookmarkStart w:id="179" w:name="__RefHeading___Toc10361866_73709187"/>
      <w:bookmarkStart w:id="180" w:name="_Toc6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ويستحبُّ لها الوضوء لكلّ صلاةٍ فريضة، والجلوس في مصلّاها ذاكرةً بقدر صلاتها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0361868_73709187"/>
      <w:bookmarkStart w:id="182" w:name="_Toc69"/>
      <w:bookmarkEnd w:id="181"/>
      <w:r>
        <w:rPr>
          <w:rtl w:val="true"/>
        </w:rPr>
        <w:t>استحباب الوضوء للحائض</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لها الوضوء لكلّ صلاة فريضةٍ‌، والجلوس في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ذاكرةً بقدر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المشروعيّة،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w:t>
      </w:r>
      <w:r>
        <w:rPr>
          <w:rStyle w:val="FootnoteAnchor"/>
          <w:rtl w:val="true"/>
        </w:rPr>
        <w:footnoteReference w:id="354"/>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 وعليها أن تتوضّأ وضوء الصّلاة عند وقت كلّ صلاةٍ‌، ثمّ تقعد في موضعٍ طاهر، فتذكر اللّه عزّ و جلّ وتسبّحه وتهلّله وتحمده كمقدار صلاتها، ثمّ تفرغ لحاجتها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وإنْ كان هو الوجوب، كما عن عليّ بن بابويه</w:t>
      </w:r>
      <w:r>
        <w:rPr>
          <w:rStyle w:val="FootnoteAnchor"/>
          <w:rtl w:val="true"/>
        </w:rPr>
        <w:footnoteReference w:id="355"/>
      </w:r>
      <w:r>
        <w:rPr>
          <w:rFonts w:ascii="Amiri" w:hAnsi="Amiri" w:eastAsia="Amiri" w:cs="Amiri"/>
          <w:color w:val="111111"/>
          <w:sz w:val="28"/>
          <w:sz w:val="28"/>
          <w:szCs w:val="28"/>
          <w:rtl w:val="true"/>
          <w:lang w:bidi="ar-SA"/>
        </w:rPr>
        <w:t xml:space="preserve">الالتزام به، إلّا أنّه يتعيّن حملها على الاستحباب، لاتّفاق الأصحاب على عدم الوجوب، والسيرة المستمرّة إلى زمان المعصوم عليه السلام، والتعبير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وغير ذلك من القرائن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فيما يتعلّق بأحكام الحائض، واللّه سبحانه أعلم بها</w:t>
      </w:r>
      <w:r>
        <w:rPr>
          <w:rFonts w:eastAsia="Amiri" w:cs="Amiri" w:ascii="Amiri" w:hAnsi="Amiri"/>
          <w:color w:val="111111"/>
          <w:sz w:val="28"/>
          <w:szCs w:val="28"/>
          <w:rtl w:val="true"/>
          <w:lang w:bidi="ar-SA"/>
        </w:rPr>
        <w:t>.</w:t>
      </w:r>
      <w:bookmarkStart w:id="183" w:name="pg11796_113461"/>
    </w:p>
    <w:p>
      <w:pPr>
        <w:pStyle w:val="BookText"/>
        <w:rPr/>
      </w:pPr>
      <w:bookmarkEnd w:id="183"/>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الأغلب دمٌ أصفرٌ بارد،</w:t>
      </w:r>
    </w:p>
    <w:p>
      <w:pPr>
        <w:pStyle w:val="Heading4"/>
        <w:numPr>
          <w:ilvl w:val="3"/>
          <w:numId w:val="1"/>
        </w:numPr>
        <w:rPr/>
      </w:pPr>
      <w:bookmarkStart w:id="184" w:name="__RefHeading___Toc10361870_73709187"/>
      <w:bookmarkStart w:id="185" w:name="_Toc70"/>
      <w:bookmarkEnd w:id="184"/>
      <w:r>
        <w:rPr>
          <w:rtl w:val="true"/>
        </w:rPr>
        <w:t>الفصل الثالث في الاستحاضة</w:t>
      </w:r>
      <w:bookmarkEnd w:id="185"/>
    </w:p>
    <w:p>
      <w:pPr>
        <w:pStyle w:val="Heading5"/>
        <w:numPr>
          <w:ilvl w:val="4"/>
          <w:numId w:val="1"/>
        </w:numPr>
        <w:rPr/>
      </w:pPr>
      <w:bookmarkStart w:id="186" w:name="__RefHeading___Toc10361872_73709187"/>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وهي تخرج من عِرْقٍ يُقال له العاذل، كما عن جماعةٍ من اللّغويين التصريح به، ولكن سيجيء كونها أعمّ من ذلك،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مراد الجميع</w:t>
      </w:r>
      <w:r>
        <w:rPr>
          <w:rStyle w:val="FootnoteAnchor"/>
          <w:rtl w:val="true"/>
        </w:rPr>
        <w:footnoteReference w:id="361"/>
      </w:r>
      <w:r>
        <w:rPr>
          <w:rFonts w:ascii="Amiri" w:hAnsi="Amiri" w:eastAsia="Amiri" w:cs="Amiri"/>
          <w:color w:val="111111"/>
          <w:sz w:val="28"/>
          <w:sz w:val="28"/>
          <w:szCs w:val="28"/>
          <w:rtl w:val="true"/>
          <w:lang w:bidi="ar-SA"/>
        </w:rPr>
        <w:t>إذ قد تكون الاستحاضة بصفاتِ الحيض، وقد يعكس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أصفرٌ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اشتباه الحيض بالاستحاضة،</w:t>
      </w:r>
      <w:r>
        <w:rPr>
          <w:rStyle w:val="FootnoteAnchor"/>
          <w:rtl w:val="true"/>
        </w:rPr>
        <w:footnoteReference w:id="362"/>
      </w:r>
      <w:r>
        <w:rPr>
          <w:rFonts w:ascii="Amiri" w:hAnsi="Amiri" w:eastAsia="Amiri" w:cs="Amiri"/>
          <w:color w:val="111111"/>
          <w:sz w:val="28"/>
          <w:sz w:val="28"/>
          <w:szCs w:val="28"/>
          <w:rtl w:val="true"/>
          <w:lang w:bidi="ar-SA"/>
        </w:rPr>
        <w:t>كمصحّح حفص</w:t>
      </w:r>
      <w:r>
        <w:rPr>
          <w:rStyle w:val="FootnoteAnchor"/>
          <w:rtl w:val="true"/>
        </w:rPr>
        <w:footnoteReference w:id="36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وكتب المحقّق</w:t>
      </w:r>
      <w:r>
        <w:rPr>
          <w:rStyle w:val="FootnoteAnchor"/>
          <w:rtl w:val="true"/>
        </w:rPr>
        <w:footnoteReference w:id="370"/>
      </w:r>
      <w:r>
        <w:rPr>
          <w:rFonts w:ascii="Amiri" w:hAnsi="Amiri" w:eastAsia="Amiri" w:cs="Amiri"/>
          <w:color w:val="111111"/>
          <w:sz w:val="28"/>
          <w:sz w:val="28"/>
          <w:szCs w:val="28"/>
          <w:rtl w:val="true"/>
          <w:lang w:bidi="ar-SA"/>
        </w:rPr>
        <w:t>، والمصنّف</w:t>
      </w:r>
      <w:r>
        <w:rPr>
          <w:rStyle w:val="FootnoteAnchor"/>
          <w:rtl w:val="true"/>
        </w:rPr>
        <w:footnoteReference w:id="371"/>
      </w:r>
      <w:r>
        <w:rPr>
          <w:rFonts w:ascii="Amiri" w:hAnsi="Amiri" w:eastAsia="Amiri" w:cs="Amiri"/>
          <w:color w:val="111111"/>
          <w:sz w:val="28"/>
          <w:sz w:val="28"/>
          <w:szCs w:val="28"/>
          <w:rtl w:val="true"/>
          <w:lang w:bidi="ar-SA"/>
        </w:rPr>
        <w:t>، والشهيدين</w:t>
      </w:r>
      <w:r>
        <w:rPr>
          <w:rStyle w:val="FootnoteAnchor"/>
          <w:rtl w:val="true"/>
        </w:rPr>
        <w:footnoteReference w:id="372"/>
      </w:r>
      <w:r>
        <w:rPr>
          <w:rFonts w:ascii="Amiri" w:hAnsi="Amiri" w:eastAsia="Amiri" w:cs="Amiri"/>
          <w:color w:val="111111"/>
          <w:sz w:val="28"/>
          <w:sz w:val="28"/>
          <w:szCs w:val="28"/>
          <w:rtl w:val="true"/>
          <w:lang w:bidi="ar-SA"/>
        </w:rPr>
        <w:t>والمحقّق الثاني</w:t>
      </w:r>
      <w:r>
        <w:rPr>
          <w:rStyle w:val="FootnoteAnchor"/>
          <w:rtl w:val="true"/>
        </w:rPr>
        <w:footnoteReference w:id="37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الأولين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تراه بعد أيّام الحيض أو أيّام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دمها يكون رقيقاً تعلوه صُفرة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من النصوص على أنّ دمها فاسدٌ باردٌ</w:t>
      </w:r>
      <w:r>
        <w:rPr>
          <w:rStyle w:val="FootnoteAnchor"/>
          <w:rtl w:val="true"/>
        </w:rPr>
        <w:footnoteReference w:id="381"/>
      </w:r>
      <w:r>
        <w:rPr>
          <w:rFonts w:ascii="Amiri" w:hAnsi="Amiri" w:eastAsia="Amiri" w:cs="Amiri"/>
          <w:color w:val="111111"/>
          <w:sz w:val="28"/>
          <w:sz w:val="28"/>
          <w:szCs w:val="28"/>
          <w:rtl w:val="true"/>
          <w:lang w:bidi="ar-SA"/>
        </w:rPr>
        <w:t>، لملازمة الفساد للرِّقّة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تضمّن توصيف الحيض بكونه دماً عَبيطاً</w:t>
      </w:r>
      <w:r>
        <w:rPr>
          <w:rStyle w:val="FootnoteAnchor"/>
          <w:rtl w:val="true"/>
        </w:rPr>
        <w:footnoteReference w:id="382"/>
      </w:r>
      <w:r>
        <w:rPr>
          <w:rFonts w:ascii="Amiri" w:hAnsi="Amiri" w:eastAsia="Amiri" w:cs="Amiri"/>
          <w:color w:val="111111"/>
          <w:sz w:val="28"/>
          <w:sz w:val="28"/>
          <w:szCs w:val="28"/>
          <w:rtl w:val="true"/>
          <w:lang w:bidi="ar-SA"/>
        </w:rPr>
        <w:t>، في مقام التمييز بينه وبين دم الاستحاضة، فإنّ العبيط هو الصحيح الجديد، والدّم ما دام كذلك له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يخرج 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قوّة، فقد اعتبره المصنّف رحمه الله</w:t>
      </w:r>
      <w:r>
        <w:rPr>
          <w:rStyle w:val="FootnoteAnchor"/>
          <w:rtl w:val="true"/>
        </w:rPr>
        <w:footnoteReference w:id="383"/>
      </w:r>
      <w:r>
        <w:rPr>
          <w:rFonts w:ascii="Amiri" w:hAnsi="Amiri" w:eastAsia="Amiri" w:cs="Amiri"/>
          <w:color w:val="111111"/>
          <w:sz w:val="28"/>
          <w:sz w:val="28"/>
          <w:szCs w:val="28"/>
          <w:rtl w:val="true"/>
          <w:lang w:bidi="ar-SA"/>
        </w:rPr>
        <w:t>في بعض كتبه، وعن بعضٍ إستظهار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توصيف دم الحيض في مقام التمييز بينه وبين دم الاستحاضة بالدفع، كصحيح حفص المتقدّم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من التوقّف فيه، لعدم الظفر بمستنده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بعد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ولا كلام، بل هو المتيقّن ممّا حُكم بكونه إستحاضة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يستمرّ بها الدّم</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بعد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كلام ولا خلاف أيضاً في ترتّب أحكام الاستحاضة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النصوص</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 الدّم بعد الولادة، ويتجاوز عن 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أعثر على ما يدلّ على استحاضيّته بالخصوص في النصوص</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يدخل ذلك في الكبرى الكليّة التي صرّح غير واحدٍ في جملةٍ من الكتب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وجملة من كتب المصنّف رحمه الله</w:t>
      </w:r>
      <w:r>
        <w:rPr>
          <w:rStyle w:val="FootnoteAnchor"/>
          <w:rtl w:val="true"/>
        </w:rPr>
        <w:footnoteReference w:id="3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Pr>
        <w:footnoteReference w:id="39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نسبته إلى الفقهاء، من أنّهم عرّفوها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دمٍ ليس من القْرح أو الجُرح أو العُذرة، وليس بحيضٍ ولا نفاسٍ‌، فهو محكومٌ بالاستحاضة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بما إذا كان الدَّم بصفة 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القول في المقام إنّ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فيما عُلم عدم كون الدّم من الأقسام المذكورة ولو بأمارةٍ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ليس مرادهم بذلك بيان قضيّة خارجيّة واقعيّة غير مربوطة بالشارع، كما أنّه ليس مرادهم بيان ذلك بحسب ما يُستفاد من كلام اللّغويين في تفسير دم الاستحاضة، بل مرادهم بيان قاعدة شرعيّة دالّة على أنّ صاحبة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الدّماء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مستحاضة، أو في حكمها، بناءً على أنّ الاستحاضة هي الدّم المتّصل بدم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فيشهد لها ما ذكر بعض المحقّقين رحمهم الله</w:t>
      </w:r>
      <w:r>
        <w:rPr>
          <w:rStyle w:val="FootnoteAnchor"/>
          <w:rtl w:val="true"/>
        </w:rPr>
        <w:footnoteReference w:id="40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يظهر بالتصفّح في كلمات الأصحاب، بحيث لا يشوبه شائبة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الإرتياب، أنّ الدّم الذي تختصّ برؤيته المرأة من حيث كونها امرأة لا من حيث كونها مقروحة أو مجروحة، إذا رأته أقلّ من ثلاثة أيّام، ولم يكن من دم النِّفاس، أو رأته بعد اليأس، بل وكذا في حال الصِّغر، كونه بحكم دم الاستحاضة في الجملة من المسلّمات، بل من ضروريّات الفقه، بحيث لم يُخالف فيه أحدٌ على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دليلاً على استكشاف رأي المعصوم، خصوصاً في مثل هذا الفرع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 وإن انقطع الدّم بعدما رأته يوماً أو يومين، إغتسلت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أن تعيد الصَّلاة تلك اليومين التي تركتها لأنّها لم تكن حائضاً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رأت الدّم عشرة أيّام، ثمّ رأت الدّم بعد ذلك، أتُمسِك عن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يونس، عن الإمام الصادق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ترى الدّم ثلاثة أيّام أو أربعة أيّام‌؟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بينها وبين شهر، فإن انقطع عنها الدّم، وإلّا فهي بمنزلة المستحاضة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 الطويل</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المستحاضة‌؟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عرق عابر أو ركضة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زريق</w:t>
      </w:r>
      <w:r>
        <w:rPr>
          <w:rStyle w:val="FootnoteAnchor"/>
          <w:rtl w:val="true"/>
        </w:rPr>
        <w:footnoteReference w:id="4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من فتقٍ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مصحّح الصحَّاف</w:t>
      </w:r>
      <w:r>
        <w:rPr>
          <w:rStyle w:val="FootnoteAnchor"/>
          <w:rtl w:val="true"/>
        </w:rPr>
        <w:footnoteReference w:id="412"/>
      </w:r>
      <w:r>
        <w:rPr>
          <w:rFonts w:ascii="Amiri" w:hAnsi="Amiri" w:eastAsia="Amiri" w:cs="Amiri"/>
          <w:color w:val="111111"/>
          <w:sz w:val="28"/>
          <w:sz w:val="28"/>
          <w:szCs w:val="28"/>
          <w:rtl w:val="true"/>
          <w:lang w:bidi="ar-SA"/>
        </w:rPr>
        <w:t>الوارد في الحامل بعدما يمضي عشرون يوماً،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ليس من الرَّحم، ولا من الطمث، فلتتوضّأ وتحتش بكُرسفٍ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منها أنّ ما تراه المرأة غير المجروحة والمقروحة، إن لم يكن حيضاً فهو دم الاستحاضة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صاحبته بحكم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منها أنّ كلّ دم يخرج من الرّحم، ولو كان من جُرحٍ كائن في الرّحم، محكومٌ بالاستحاضة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الكبرى الكليّة ثابتة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مبحث اعتبار التوالي أنّه عند تردّد الدّم بين الحيض والاستحاضة، وعدم وجود أمارةٍ كاشفة عن أحدهما، يُحكم بكونه دم الاستحاضة، فراجع</w:t>
      </w:r>
      <w:r>
        <w:rPr>
          <w:rFonts w:eastAsia="Amiri" w:cs="Amiri" w:ascii="Amiri" w:hAnsi="Amiri"/>
          <w:color w:val="111111"/>
          <w:sz w:val="28"/>
          <w:szCs w:val="28"/>
          <w:rtl w:val="true"/>
          <w:lang w:bidi="ar-SA"/>
        </w:rPr>
        <w:t>.</w:t>
      </w:r>
      <w:r>
        <w:rPr>
          <w:rStyle w:val="FootnoteAnchor"/>
        </w:rPr>
        <w:footnoteReference w:id="41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احتملت كونه غيرهما،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بكونه دم استحاضة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به مطلقاً، ما لم يدلّ دليلٌ 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واجداً لصفات الاستحاضة فيُحكم بها، وعدمه فلا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احتمال الجُرح أو القُرح، وبين سائر الاحتمالات، فلا يعتنى في الثاني، أي يُحكم بالاستحاضة دون الأوّل، لاعتناء الشارع به كما عرفته في باب الحيض دون سائر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ذلك أيضاً بين ما لو كان الاحتمال ناشئاً من العلم بوجود قُرحٍ أو جُرح وبين غيره، فلا يعتنى بالاحتمال مطلقاً، إلّاعند العلم بوجود القُرح أو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دون الثلاثة فلا يُحكم بها، وبين غيره فيحكم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وبنصوص الإستظهار، والمستمرّة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أصالة عدم غيرها، فهي مضافاً إلى أنّها لا تثبت كونه منها، معارضة </w:t>
      </w:r>
    </w:p>
    <w:p>
      <w:pPr>
        <w:pStyle w:val="BookText"/>
        <w:rPr/>
      </w:pPr>
      <w:r>
        <w:rPr>
          <w:rFonts w:ascii="Amiri" w:hAnsi="Amiri" w:eastAsia="Amiri" w:cs="Amiri"/>
          <w:color w:val="111111"/>
          <w:sz w:val="28"/>
          <w:sz w:val="28"/>
          <w:szCs w:val="28"/>
          <w:rtl w:val="true"/>
          <w:lang w:bidi="ar-SA"/>
        </w:rPr>
        <w:t>بأصالة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فهي مختصّة بمواردها، والتعدّي عنها يحتاج إلى إلغاء خصوصيّة الموارد، وهو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اختصاصها بما لو دار الأمر بين الحيض والاستحاضة، وعدم احتمال وجود دمٍ آخر، قريبة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حجيّة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أوّل مبحث الحيض،</w:t>
      </w:r>
      <w:r>
        <w:rPr>
          <w:rStyle w:val="FootnoteAnchor"/>
          <w:rtl w:val="true"/>
        </w:rPr>
        <w:footnoteReference w:id="415"/>
      </w:r>
      <w:r>
        <w:rPr>
          <w:rFonts w:ascii="Amiri" w:hAnsi="Amiri" w:eastAsia="Amiri" w:cs="Amiri"/>
          <w:color w:val="111111"/>
          <w:sz w:val="28"/>
          <w:sz w:val="28"/>
          <w:szCs w:val="28"/>
          <w:rtl w:val="true"/>
          <w:lang w:bidi="ar-SA"/>
        </w:rPr>
        <w:t>من عدم شمول تلك النصوص لما دار الأمر بين الحيض والاستحاضة مطلقاً، فضلاً عمّا لو تردّد بينهما وبين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 الواردة في إشتباه دم الحيض بدم القُرح أو الجُرح، أنّ الشارع إعتنى باحتماله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يصلح أنْ يكون شاهداً لعدم الاعتناء بسائر الاحتمالات، إلّا أنْ يكون المراد ما يرجع إلى الكبرى الكليّة المتقدّمة، وعليه فيخرج عن محلّ الكلام،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القُرح أو الجُرح، إذا لم تعلم بوجوده، ومع العلم لا يجري الأصل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جريان هذا الأصل، لعدم صلاحيّته لإثبات كونه استحاضة، ومعارضته بأصالة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في غير محلّه؛ إذ على فرض جريان هذا الأصل، وعدم المعارض له، يجري حتّى مع العلم بوجود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القُرح أو الجرح؛ إذ ذلك لا يوجب العلم بكون الدّم منه حتّى لا تجري أصالة عدم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مرسل يونس</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رأتِ الدّم يوماً أو يومين وانقطع‌؟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الحيض، إنّما كان من علّةٍ أو من قُرحة في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الجوف حيث لم يُحكم بأنّه استحاضة، وأمّا في غير ذلك فالمرجع هي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حجيّة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واردٌ في مقام بيان دفع احتمال الحيض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المحقّق الهمداني رحمه الله</w:t>
      </w:r>
      <w:r>
        <w:rPr>
          <w:rStyle w:val="FootnoteAnchor"/>
          <w:rtl w:val="true"/>
        </w:rPr>
        <w:footnoteReference w:id="417"/>
      </w:r>
      <w:r>
        <w:rPr>
          <w:rFonts w:ascii="Amiri" w:hAnsi="Amiri" w:eastAsia="Amiri" w:cs="Amiri"/>
          <w:color w:val="111111"/>
          <w:sz w:val="28"/>
          <w:sz w:val="28"/>
          <w:szCs w:val="28"/>
          <w:rtl w:val="true"/>
          <w:lang w:bidi="ar-SA"/>
        </w:rPr>
        <w:t>اختار قولاً يرجع إلى القول الخامس، وهو عدم الاعتناء مطلقاً، بشرط أنْ يكون منشأ سائر الاحتمالات وجود علّةٍ محقّقة مقتضية لقذف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العقلاء، بدعوى أنّك إذا راجعتَ العُرف، لا تكاد تجد امرأةً تعتني عند خروج الدّم من فرجها، ما لم تكن مجروحة أو مقروحة، باحتمال كونه غير الدّم الطبيعي الذي تختصّ برؤيته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السلامة النافية لسائر الاحتمالات، القاضية بكونه الدّم الأصلي الذي تقتضيه الطبيعة، وجَعْلها سِرّ بناء العقلاء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الحيض، عند التعرّض لقاعدة الإمكان وأدلّتها،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هذا أصل لا يثبت به كون الدّم حيضاً أو استحاضة، فراجع</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نعم، ما ذكره من بناء العقلاء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البناء العقلائي عليه السيرة المستمرّة القطعيّة، الكاشفة عن رأي المعصوم عليه السلام، مع أنّ النصوص المتقدّمة في المقام الأوّل، تدلّ على الحكم بالاستحاضة بمجرّد نفي الحيض، ومقتضى إطلاقها الحكم بها حتّى مع احتمال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بوجود علّةٍ‌، يمكن دعوى عدم إطلاقها، بنحوٍ تشمل تلك الصورة، لعدم كونها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بيان حكم ما تردّد أمره بين الحيض والاستحاضة وغيرهما، وإنّما هي في مقام بيان ما تردّد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في مقام بيان الوظيفة الفعليّة، ومَنْ هي مورد تلك النصوص، تحتمل غيرهما غالباً، يكون حملها على صورة العلم بعدم كونه غيرهما، حَمْلاً على فردٍ نادر، وهو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الاستحاضة، هو الدّم الذي لا يكون حيضاً ولا نفاساً ولا من قُرحٍ ولا جرح ولا عُذرة، وعليه فيمكن إحرازه بأصالة عدم 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لو كان ذلك، كان الأصل جارياً بلا معارض، ولكن بما أنّه لا يكون لسان أدلّة القاعدة ذلك، فلا يصحّ الرجوع إلى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بالأشكال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المحقّق الهمداني رحمه الله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الثاني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فما تراه في أقلّ من ثلاثة أيّام، أو بعد اليأس، أو مع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اجتماعه مع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بالاستحاضة، إذا لم تعلم كونها مقروحة أو مجروحة</w:t>
      </w:r>
      <w:r>
        <w:rPr>
          <w:rFonts w:eastAsia="Amiri" w:cs="Amiri" w:ascii="Amiri" w:hAnsi="Amiri"/>
          <w:color w:val="111111"/>
          <w:sz w:val="28"/>
          <w:szCs w:val="28"/>
          <w:rtl w:val="true"/>
          <w:lang w:bidi="ar-SA"/>
        </w:rPr>
        <w:t>.</w:t>
      </w:r>
      <w:bookmarkStart w:id="188" w:name="pg11796_113473"/>
    </w:p>
    <w:p>
      <w:pPr>
        <w:pStyle w:val="Heading5"/>
        <w:numPr>
          <w:ilvl w:val="4"/>
          <w:numId w:val="1"/>
        </w:numPr>
        <w:rPr/>
      </w:pPr>
      <w:bookmarkStart w:id="189" w:name="__RefHeading___Toc10361874_73709187"/>
      <w:bookmarkStart w:id="190" w:name="_Toc72"/>
      <w:bookmarkEnd w:id="188"/>
      <w:bookmarkEnd w:id="189"/>
      <w:r>
        <w:rPr>
          <w:rtl w:val="true"/>
        </w:rPr>
        <w:t>إجتماع الحمل مع الحيض</w:t>
      </w:r>
      <w:bookmarkEnd w:id="190"/>
    </w:p>
    <w:p>
      <w:pPr>
        <w:pStyle w:val="BookText"/>
        <w:rPr/>
      </w:pPr>
      <w:r>
        <w:rPr>
          <w:rFonts w:ascii="Amiri" w:hAnsi="Amiri" w:eastAsia="Amiri" w:cs="Amiri"/>
          <w:color w:val="111111"/>
          <w:sz w:val="28"/>
          <w:sz w:val="28"/>
          <w:szCs w:val="28"/>
          <w:rtl w:val="true"/>
          <w:lang w:bidi="ar-SA"/>
        </w:rPr>
        <w:t>يدور البحث في المقام عن إمكان اجتماع الحيض مع الحمل وعدمه‌؟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جماعة إلى اجتماع الحيض مع الحمل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وكثيرٌ من كتب المصنّف رحمه الله</w:t>
      </w:r>
      <w:r>
        <w:rPr>
          <w:rStyle w:val="FootnoteAnchor"/>
          <w:rtl w:val="true"/>
        </w:rPr>
        <w:footnoteReference w:id="421"/>
      </w:r>
      <w:r>
        <w:rPr>
          <w:rFonts w:ascii="Amiri" w:hAnsi="Amiri" w:eastAsia="Amiri" w:cs="Amiri"/>
          <w:color w:val="111111"/>
          <w:sz w:val="28"/>
          <w:sz w:val="28"/>
          <w:szCs w:val="28"/>
          <w:rtl w:val="true"/>
          <w:lang w:bidi="ar-SA"/>
        </w:rPr>
        <w:t>والشهيدين</w:t>
      </w:r>
      <w:r>
        <w:rPr>
          <w:rStyle w:val="FootnoteAnchor"/>
          <w:rtl w:val="true"/>
        </w:rPr>
        <w:footnoteReference w:id="422"/>
      </w:r>
      <w:r>
        <w:rPr>
          <w:rFonts w:ascii="Amiri" w:hAnsi="Amiri" w:eastAsia="Amiri" w:cs="Amiri"/>
          <w:color w:val="111111"/>
          <w:sz w:val="28"/>
          <w:sz w:val="28"/>
          <w:szCs w:val="28"/>
          <w:rtl w:val="true"/>
          <w:lang w:bidi="ar-SA"/>
        </w:rPr>
        <w:t>والمحقّق الثاني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إلى إمكان اجتماعه إذا كان قبل الإستبانة،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وعن الأوّل الإجماع عليه، وعن الثاني نسبته إلى الأكثر بين المحصّلين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وآخرون إلى إمكانه إذا كان بصفات الحيض، كما عن الصدوق</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وجماعة رابعة فيما إذا كان قبل مُضيّ عشرين يوماً، وإلّا فيحكم بكونه استحاضة،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وجماعة خامسة إلى عدم إمكان الجمع مطلقاً، كما عن المفيد</w:t>
      </w:r>
      <w:r>
        <w:rPr>
          <w:rStyle w:val="FootnoteAnchor"/>
          <w:rtl w:val="true"/>
        </w:rPr>
        <w:footnoteReference w:id="432"/>
      </w:r>
      <w:r>
        <w:rPr>
          <w:rFonts w:ascii="Amiri" w:hAnsi="Amiri" w:eastAsia="Amiri" w:cs="Amiri"/>
          <w:color w:val="111111"/>
          <w:sz w:val="28"/>
          <w:sz w:val="28"/>
          <w:szCs w:val="28"/>
          <w:rtl w:val="true"/>
          <w:lang w:bidi="ar-SA"/>
        </w:rPr>
        <w:t>وابن الجنيد</w:t>
      </w:r>
      <w:r>
        <w:rPr>
          <w:rStyle w:val="FootnoteAnchor"/>
          <w:rtl w:val="true"/>
        </w:rPr>
        <w:footnoteReference w:id="43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Style w:val="FootnoteAnchor"/>
          <w:rtl w:val="true"/>
        </w:rPr>
        <w:footnoteReference w:id="435"/>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ترى الدّم تترك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الحُبلى ربما قدفت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Style w:val="FootnoteAnchor"/>
          <w:rtl w:val="true"/>
        </w:rPr>
        <w:footnoteReference w:id="436"/>
      </w:r>
      <w:r>
        <w:rPr>
          <w:rFonts w:ascii="Amiri" w:hAnsi="Amiri" w:eastAsia="Amiri" w:cs="Amiri"/>
          <w:color w:val="111111"/>
          <w:sz w:val="28"/>
          <w:sz w:val="28"/>
          <w:szCs w:val="28"/>
          <w:rtl w:val="true"/>
          <w:lang w:bidi="ar-SA"/>
        </w:rPr>
        <w:t>،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ترى الدّم كما كانت ترى أيّام حيضها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 فإذا طهرت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وتماميّة الاستدلال المذكور تتوقّف على عدم تماميّة ما استدلّ به على الأقوال الاُخر، كما لا يخفى، وسيأتي الكلام فيه فانتظر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 الإستبانة مُضيّ عشرين يوماً، فسيأتي الكلام فيه، وإلّا فلا دليل عليه، بل يخالفه ويردّه صحيح حميد بن المثنّى</w:t>
      </w:r>
      <w:r>
        <w:rPr>
          <w:rStyle w:val="FootnoteAnchor"/>
          <w:rtl w:val="true"/>
        </w:rPr>
        <w:footnoteReference w:id="43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الحُبلى قد استبان ذلك منها، ترى كما ترى الحائض من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إن كان دماً كثيراً فلا تُصلين، وإنْ كان قليلاً فلتغتسل عند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ابن مسلم، عن أحدهما عليهما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أبي المَغرا، عن إسحاق بن عمّار</w:t>
      </w:r>
      <w:r>
        <w:rPr>
          <w:rStyle w:val="FootnoteAnchor"/>
          <w:rtl w:val="true"/>
        </w:rPr>
        <w:footnoteReference w:id="4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الحُبلى ترى الدّم اليوم واليومين‌؟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وإن كان صفرة فلتغتسل عند كلِّ صلاتين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وبخبر ابن مسلم</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قد استبان حبلها، ترى ما ترى الحائض من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إن كان دماً كثيراً أحمر فلا تُصلّي، وإن كان قليلاً أصفر فليس عليها إلّاالوضوء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أبي المَغرا</w:t>
      </w:r>
      <w:r>
        <w:rPr>
          <w:rStyle w:val="FootnoteAnchor"/>
          <w:rtl w:val="true"/>
        </w:rPr>
        <w:footnoteReference w:id="441"/>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الحُبلى قد استبان ذلك منها، ترى كما ترى الحائض من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إن كان دماً كثيراً فلا تصلين، وإن كان قليلاً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الكثرة في هذه النصوص، الغلظة وقوّة الدفع والثخانة التي هي من صفات الحيض، والمراد من القلّة ما قابلها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وإنْ دلّت على هذا القول، وأنّه لا أماريّة لعادتها مع الحمل، وما ذكره الشيخ الأعظم رحمه الله</w:t>
      </w:r>
      <w:r>
        <w:rPr>
          <w:rStyle w:val="FootnoteAnchor"/>
          <w:rtl w:val="true"/>
        </w:rPr>
        <w:footnoteReference w:id="442"/>
      </w:r>
      <w:r>
        <w:rPr>
          <w:rFonts w:ascii="Amiri" w:hAnsi="Amiri" w:eastAsia="Amiri" w:cs="Amiri"/>
          <w:color w:val="111111"/>
          <w:sz w:val="28"/>
          <w:sz w:val="28"/>
          <w:szCs w:val="28"/>
          <w:rtl w:val="true"/>
          <w:lang w:bidi="ar-SA"/>
        </w:rPr>
        <w:t>من أنّها تدلّ على عدم جواز التحيّض بمجرّد الرؤية في الفاقد، لا على عدم كونه حيضاً واقعاً، غير ظاهر، بل الظاهر خلافه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بقرينة ما في جوابه عليه السلام في المصحّح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ذينك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يعارضها ما استدلّ به على القول الرابع، وهو ما رواه الشيخ رحمه الله في الصحيح، عن الحسين بن نعيم الصحَّاف،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ولدي ترى الدّم وهي حامل، كيف تصنع بالصلاة‌؟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بعدما يمضي عشرون يوماً، من الوقت الذي كانت ترى فيه الدّم، من الشهر الذي كانت تقعد فيه، فإنّ ذلك ليس من الرّحم، ولا من الطمث، فلتتوضّأ وتَحتشي بكُرسفٍ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 الحامل الدّم قبل الوقت الذي كانت ترى فيه الدّم بقليلٍ‌، أو في الوقت من ذلك الشهر، فإنّه من الحيضة، فلتُمسك عن الصَّلاة عدد أيّامها التي كان تقعد في حيضها، فإن انقطع عنها الدّم قبل ذلك فلتغتسل ولتُصلِّ‌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 الطائفتين عموم من وجه، وهما معاً تدلّان على عدم حيضيّة المرئيّ بعد عشرين يوماً، إذا كان فاقداً للصفات، ومورد التعارض هو المرئيّ بعد العشرين واجداً للصفات، والمرئيّ في العادة بدون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دلالة كلّ واحدة منها إنّما تكون بالإطلاق فتتساقطان، ويُرجع إلى عموم ما دلَّ على أماريّة الصفات، وما دلَّ على أنّ الصفرة في أيّام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إحداث قولٍ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ذلك، بعد كون الاختلاف في الفتوى من جهة الاختلاف في كيفيّة الجمع بين النصوص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الذين أطلقوا الحكم باجتماع الحمل مع الحيض، أرادوا إثبات إمكان اجتماعهما، وليسوا في مقام البيان من هذه الجهة، 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يصحّ أن يقال إنّهم حكموا بالاجتماع بقولٍ مطلق من غير تقييد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تراه الحامل إنْ كان بصفات الحيض يُحكم به، وإلّا فإن كان في العادة فكذلك، وإن كان بعد مُضيّ العشرين فلا يحكم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صحّة طلاق الحامل ولو في حال الدّم، بضميمة ما دلَّ على عدم صحّة طلاق الحائض، فإنّ نتيجتهما أنّ الحامل لا تحيض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أنّ السبايا تستبرء أرحامهن بحيضة</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الجواري المنتقلة ببيع</w:t>
      </w:r>
      <w:r>
        <w:rPr>
          <w:rStyle w:val="FootnoteAnchor"/>
          <w:rtl w:val="true"/>
        </w:rPr>
        <w:footnoteReference w:id="445"/>
      </w:r>
      <w:r>
        <w:rPr>
          <w:rFonts w:ascii="Amiri" w:hAnsi="Amiri" w:eastAsia="Amiri" w:cs="Amiri"/>
          <w:color w:val="111111"/>
          <w:sz w:val="28"/>
          <w:sz w:val="28"/>
          <w:szCs w:val="28"/>
          <w:rtl w:val="true"/>
          <w:lang w:bidi="ar-SA"/>
        </w:rPr>
        <w:t>، أو غيره الموطوءة بالزنا، والأمَة المحلّلة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السكوني، عن جعفر، عن أبيه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أنّها إذا رأت الدّم وهي حامل لا تَدَع الصَّلاة إلّاأن ترى على رأس الولد إذا ضربها طلقٌ‌، ورأت الدّم، تركت الصَّلاة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حميد بن المُثنّى،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الحُبلى ترى الدفقة والدفقتين من الدّم في الأيّام وفي الشهر والشهرين‌؟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تمسك هذه عن الصَّلاة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مقرن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 عبد اللّه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سلمان عليّاً عليه السلام عن رزق الولد في بطن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حبسَ عليها الحيضة فجعلها رزقة في بطن اُمّه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تمّ الإجماع على صحّة طلاق الحامل، ولو في حال الدّم، يكون هو المقيّد لإطلاق ما دلَّ على عدم صحّة طلاق الحائض، ولا يصحّ التمسّك بإطلاقه لإثبات عدم اجتماع الحيض مع الحمل، لأنّ أصالة العموم أو الإطلاق، إنّما يُرجع إليها بعد إحراز الموضوع والشكّ في الحكم، ولايرجع إليها لإثبات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لابدَّ من الخروج عنه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 في السبايا والجواري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أنّ غلبة عدم اجتماع الحمل مع الحيض خارجاً، أمارة على أنّ من تحيّضت غير حامل، فهي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تدلّ على لزوم التحيّض عند رؤية الدّم على كلّ تقدير، ولا تدلّ على لزوم قضاء ما تركته من العبادات بعد استبانة الحمل، كي تدلّ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بعضها مشتملٌ على الإستبراء بثلاثة قروء، ممّا يدلّ على جواز اجتماع حيضة واحدة واثنتين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بضعف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الأصحاب على العمل بروايات السكوني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بعض الأعلام</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 القضيّة الغالبيّة الإمتنانيّة، وبأنّ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في الجواب عنه أن يُقال إنّ هذا الخبر يتعيّن طرحه لمعارضته مع النصوص المتقدّمة، لأصحيّة سند تلك النصوص وموافقتها للمشهور ومخالفتها للعامّة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ما في الخبرين الأخيرين على فرض تماميّة دلالتهما، مع أنّ صحيح حميد مطلق يمكن تقييده بما تقدّم، وخبر مقرن يدلّ على أنّ حبس الحيضة إنّما يكون لرزق الولد، وهذ لا ينافي بقاء مقدار الكفاية ودفع الزائد</w:t>
      </w:r>
      <w:r>
        <w:rPr>
          <w:rFonts w:eastAsia="Amiri" w:cs="Amiri" w:ascii="Amiri" w:hAnsi="Amiri"/>
          <w:color w:val="111111"/>
          <w:sz w:val="28"/>
          <w:szCs w:val="28"/>
          <w:rtl w:val="true"/>
          <w:lang w:bidi="ar-SA"/>
        </w:rPr>
        <w:t>.</w:t>
      </w:r>
      <w:bookmarkStart w:id="191" w:name="pg11796_113480"/>
    </w:p>
    <w:p>
      <w:pPr>
        <w:pStyle w:val="Heading5"/>
        <w:numPr>
          <w:ilvl w:val="4"/>
          <w:numId w:val="1"/>
        </w:numPr>
        <w:rPr/>
      </w:pPr>
      <w:bookmarkStart w:id="192" w:name="__RefHeading___Toc10361876_73709187"/>
      <w:bookmarkStart w:id="193" w:name="_Toc73"/>
      <w:bookmarkEnd w:id="191"/>
      <w:bookmarkEnd w:id="192"/>
      <w:r>
        <w:rPr>
          <w:rtl w:val="true"/>
        </w:rPr>
        <w:t>أقسام الاستحاضة</w:t>
      </w:r>
      <w:bookmarkEnd w:id="1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كادت تكون إجماعاً أنّ لدم الاستحاضة مراتب 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ووسطى‌،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ملاحظة مجموع الأخبار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ستعرف أنّ ما عن ابن أبي عقيل</w:t>
      </w:r>
      <w:r>
        <w:rPr>
          <w:rStyle w:val="FootnoteAnchor"/>
          <w:rtl w:val="true"/>
        </w:rPr>
        <w:footnoteReference w:id="451"/>
      </w:r>
      <w:r>
        <w:rPr>
          <w:rFonts w:ascii="Amiri" w:hAnsi="Amiri" w:eastAsia="Amiri" w:cs="Amiri"/>
          <w:color w:val="111111"/>
          <w:sz w:val="28"/>
          <w:sz w:val="28"/>
          <w:szCs w:val="28"/>
          <w:rtl w:val="true"/>
          <w:lang w:bidi="ar-SA"/>
        </w:rPr>
        <w:t>من إنكار حَدَثيّة المرتبة الاُولى، وأنّها لا توجب وضوءً ولا غُسلاً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ابن الجنيد</w:t>
      </w:r>
      <w:r>
        <w:rPr>
          <w:rStyle w:val="FootnoteAnchor"/>
          <w:rtl w:val="true"/>
        </w:rPr>
        <w:footnoteReference w:id="4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Style w:val="FootnoteAnchor"/>
          <w:rtl w:val="true"/>
        </w:rPr>
        <w:footnoteReference w:id="4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Style w:val="FootnoteAnchor"/>
          <w:rtl w:val="true"/>
        </w:rPr>
        <w:footnoteReference w:id="454"/>
      </w:r>
      <w:r>
        <w:rPr>
          <w:rFonts w:ascii="Amiri" w:hAnsi="Amiri" w:eastAsia="Amiri" w:cs="Amiri"/>
          <w:color w:val="111111"/>
          <w:sz w:val="28"/>
          <w:sz w:val="28"/>
          <w:szCs w:val="28"/>
          <w:rtl w:val="true"/>
          <w:lang w:bidi="ar-SA"/>
        </w:rPr>
        <w:t>من إدخال المرتبة الثانية في الثالثة، فأوجبوا تعدّد الأغسال فيها، غير سديد، وسيمرّ عليك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 الأصحاب في بيان ضابط المراتب الثلاث</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الصدوقين</w:t>
      </w:r>
      <w:r>
        <w:rPr>
          <w:rStyle w:val="FootnoteAnchor"/>
          <w:rtl w:val="true"/>
        </w:rPr>
        <w:footnoteReference w:id="45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وابن زُهرة</w:t>
      </w:r>
      <w:r>
        <w:rPr>
          <w:rStyle w:val="FootnoteAnchor"/>
          <w:rtl w:val="true"/>
        </w:rPr>
        <w:footnoteReference w:id="457"/>
      </w:r>
      <w:r>
        <w:rPr>
          <w:rFonts w:ascii="Amiri" w:hAnsi="Amiri" w:eastAsia="Amiri" w:cs="Amiri"/>
          <w:color w:val="111111"/>
          <w:sz w:val="28"/>
          <w:sz w:val="28"/>
          <w:szCs w:val="28"/>
          <w:rtl w:val="true"/>
          <w:lang w:bidi="ar-SA"/>
        </w:rPr>
        <w:t>، والحلّي</w:t>
      </w:r>
      <w:r>
        <w:rPr>
          <w:rStyle w:val="FootnoteAnchor"/>
          <w:rtl w:val="true"/>
        </w:rPr>
        <w:footnoteReference w:id="45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وضعت </w:t>
      </w:r>
    </w:p>
    <w:p>
      <w:pPr>
        <w:pStyle w:val="BookText"/>
        <w:rPr/>
      </w:pPr>
      <w:r>
        <w:rPr>
          <w:rFonts w:ascii="Amiri" w:hAnsi="Amiri" w:eastAsia="Amiri" w:cs="Amiri"/>
          <w:color w:val="111111"/>
          <w:sz w:val="28"/>
          <w:sz w:val="28"/>
          <w:szCs w:val="28"/>
          <w:rtl w:val="true"/>
          <w:lang w:bidi="ar-SA"/>
        </w:rPr>
        <w:t xml:space="preserve">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يثقب الكُرسُف، فهي الاستحاضة القليلة، وإن ثقب ولم يسل الدّم من الكُرسُف فهي الاستحاضة المتوسّطة، وإن ثقبه وسال عنه فهي الاستحاضة الكثيرة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ومختصره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القليل ما لا يَظهر على القُطنة، والمتوسّطة ما يَظهر عليها من الجانب الآخر ولا يسيل، والكثيرة ما يسيل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جملةٍ من كتب المصنّف رحمه الله</w:t>
      </w:r>
      <w:r>
        <w:rPr>
          <w:rStyle w:val="FootnoteAnchor"/>
          <w:rtl w:val="true"/>
        </w:rPr>
        <w:footnoteReference w:id="462"/>
      </w:r>
      <w:r>
        <w:rPr>
          <w:rFonts w:ascii="Amiri" w:hAnsi="Amiri" w:eastAsia="Amiri" w:cs="Amiri"/>
          <w:color w:val="111111"/>
          <w:sz w:val="28"/>
          <w:sz w:val="28"/>
          <w:szCs w:val="28"/>
          <w:rtl w:val="true"/>
          <w:lang w:bidi="ar-SA"/>
        </w:rPr>
        <w:t>، والشهيد</w:t>
      </w:r>
      <w:r>
        <w:rPr>
          <w:rStyle w:val="FootnoteAnchor"/>
          <w:rtl w:val="true"/>
        </w:rPr>
        <w:footnoteReference w:id="46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القليل وقسيميه هو الغمس مع السيلان، وبدونه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القليل وقسيميه هو الرشح مع السيلان، وبدونه وعدم 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الجميع واحد، كما يشهد له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ولذا لم يُحرّر في شيء من الكتب الفقهيّة الخلاف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فإنّما الشأن في إثبات ما هو المعروف من أحكامها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4" w:name="pg11796_113482"/>
    </w:p>
    <w:p>
      <w:pPr>
        <w:pStyle w:val="BookText"/>
        <w:rPr/>
      </w:pPr>
      <w:bookmarkEnd w:id="194"/>
      <w:r>
        <w:rPr>
          <w:rFonts w:ascii="Amiri" w:hAnsi="Amiri" w:eastAsia="Amiri" w:cs="Amiri"/>
          <w:color w:val="111111"/>
          <w:sz w:val="28"/>
          <w:sz w:val="28"/>
          <w:szCs w:val="28"/>
          <w:rtl w:val="true"/>
          <w:lang w:bidi="ar-SA"/>
        </w:rPr>
        <w:t>فإنْ كان الدّم قليلاً، وهو أن يظهر على القُطنة ولا يغمسها، وجب عليها تغيير القُطنة، وتجديد الوضوء لكلّ صلاة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0361878_73709187"/>
      <w:bookmarkStart w:id="196" w:name="_Toc74"/>
      <w:bookmarkEnd w:id="195"/>
      <w:r>
        <w:rPr>
          <w:rtl w:val="true"/>
        </w:rPr>
        <w:t>الاستحاضة القليلة</w:t>
      </w:r>
      <w:bookmarkEnd w:id="196"/>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الدّم قليلاً،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على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تتلوّث القُطنة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يغمسها، وَجَب عليها تغيير القُطنة، وتجديد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غير ضمّ الغُسل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تغيير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غير واحدٍ، منهم المصنّف رحمه الله</w:t>
      </w:r>
      <w:r>
        <w:rPr>
          <w:rStyle w:val="FootnoteAnchor"/>
          <w:rtl w:val="true"/>
        </w:rPr>
        <w:footnoteReference w:id="469"/>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وجوب إبدالها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على وجوب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جماعةٍ من المتأخّرين بل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وبالنصوص الدالّة على وجوب الإبدال في الوسطى والكبرى التي ستمرّ عليك بدعوى عدم تعقّل الفرق،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بالإجماع المركّب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مانعيّة الدّم عن الصَّلاة، إلّاما عُفي عنه، ولم يثبت العفو عن هذا الدّم، ولو في ما دون الدرهم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الاختبار، وهو يتوقّف على إخراج القُطنة، فلا يجوز إدخالها ثانياً لإستلزامه تنجيس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ثبوته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مدرك الُمجمعين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الدالّة على وجوب الإبدال في المتوسّطة والكثيرة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فرض تسليم دلالتها على وجوب الإبدال عند كلّ صلاة لا كلّ غُسلٍ‌، مع أنّ للمنع عنها مجالاً واسعاً، كما ستعرف دلالته على حكم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دلالتها على عدم الفصل، وهو غيرُ ثابتٍ‌؛ إذ يحتمل أنْ يكون الوجه فيه في ذينك القسمين أنّ ظهور الدّم فيهما بنفسه حَدَثٌ موجب للغسل، فيجب التحفّظ عنه حتّى الإمكان، أو يكون غير ذلك، ممّا أوجب اختلاف الأقسام في سائر الأحكام، وأخفيّة القليلة من حيث الحَدَث، ومنه يظهر ما في دعوى عدم معقوليّة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دلَّ على مانعيّة النجاسة؛ فسيأتي في كتابنا هذا لاحقاً أنّه مختصٌّ بالدم الذي لا يكون أقلّ من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استثناء دم الاستحاضة في غير محلّه، مع أنّك عرفت أنّ المتلوّث بالدّم وغيره من النجاسات لا تجوز الصَّلاة فيه إذا كان ملبوساً، وكان ممّا تتمّ فيه الصَّلاة وإلّا فتجوز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النجاسات ما لم تخرج إلى الظاهر لا تكون محكومة بالنجاسة،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يكون في صورة الجهل بكون الدّم من أي الأقسام، لا فيما كان معلوماً، مع أنّ للبحث في ثبوته مجالاً واسعاً سيأتي الكلام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وجوب التبديل، والأصل يقتضي عدم الوجوب، </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الآمرة بالوضوء عنه، مع كونها في مقام بيان الوظيفة الفعليّة، بل صريح بعض الأخبار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الجعفي</w:t>
      </w:r>
      <w:r>
        <w:rPr>
          <w:rStyle w:val="FootnoteAnchor"/>
          <w:rtl w:val="true"/>
        </w:rPr>
        <w:footnoteReference w:id="471"/>
      </w:r>
      <w:r>
        <w:rPr>
          <w:rFonts w:ascii="Amiri" w:hAnsi="Amiri" w:eastAsia="Amiri" w:cs="Amiri"/>
          <w:color w:val="111111"/>
          <w:sz w:val="28"/>
          <w:sz w:val="28"/>
          <w:szCs w:val="28"/>
          <w:rtl w:val="true"/>
          <w:lang w:bidi="ar-SA"/>
        </w:rPr>
        <w:t>الوارد في دم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هي رأت طُهراً اغتسلت، وإن هي لم ترَ طُهراً اغتسلت واحتشت، فلا تزال تُصلّي بذلك الغسل حتّى يظهر الدّم على الكُرسُف، فإذا ظهر أعادت الغسل وأعادت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الصحّاف</w:t>
      </w:r>
      <w:r>
        <w:rPr>
          <w:rStyle w:val="FootnoteAnchor"/>
          <w:rtl w:val="true"/>
        </w:rPr>
        <w:footnoteReference w:id="472"/>
      </w:r>
      <w:r>
        <w:rPr>
          <w:rFonts w:ascii="Amiri" w:hAnsi="Amiri" w:eastAsia="Amiri" w:cs="Amiri"/>
          <w:color w:val="111111"/>
          <w:sz w:val="28"/>
          <w:sz w:val="28"/>
          <w:szCs w:val="28"/>
          <w:rtl w:val="true"/>
          <w:lang w:bidi="ar-SA"/>
        </w:rPr>
        <w:t>في حديث حيض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فلتغتسل ثمّ تحتشي وتستذفر، وتُصلّي الظهر والعصر، ثمّ لتنظر فإنْ كان الدّم فيما بينها وبين المغرب لا يسيل من خلف الكُرسُف، فلتتوضّأ ولتُصلِّ عند وقت كلّ صلاة، ما لم تطرح الكُرسُف عنها، فإن طرحت الكُرسُف عنها فسال الدّم وجب عليها الغُسل، وإن طرحت الكُرسُف ولم يسل فلتتوضّأ ولتُصلِّ ولا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بحسب الأدلّة، هو القول بعدم الوجوب، ولكن مراعاةً لإفتاء الأعاظم به، وعدم اعتنائهم بهذه الظهورات،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وغيرها،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 من وجوب تغيير الخرقة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7" w:name="pg11796_113485"/>
    </w:p>
    <w:p>
      <w:pPr>
        <w:pStyle w:val="Heading5"/>
        <w:numPr>
          <w:ilvl w:val="4"/>
          <w:numId w:val="1"/>
        </w:numPr>
        <w:rPr/>
      </w:pPr>
      <w:bookmarkStart w:id="198" w:name="__RefHeading___Toc10361880_73709187"/>
      <w:bookmarkStart w:id="199" w:name="_Toc75"/>
      <w:bookmarkEnd w:id="197"/>
      <w:bookmarkEnd w:id="198"/>
      <w:r>
        <w:rPr>
          <w:rtl w:val="true"/>
        </w:rPr>
        <w:t>تجديد الوضوء لكلّ صلاة</w:t>
      </w:r>
      <w:bookmarkEnd w:id="1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وجوب الوضوء خاصّة لكلّ صلاةٍ‌،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وضوء عليها ولا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في اليوم واللّيلة غُسلاً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الخراساني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إنْ كان حمرةً فعليها غُسلٌ واحدٌ، وإن كان صفرةً فعليها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الباب، فهي من جهة اختلاف مضامينهاعلى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إغتسال المستحاضة مطلقاً ثلاث مرّات، منها الخبر المصحّح الذي رواه ابن سنان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تغتسل عند صلاة الظهر وتصلّي الظهر والعصر، ثمّ تغتسل عند صلاة المغرب، فتصلّي المغرب والعشاء، ثمّ تغتسل عند الصبح فتصلّي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إغتسال المستحاضة القليلة والمتوسّطة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Style w:val="FootnoteAnchor"/>
          <w:rtl w:val="true"/>
        </w:rPr>
        <w:footnoteReference w:id="483"/>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يجز الدّم الكُرسُفَ صلّت بغُسلٍ واحد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الوضوء خاصّة للمستحاضة القليلة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بن عمّار</w:t>
      </w:r>
      <w:r>
        <w:rPr>
          <w:rStyle w:val="FootnoteAnchor"/>
          <w:rtl w:val="true"/>
        </w:rPr>
        <w:footnoteReference w:id="484"/>
      </w:r>
      <w:r>
        <w:rPr>
          <w:rFonts w:ascii="Amiri" w:hAnsi="Amiri" w:eastAsia="Amiri" w:cs="Amiri"/>
          <w:color w:val="111111"/>
          <w:sz w:val="28"/>
          <w:sz w:val="28"/>
          <w:szCs w:val="28"/>
          <w:rtl w:val="true"/>
          <w:lang w:bidi="ar-SA"/>
        </w:rPr>
        <w:t>،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الدّم لا يثقب الكُرسُف، توضّأت ودخلت المسجد وصلّت كلّ صلاةٍ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w:t>
      </w:r>
      <w:r>
        <w:rPr>
          <w:rStyle w:val="FootnoteAnchor"/>
          <w:rtl w:val="true"/>
        </w:rPr>
        <w:footnoteReference w:id="485"/>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الطامث تقعد بعدد أيّامها كيف تصنع‌؟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 فلتغتسل وتستوثق من نفسها، وتصلّي كلّ صلاةٍ بوضوء ما لم ينفذ الدّم، فإذا نفذ اغتسلت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 على وجوب الغُسل في كلّ يوم مرّة، والوضوء لكلّ صلاة للمستحاضة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سماعة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ثقب الدّم الكُرسُف اغتسلت لكلّ صلاتين وللفجر غُسلاً، وإنْ لم يجز الدّم الكُرسُف فعليها لكلّ يوم مرّة، والوضوء لكلّ صلاةٍ‌، وإن أراد زوجها أن يأتيها فحين تغتسل، هذا إن كان الدّم عبيطاً، وإن كان صفرةً فعليها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ذيله يدلّ على وجوب الوضوء فقط للصفرة مطلقاً، وإن كان مع الإنغماس أو السيلان، فيتّحد مفاد ذيله مع جملةٍ من النصوص التي نذكرها في الطائفة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الباب، وهي ما تدلّ على وجوب الوضوء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Style w:val="FootnoteAnchor"/>
          <w:rtl w:val="true"/>
        </w:rPr>
        <w:footnoteReference w:id="487"/>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الصفرة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أيّامها توضّأت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ترى الصفرة فلتتوضّأ من الصفرة ولتصلِّ ولا غُسل عليها من صفرةٍ تراها إلّافي أيّام طمثها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خبره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وجوب الإغتسال ثلاث مرّات للصفرة، كخبر إسحاق بن عمّار</w:t>
      </w:r>
      <w:r>
        <w:rPr>
          <w:rStyle w:val="FootnoteAnchor"/>
          <w:rtl w:val="true"/>
        </w:rPr>
        <w:footnoteReference w:id="488"/>
      </w:r>
      <w:r>
        <w:rPr>
          <w:rFonts w:ascii="Amiri" w:hAnsi="Amiri" w:eastAsia="Amiri" w:cs="Amiri"/>
          <w:color w:val="111111"/>
          <w:sz w:val="28"/>
          <w:sz w:val="28"/>
          <w:szCs w:val="28"/>
          <w:rtl w:val="true"/>
          <w:lang w:bidi="ar-SA"/>
        </w:rPr>
        <w:t>، عن أبي عبد اللّه عليه السلام المتقدّم في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صفرة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ابن الحجّاج في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التفصيل بين ما إذا كانت الصفرة قليلة أو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خبر ابن مسلم</w:t>
      </w:r>
      <w:r>
        <w:rPr>
          <w:rStyle w:val="FootnoteAnchor"/>
          <w:rtl w:val="true"/>
        </w:rPr>
        <w:footnoteReference w:id="489"/>
      </w:r>
      <w:r>
        <w:rPr>
          <w:rFonts w:ascii="Amiri" w:hAnsi="Amiri" w:eastAsia="Amiri" w:cs="Amiri"/>
          <w:color w:val="111111"/>
          <w:sz w:val="28"/>
          <w:sz w:val="28"/>
          <w:szCs w:val="28"/>
          <w:rtl w:val="true"/>
          <w:lang w:bidi="ar-SA"/>
        </w:rPr>
        <w:t>عن أحدهما عليه السلام في الحُبلى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قليلاً أصفر فليس عليها إلّاالوضوء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الطوائف من النصوص المذكورة في مصادرنا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تقييدهما بالطائفة الثالثة لكونها أخصّ منهما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سماعة، فدلالته على ما توهم، تتوقّف على حمل الشرط في الشرطيّة الثانية، على إرادة عدم ثقب الدّم الكُرسُف، مع أنّه ليس بأولى من العكس، وهو حمل الشرط في الشرطيّة الاُولى على إرادة جواز الدّم من الكُرسُف أيضاً، بل الثاني أظهر، لا سيّما مع ما في ذيله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 كان الدّم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الظاهر يكون المشار إليه هو وجوب الغُسل مرّةً واحدة، ويدلّ على إختصاصه بما إذا كان عبيطاً موجباً لثقب الدّم للكُرسُف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لقلّته أصفر، ويكون لقلّته لا يُرى إلّالوناً محضاً بلا جوهريّة له، فليس عليها إلّاالوضوء، فهو متكفّلٌ لبيان حكم جميع الأقسام، وفي القليلة يتّحد مفاده مع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النصوص ما يقابل الغِلظة الّتي هي من صفات الحيض، وتدلّ تلك النصوص على أنّ الصفرة في غير أيّام العادة أمارة كون الدّم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فهي تدلّ على أنّ وظيفتها الوضوء لكلّ صلاةٍ‌، ففي المتوسّطة والكثيرة يقيّد إطلاقها بما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ذكرنا في الطائفة السابقة يظهر أنّ مفاد نصوص هذه الطائفة وهي ما تدلّ على أنّ المرأة إذا رأت الصفرة تغتسل لكلّ صلاتين، متّحدٌ مع مفاد الاُولى، فيجري فيها ما ذكرناه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التفصيل المتوهّم، فإنّ الظاهر من القلّة فيها ما يقابل الغلظة والثخانة وقوّة الدفع، الّتي هي من صفات الحيض، فالمستفاد منها أن المستحاضة ليس عليها إلّاوضوء واحد، فتقيّد بما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مجموع نصوص الباب، وجوب الوضوء عليها لكلّ صلاةٍ إذا كانت الاستحاضة قليلة مطلقاً، وعدم وجوب الغُسل عليها، ولا تعارض بينها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تظهر اُمور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ذكره بعض الأعلام من لزوم طرح القسم السادس من النصوص </w:t>
      </w:r>
    </w:p>
    <w:p>
      <w:pPr>
        <w:pStyle w:val="BookText"/>
        <w:rPr/>
      </w:pPr>
      <w:r>
        <w:rPr>
          <w:rFonts w:ascii="Amiri" w:hAnsi="Amiri" w:eastAsia="Amiri" w:cs="Amiri"/>
          <w:color w:val="111111"/>
          <w:sz w:val="28"/>
          <w:sz w:val="28"/>
          <w:szCs w:val="28"/>
          <w:rtl w:val="true"/>
          <w:lang w:bidi="ar-SA"/>
        </w:rPr>
        <w:t xml:space="preserve">لمخالفة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أنّه يدلّ على وجوب الغُسل إذا كان دم الاستحاضة أصفر، وحمله على المتوسّطة والكثيرة خلاف الظاهر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تماميّة ما عن المحقّق الخراساني</w:t>
      </w:r>
      <w:r>
        <w:rPr>
          <w:rStyle w:val="FootnoteAnchor"/>
          <w:rtl w:val="true"/>
        </w:rPr>
        <w:footnoteReference w:id="490"/>
      </w:r>
      <w:r>
        <w:rPr>
          <w:rFonts w:ascii="Amiri" w:hAnsi="Amiri" w:eastAsia="Amiri" w:cs="Amiri"/>
          <w:color w:val="111111"/>
          <w:sz w:val="28"/>
          <w:sz w:val="28"/>
          <w:szCs w:val="28"/>
          <w:rtl w:val="true"/>
          <w:lang w:bidi="ar-SA"/>
        </w:rPr>
        <w:t>من أنّ الجمع بين النصوص يقتضي 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الدّم إنْ كان حمرةً ثاقبة، فعليها أغسال ثلاثة، وإن لم يجز الدّم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غير ثاقبة، فعليها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والصفرة إن كانت قليلة عرفاً، فعليها الوضوء لكلّ صلاة، وإن كانت كثيرة عرفاً فعليها الأغسال الثلاثة، فإنّ المستند في هذا القول هو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والطوائف الثلاث الأخيرة من النصوص، بدعوى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ليس ما هو من أمارات الاستحاضة، فالطائفة الأخيرة توجب حمل الطائفة السادسة على الصفرة الكثيرة، والخامسة على الصفرة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الطائفة الثالثة من النصوص على ما إذا كان الدّم أصفر لايصحّ‌، إذ تلك النصوص كالصريحة في اتّحاد موضوع وجوب الغسل مع موضوع وجوب الوضوء فقط، من غير ناحية النفوذ،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ما عن ابن الجنيد، فإنّ الظاهر أنّ مستنده هو الطائفة الثانية وقد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مجال للرجوع إلى أصالة عدم ناقضيّة القليلة، لعدم كونها مرجعاً مع الدليل، وبذلك يقيّد إطلاق النصوص الحاصرة موجبات الوضوء في غيرها، فما عن العُمّاني من عدم كونها موجبة للوضوء غير تامّ‌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0" w:name="pg11796_113490"/>
    </w:p>
    <w:p>
      <w:pPr>
        <w:pStyle w:val="Heading5"/>
        <w:numPr>
          <w:ilvl w:val="4"/>
          <w:numId w:val="1"/>
        </w:numPr>
        <w:rPr/>
      </w:pPr>
      <w:bookmarkStart w:id="201" w:name="__RefHeading___Toc10361882_73709187"/>
      <w:bookmarkStart w:id="202" w:name="_Toc76"/>
      <w:bookmarkEnd w:id="200"/>
      <w:bookmarkEnd w:id="201"/>
      <w:r>
        <w:rPr>
          <w:rtl w:val="true"/>
        </w:rPr>
        <w:t>عدم اختصاص هذا الحكم بالفريضة</w:t>
      </w:r>
      <w:bookmarkEnd w:id="2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غير واحدٍ في جملةٍ من الكتب،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بين الفرائض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نسبته إلى الأشهر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الأوّل 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معقد الشهرات والإجماعات المتقدّمة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توضّأت للفرض، جاز أن تُصلّي معه ما شاءت من النوافل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كون دم الاستحاضة حَدَثاً مطلقاً، كما عن بعضٍ دعوى الإجماع عليه،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المسلمين على كون الاستحاضة موجبة للطهارة،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حَدَثاً،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من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المستحاضة مستمرّة </w:t>
      </w:r>
    </w:p>
    <w:p>
      <w:pPr>
        <w:pStyle w:val="BookText"/>
        <w:rPr/>
      </w:pPr>
      <w:r>
        <w:rPr>
          <w:rFonts w:ascii="Amiri" w:hAnsi="Amiri" w:eastAsia="Amiri" w:cs="Amiri"/>
          <w:color w:val="111111"/>
          <w:sz w:val="28"/>
          <w:sz w:val="28"/>
          <w:szCs w:val="28"/>
          <w:rtl w:val="true"/>
          <w:lang w:bidi="ar-SA"/>
        </w:rPr>
        <w:t>الحَدَث، وإنّما اُبيح لها كلّ صلاة بوضوء واحد للضرورة فيتعيّن الإقتصار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حَدَثيّة الاستحاضة، إلّابمعنى كونها موجبة للوضوء في الجملة لا مطلقاً، فكون الخارج بعد الوضوء مؤثّراً في المنع على الإطلاق، إلّاما خرج بالدليل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معاقد الإجماعات صريحة في حدثيّتها، والنصوص ظاهرة فيها؛ إذ المتبادر إلى الذهن من الأمر بالغسل أو الوضوء عقيب شيء، كونه إرشاداً إلى حَدَثيّته، كما أنّ الأمر بالغُسل عقيب الملاقاة مع شيء ظاهرٍ في كونه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النصوص، كون الاستحاضة مؤثّرة في حدوث حالةٍ مانعةٍ عن الصَّلاة، يرفع منعها عند قلتها الوضوء عند كلّ صلاة، فمن الجائز أن تكون الوضوءات الصادرة منها رافعة لنفس تلك الحاله حقيقة، فطبيعتها من حيث هي لا تكون حَدَثاً سوّغت الصَّلاة معها الضرورة، وحيث أنّ المتيقّن من الأخبار إرادة الوضوء للصلوات المفروضة، فلا دليل على لزوم تجديد الوضوء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مضافاً إلى كونه خلاف المعهود من الشرع، لعدم ثبوت حالةٍ اُخرى مانعة عن الصَّلاة غير الحَدَث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غير معاقد الإجماعات وكلمات الأصحاب، وأمّا فيما فلا يمكن الإلتزام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 معاوية</w:t>
      </w:r>
      <w:r>
        <w:rPr>
          <w:rStyle w:val="FootnoteAnchor"/>
          <w:rtl w:val="true"/>
        </w:rPr>
        <w:footnoteReference w:id="501"/>
      </w:r>
      <w:r>
        <w:rPr>
          <w:rFonts w:ascii="Amiri" w:hAnsi="Amiri" w:eastAsia="Amiri" w:cs="Amiri"/>
          <w:color w:val="111111"/>
          <w:sz w:val="28"/>
          <w:sz w:val="28"/>
          <w:szCs w:val="28"/>
          <w:rtl w:val="true"/>
          <w:lang w:bidi="ar-SA"/>
        </w:rPr>
        <w:t>وموثّق عمّار</w:t>
      </w:r>
      <w:r>
        <w:rPr>
          <w:rStyle w:val="FootnoteAnchor"/>
          <w:rtl w:val="true"/>
        </w:rPr>
        <w:footnoteReference w:id="502"/>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انصرافهما إلى إرادة الوضوء للصلوات المفروضة، والمؤيّد بما ورد من قوله عليه السلام في صحيح الصحّاف</w:t>
      </w:r>
      <w:r>
        <w:rPr>
          <w:rStyle w:val="FootnoteAnchor"/>
          <w:rtl w:val="true"/>
        </w:rPr>
        <w:footnoteReference w:id="503"/>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ولتصلِّ عند وقت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الإنصراف ليس بنحوٍ يصلح لتقييد المطلقات، واختصاص بعض النصوص بالفرائض لا يكون شاهداً لإختصاص ما لا قيد فيه أيضاً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النوافل من توابع الفرائض، وبمنزلة مقدّماتها، فيُشرع الإتيان بنوافل كلّ فرض بوضوء ذلك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تبعيّتها لها لا توجب اتّحاد الصلاتين، وعليه فمقتضى إطلاق النصوص عدم المشروعيّة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حَدَثيّة الاستحاضة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النصوص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النوافل من توابع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وجوب الوضوء لكلّ صلاةٍ نافلة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 إذ الثلاثة الاُول تقدّم دفعها، ولزوم الحَرَج لو ثبت، يستلزم عدم وجوبها، لا عدم شرطيّة الوضوء لكلّ نافلةٍ‌، التي لا شبهة في أنّ أفضلها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وجوب الوضوء لكلّ صلاةٍ مطلقاً، من غير فوق بين الفرائض والنوافل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3" w:name="pg11796_113493"/>
    </w:p>
    <w:p>
      <w:pPr>
        <w:pStyle w:val="BookText"/>
        <w:rPr/>
      </w:pPr>
      <w:bookmarkEnd w:id="203"/>
      <w:r>
        <w:rPr>
          <w:rFonts w:ascii="Amiri" w:hAnsi="Amiri" w:eastAsia="Amiri" w:cs="Amiri"/>
          <w:color w:val="111111"/>
          <w:sz w:val="28"/>
          <w:sz w:val="28"/>
          <w:szCs w:val="28"/>
          <w:rtl w:val="true"/>
          <w:lang w:bidi="ar-SA"/>
        </w:rPr>
        <w:t>وإن كان الدَّم كثيراً وهو أن يغمس القُطنة ولا يسيل، وَجَب عليها مع ذلك، تغيير الخرقة، والغُسل لصلاة الغداة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0361884_73709187"/>
      <w:bookmarkStart w:id="205" w:name="_Toc77"/>
      <w:bookmarkEnd w:id="204"/>
      <w:r>
        <w:rPr>
          <w:rtl w:val="true"/>
        </w:rPr>
        <w:t>الاستحاضة المتوسّطة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الدّم كثيراً، وهو أن يغمس القُطنة ولا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خارجها، المسمّى عندهم بالاستحاضة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فضلاً عن الوضوء لكلّ صلاةٍ‌، أن تقوم بتبديل القُطنة،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أحكام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الوضوء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القُطنة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الخرقة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 عليها لكلّ صلاةٍ بلا إشكال ولا خلاف فيما عدا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واجب، وغسل الحيض إذا طهرت واجبٌ‌، وغسل الاستحاضة واجب، إذا احتشت الكُرسُف، فجاز دمها الكُرسُف، فعليها الغُسل لكلّ صلاتين، وللفجر غُسلٌ‌، وإن لم يجز الدّم الكُرسُف فعليها الغسل كلّ يوم مرّة، والوضوء لكلّ صلاة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وموثّقه الآخر</w:t>
      </w:r>
      <w:r>
        <w:rPr>
          <w:rStyle w:val="FootnoteAnchor"/>
          <w:rtl w:val="true"/>
        </w:rPr>
        <w:footnoteReference w:id="505"/>
      </w:r>
      <w:r>
        <w:rPr>
          <w:rFonts w:ascii="Amiri" w:hAnsi="Amiri" w:eastAsia="Amiri" w:cs="Amiri"/>
          <w:color w:val="111111"/>
          <w:sz w:val="28"/>
          <w:sz w:val="28"/>
          <w:szCs w:val="28"/>
          <w:rtl w:val="true"/>
          <w:lang w:bidi="ar-SA"/>
        </w:rPr>
        <w:t>المتقدّم في القليلة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الوضوء لصلاة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اغتسلت عندها، 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صريح جماعةٍ الإلتزام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 والصدوقين</w:t>
      </w:r>
      <w:r>
        <w:rPr>
          <w:rStyle w:val="FootnoteAnchor"/>
          <w:rtl w:val="true"/>
        </w:rPr>
        <w:footnoteReference w:id="508"/>
      </w:r>
      <w:r>
        <w:rPr>
          <w:rFonts w:ascii="Amiri" w:hAnsi="Amiri" w:eastAsia="Amiri" w:cs="Amiri"/>
          <w:color w:val="111111"/>
          <w:sz w:val="28"/>
          <w:sz w:val="28"/>
          <w:szCs w:val="28"/>
          <w:rtl w:val="true"/>
          <w:lang w:bidi="ar-SA"/>
        </w:rPr>
        <w:t>والقاضي</w:t>
      </w:r>
      <w:r>
        <w:rPr>
          <w:rStyle w:val="FootnoteAnchor"/>
          <w:rtl w:val="true"/>
        </w:rPr>
        <w:footnoteReference w:id="509"/>
      </w:r>
      <w:r>
        <w:rPr>
          <w:rFonts w:ascii="Amiri" w:hAnsi="Amiri" w:eastAsia="Amiri" w:cs="Amiri"/>
          <w:color w:val="111111"/>
          <w:sz w:val="28"/>
          <w:sz w:val="28"/>
          <w:szCs w:val="28"/>
          <w:rtl w:val="true"/>
          <w:lang w:bidi="ar-SA"/>
        </w:rPr>
        <w:t>والحلبي</w:t>
      </w:r>
      <w:r>
        <w:rPr>
          <w:rStyle w:val="FootnoteAnchor"/>
          <w:rtl w:val="true"/>
        </w:rPr>
        <w:footnoteReference w:id="510"/>
      </w:r>
      <w:r>
        <w:rPr>
          <w:rFonts w:ascii="Amiri" w:hAnsi="Amiri" w:eastAsia="Amiri" w:cs="Amiri"/>
          <w:color w:val="111111"/>
          <w:sz w:val="28"/>
          <w:sz w:val="28"/>
          <w:szCs w:val="28"/>
          <w:rtl w:val="true"/>
          <w:lang w:bidi="ar-SA"/>
        </w:rPr>
        <w:t>وابن زُهرة</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سماعة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الإجتزاء بكلّ 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الإجتزاء، إنّما يدلّ على أنّ الغُسل يوجب رفع أثر السبب المتقدّم عليه، لا ما يتحقّق في أثناء الغُسل أو بعده، وحيث أنّ دم الاستحاضة حَدَثٌ كما مرّ، فتكون المستحاضة ما دامت مستحاضة مستمرّة الحَدَث، ولازم ذلك تحقّق سبب الوضوء في أثناء الغُسل وبعده، فلا يُجزي غُسلها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واستمرار حَدَثها لايوجب إجزائه عن الوضوء، وإن توهّم من جهة بطلان الوضوء على تقدير الإتيان به، فإنّ العفو عمّا يتحقّق في أثناء الوضوء وبعده إلى آخر الصَّلاة ثابتٌ بالدليل الخاص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اغتسلت للجنابة، فإنّ لازم هذا الوجه عدم إغنائه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الوضوء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المستفاد من أدلّة الإجتزاء، أنّ كلّ غُسلٍ يفيد فائدة الوضوء من حيث الطهوريّة، من غير فرق بين الحقيقيّة أو الحكميّة،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يورد عليه؛ بأنّ مقتضى تلك الأدلّة وإنْكان عدم الوجوب، إلّا أنّه يجب الخروج عنها لما تقدّم من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صريحٍ أجده فيه هنا، سوى ما سمعته من المناقشة السابقة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فخر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بفحوى ما دلَّ على وجوبه في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الجُعفي،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هي لم ترَ طُهراً، اغتسلت واحتشت، ولاتزال تُصلّي بذلك الغُسل حتّى يظهر الدّم على الكُرسُف، فإذا ظهر أعادت الغُسل وأعادت الكُرسُف</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عبد الرحمن بن أبي عبد اللّه، المرويّ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عن أبي عبد اللّه عليه السلام في المستحاضة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 على الكُرسُف، فلتغتسل، ثمّ تضع كُرسفاً آخر ثمّ تُصلّي، فإذا 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دماً سائلاً فلتؤخّر الصَّلاة إلى الصَّلاة، ثمّ تُصلّي صلاتين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الظاهر من الجملة الاُولى ورودها في مقام بيان حكم المقام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دماً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الدليل على وجوبه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الآخيرين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لزوم تبديل القُطنة بعد الغُسل، لا عند كلّ صلاة، وعدم القول بالفصل بين الصَّلاة التي اغتسلت لها وغيرها، إنّما يتمّ ويفيد، إذا كان الخبران ظاهرين في كون الأمر بالإعادة إرشاداً إلى كونها شرطاً تعبّديّاً محضاً، وهو ممنوع؛ إذ من الممكن أنْ يكون الوجه فيه التحفّظ من تسرية النجاسة، أو أنّ ظهور الدّم بنفسه موجبٌ للغُسل، كما قوّاه بعض المحقّقين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منع ظهور الخبرين في كون تبديل القُطنة من شروط صحّة الصَّلاة غير صحيح؛ إذ ظاهر الأمر بشيء أو النهي عنه في أمثال المقام، كونه إرشاداً إلى شرطيّته أو مانعيّته بنفسه، لا لملازمته مع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فالخبران ظاهران في اعتبار تبديل الكُرسُف في صحّة الصَّلاة التي اغتسلت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ظاهران في مانعيّة مثل هذا الدّم عن الصَّلاة، بلا دخلٍ لخصوصيّة صلاة دون اُخرى،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الوجوب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الثالث</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طهارة الشيخ الأعظم رحمه الله</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 إلحاقها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بالقطنة، بل ادّعى بعضٌ دخولها في معقد ذلك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6" w:name="pg11796_113497"/>
    </w:p>
    <w:p>
      <w:pPr>
        <w:pStyle w:val="BookText"/>
        <w:rPr/>
      </w:pPr>
      <w:bookmarkEnd w:id="2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ذلك بصورة ملاقاتها للدّم، كما نصّ عليه شيخنا الأعظم، والعلّامة الطباطبائي في منظومته،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تغييرها للخِرقة المُلاقية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ما دلَّ على وجوب تبديل القُطنة بالأولويّة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0361886_73709187"/>
      <w:bookmarkStart w:id="208" w:name="_Toc78"/>
      <w:bookmarkEnd w:id="207"/>
      <w:r>
        <w:rPr>
          <w:rtl w:val="true"/>
        </w:rPr>
        <w:t>وجوب الغُسل لخصوص صلاة الغداة في المتوسّطة</w:t>
      </w:r>
      <w:bookmarkEnd w:id="208"/>
    </w:p>
    <w:p>
      <w:pPr>
        <w:pStyle w:val="BookText"/>
        <w:rPr/>
      </w:pPr>
      <w:r>
        <w:rPr>
          <w:rFonts w:ascii="Amiri" w:hAnsi="Amiri" w:eastAsia="Amiri" w:cs="Amiri"/>
          <w:color w:val="111111"/>
          <w:sz w:val="28"/>
          <w:sz w:val="28"/>
          <w:szCs w:val="28"/>
          <w:rtl w:val="true"/>
          <w:lang w:bidi="ar-SA"/>
        </w:rPr>
        <w:t>وأمّا 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وجوب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الاكتفاء به، أو الاحتياج إلى غُسلين آخرين، لتكون المتوسّطة كالكثيرة‌؟ قولان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الصدوقين</w:t>
      </w:r>
      <w:r>
        <w:rPr>
          <w:rStyle w:val="FootnoteAnchor"/>
          <w:rtl w:val="true"/>
        </w:rPr>
        <w:footnoteReference w:id="519"/>
      </w:r>
      <w:r>
        <w:rPr>
          <w:rFonts w:ascii="Amiri" w:hAnsi="Amiri" w:eastAsia="Amiri" w:cs="Amiri"/>
          <w:color w:val="111111"/>
          <w:sz w:val="28"/>
          <w:sz w:val="28"/>
          <w:szCs w:val="28"/>
          <w:rtl w:val="true"/>
          <w:lang w:bidi="ar-SA"/>
        </w:rPr>
        <w:t>، والمشايخ الثلاثة</w:t>
      </w:r>
      <w:r>
        <w:rPr>
          <w:rStyle w:val="FootnoteAnchor"/>
          <w:rtl w:val="true"/>
        </w:rPr>
        <w:footnoteReference w:id="520"/>
      </w:r>
      <w:r>
        <w:rPr>
          <w:rFonts w:ascii="Amiri" w:hAnsi="Amiri" w:eastAsia="Amiri" w:cs="Amiri"/>
          <w:color w:val="111111"/>
          <w:sz w:val="28"/>
          <w:sz w:val="28"/>
          <w:szCs w:val="28"/>
          <w:rtl w:val="true"/>
          <w:lang w:bidi="ar-SA"/>
        </w:rPr>
        <w:t>، وسلّار</w:t>
      </w:r>
      <w:r>
        <w:rPr>
          <w:rStyle w:val="FootnoteAnchor"/>
          <w:rtl w:val="true"/>
        </w:rPr>
        <w:footnoteReference w:id="521"/>
      </w:r>
      <w:r>
        <w:rPr>
          <w:rFonts w:ascii="Amiri" w:hAnsi="Amiri" w:eastAsia="Amiri" w:cs="Amiri"/>
          <w:color w:val="111111"/>
          <w:sz w:val="28"/>
          <w:sz w:val="28"/>
          <w:szCs w:val="28"/>
          <w:rtl w:val="true"/>
          <w:lang w:bidi="ar-SA"/>
        </w:rPr>
        <w:t>، والقاضي</w:t>
      </w:r>
      <w:r>
        <w:rPr>
          <w:rStyle w:val="FootnoteAnchor"/>
          <w:rtl w:val="true"/>
        </w:rPr>
        <w:footnoteReference w:id="522"/>
      </w:r>
      <w:r>
        <w:rPr>
          <w:rFonts w:ascii="Amiri" w:hAnsi="Amiri" w:eastAsia="Amiri" w:cs="Amiri"/>
          <w:color w:val="111111"/>
          <w:sz w:val="28"/>
          <w:sz w:val="28"/>
          <w:szCs w:val="28"/>
          <w:rtl w:val="true"/>
          <w:lang w:bidi="ar-SA"/>
        </w:rPr>
        <w:t>، وابن حمزة</w:t>
      </w:r>
      <w:r>
        <w:rPr>
          <w:rStyle w:val="FootnoteAnchor"/>
          <w:rtl w:val="true"/>
        </w:rPr>
        <w:footnoteReference w:id="523"/>
      </w:r>
      <w:r>
        <w:rPr>
          <w:rFonts w:ascii="Amiri" w:hAnsi="Amiri" w:eastAsia="Amiri" w:cs="Amiri"/>
          <w:color w:val="111111"/>
          <w:sz w:val="28"/>
          <w:sz w:val="28"/>
          <w:szCs w:val="28"/>
          <w:rtl w:val="true"/>
          <w:lang w:bidi="ar-SA"/>
        </w:rPr>
        <w:t>، والحلبي</w:t>
      </w:r>
      <w:r>
        <w:rPr>
          <w:rStyle w:val="FootnoteAnchor"/>
          <w:rtl w:val="true"/>
        </w:rPr>
        <w:footnoteReference w:id="524"/>
      </w:r>
      <w:r>
        <w:rPr>
          <w:rFonts w:ascii="Amiri" w:hAnsi="Amiri" w:eastAsia="Amiri" w:cs="Amiri"/>
          <w:color w:val="111111"/>
          <w:sz w:val="28"/>
          <w:sz w:val="28"/>
          <w:szCs w:val="28"/>
          <w:rtl w:val="true"/>
          <w:lang w:bidi="ar-SA"/>
        </w:rPr>
        <w:t>، وابن زُهرة</w:t>
      </w:r>
      <w:r>
        <w:rPr>
          <w:rStyle w:val="FootnoteAnchor"/>
          <w:rtl w:val="true"/>
        </w:rPr>
        <w:footnoteReference w:id="525"/>
      </w:r>
      <w:r>
        <w:rPr>
          <w:rFonts w:ascii="Amiri" w:hAnsi="Amiri" w:eastAsia="Amiri" w:cs="Amiri"/>
          <w:color w:val="111111"/>
          <w:sz w:val="28"/>
          <w:sz w:val="28"/>
          <w:szCs w:val="28"/>
          <w:rtl w:val="true"/>
          <w:lang w:bidi="ar-SA"/>
        </w:rPr>
        <w:t>، والحلّي</w:t>
      </w:r>
      <w:r>
        <w:rPr>
          <w:rStyle w:val="FootnoteAnchor"/>
          <w:rtl w:val="true"/>
        </w:rPr>
        <w:footnoteReference w:id="526"/>
      </w:r>
      <w:r>
        <w:rPr>
          <w:rFonts w:ascii="Amiri" w:hAnsi="Amiri" w:eastAsia="Amiri" w:cs="Amiri"/>
          <w:color w:val="111111"/>
          <w:sz w:val="28"/>
          <w:sz w:val="28"/>
          <w:szCs w:val="28"/>
          <w:rtl w:val="true"/>
          <w:lang w:bidi="ar-SA"/>
        </w:rPr>
        <w:t>، والمحقّق</w:t>
      </w:r>
      <w:r>
        <w:rPr>
          <w:rStyle w:val="FootnoteAnchor"/>
          <w:rtl w:val="true"/>
        </w:rPr>
        <w:footnoteReference w:id="527"/>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w:t>
      </w:r>
      <w:r>
        <w:rPr>
          <w:rStyle w:val="FootnoteAnchor"/>
          <w:rtl w:val="true"/>
        </w:rPr>
        <w:footnoteReference w:id="528"/>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والشهيدين</w:t>
      </w:r>
      <w:r>
        <w:rPr>
          <w:rStyle w:val="FootnoteAnchor"/>
          <w:rtl w:val="true"/>
        </w:rPr>
        <w:footnoteReference w:id="529"/>
      </w:r>
      <w:r>
        <w:rPr>
          <w:rFonts w:ascii="Amiri" w:hAnsi="Amiri" w:eastAsia="Amiri" w:cs="Amiri"/>
          <w:color w:val="111111"/>
          <w:sz w:val="28"/>
          <w:sz w:val="28"/>
          <w:szCs w:val="28"/>
          <w:rtl w:val="true"/>
          <w:lang w:bidi="ar-SA"/>
        </w:rPr>
        <w:t>، والمحقّق الثاني</w:t>
      </w:r>
      <w:r>
        <w:rPr>
          <w:rStyle w:val="FootnoteAnchor"/>
          <w:rtl w:val="true"/>
        </w:rPr>
        <w:footnoteReference w:id="53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p>
    <w:p>
      <w:pPr>
        <w:pStyle w:val="BookText"/>
        <w:rPr/>
      </w:pPr>
      <w:r>
        <w:rPr>
          <w:rFonts w:ascii="Amiri" w:hAnsi="Amiri" w:eastAsia="Amiri" w:cs="Amiri"/>
          <w:color w:val="111111"/>
          <w:sz w:val="28"/>
          <w:sz w:val="28"/>
          <w:szCs w:val="28"/>
          <w:rtl w:val="true"/>
          <w:lang w:bidi="ar-SA"/>
        </w:rPr>
        <w:t>بغُسل الغداة، بل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العماني</w:t>
      </w:r>
      <w:r>
        <w:rPr>
          <w:rStyle w:val="FootnoteAnchor"/>
          <w:rtl w:val="true"/>
        </w:rPr>
        <w:footnoteReference w:id="531"/>
      </w:r>
      <w:r>
        <w:rPr>
          <w:rFonts w:ascii="Amiri" w:hAnsi="Amiri" w:eastAsia="Amiri" w:cs="Amiri"/>
          <w:color w:val="111111"/>
          <w:sz w:val="28"/>
          <w:sz w:val="28"/>
          <w:szCs w:val="28"/>
          <w:rtl w:val="true"/>
          <w:lang w:bidi="ar-SA"/>
        </w:rPr>
        <w:t>والإسكافي</w:t>
      </w:r>
      <w:r>
        <w:rPr>
          <w:rStyle w:val="FootnoteAnchor"/>
          <w:rtl w:val="true"/>
        </w:rPr>
        <w:footnoteReference w:id="532"/>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والمحقّق الأردبيلي</w:t>
      </w:r>
      <w:r>
        <w:rPr>
          <w:rStyle w:val="FootnoteAnchor"/>
          <w:rtl w:val="true"/>
        </w:rPr>
        <w:footnoteReference w:id="535"/>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وشيخنا البهائي</w:t>
      </w:r>
      <w:r>
        <w:rPr>
          <w:rStyle w:val="FootnoteAnchor"/>
          <w:rtl w:val="true"/>
        </w:rPr>
        <w:footnoteReference w:id="538"/>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الرحمن</w:t>
      </w:r>
      <w:r>
        <w:rPr>
          <w:rStyle w:val="FootnoteAnchor"/>
          <w:rtl w:val="true"/>
        </w:rPr>
        <w:footnoteReference w:id="540"/>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جاز الدّم الكُرسُف تعصّبت واغتسلت، ثمّ صلّت الغداة بغُسلٍ‌، والظهر والعصر بغُسلٍ‌، والمغرب والعشاء بغُسلٍ‌، وإن لم يجز الدّم الكُرسُف، صلّت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قال عليه السلام مثل ذلك سواء</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Style w:val="FootnoteAnchor"/>
          <w:rtl w:val="true"/>
        </w:rPr>
        <w:footnoteReference w:id="542"/>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يجز الدّم الكُرسُف فعليها الغُسل لكلّ يومٍ مرّة، والوضوء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في القليلة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الصحّاف</w:t>
      </w:r>
      <w:r>
        <w:rPr>
          <w:rStyle w:val="FootnoteAnchor"/>
          <w:rtl w:val="true"/>
        </w:rPr>
        <w:footnoteReference w:id="543"/>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لتنظر فإنْ كان الدّم فيما بينها وبين المغرب لايسيل من خلف الكُرسُف، فلتتوضّأ ولتصلِّ عند وقت كلّ صلاة ما لم تطرح الكُرسُف، فإن طرحت الكُرسُف عنها وسال الدّم وَجَب عليها الغُسل، وإن طرحت الكُرسُف ولم يسل الدّم، فلتتوضّأ ولتصلِّ ولا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الدّم إذا أمسكتِ الكُرسُف يسيل من خلف الكُرسُف صبيباً لا يرقىء، فإنّ عليها أن تغتسل في كلّ يوم وليلة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الاستدلال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طرحت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بنحوٍ يسلم عمّا اُورد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ظاهره كون المفروض فيه أنّها لو لم تطرح الكُرسُف لم يسل الدّم، وهذا ملازمٌ لعدم كون الاستحاضة كثيرة، كما أنّ صريحه سيلان الدّم بعد الطرح، وهذا من لوازم عدم كونها قليلة، فالاستحاضة المفروضة فيه هي المتوسّطة، وظهوره في عدم وجوب الغُسل زائداً على المرّة لعدم التصريح بالعدد، ومقابلته مع تعليق وجوب الأغسال الثلاثة على الاستحاضة الكثيرة لا ينبغي إنكاره، وعليه، فهو ظاهر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كلمات هؤلاء الأعاظم، فلا وجه لذكرها، وبيان ما فيها،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من الطعن في هذه النصوص بالضعف، كما ترى‌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يقيّد إطلاق طائفتين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وجوب الأغسال الثلاثة للمستحاضة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كمصحّح ابن سنان</w:t>
      </w:r>
      <w:r>
        <w:rPr>
          <w:rStyle w:val="FootnoteAnchor"/>
          <w:rtl w:val="true"/>
        </w:rPr>
        <w:footnoteReference w:id="545"/>
      </w:r>
      <w:r>
        <w:rPr>
          <w:rFonts w:ascii="Amiri" w:hAnsi="Amiri" w:eastAsia="Amiri" w:cs="Amiri"/>
          <w:color w:val="111111"/>
          <w:sz w:val="28"/>
          <w:sz w:val="28"/>
          <w:szCs w:val="28"/>
          <w:rtl w:val="true"/>
          <w:lang w:bidi="ar-SA"/>
        </w:rPr>
        <w:t>المتقدّم في القليلة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أنّها تغتسل ثلاث مرّات إذا ثَقب الدَّم الكُرسُف، الشاملة للمتوسّطة والكثيرة، التي استدلّ بها القائلون باتّحاد حكمهما، كمصحّح معاوية بن عمّار</w:t>
      </w:r>
      <w:r>
        <w:rPr>
          <w:rStyle w:val="FootnoteAnchor"/>
          <w:rtl w:val="true"/>
        </w:rPr>
        <w:footnoteReference w:id="546"/>
      </w:r>
      <w:r>
        <w:rPr>
          <w:rFonts w:ascii="Amiri" w:hAnsi="Amiri" w:eastAsia="Amiri" w:cs="Amiri"/>
          <w:color w:val="111111"/>
          <w:sz w:val="28"/>
          <w:sz w:val="28"/>
          <w:szCs w:val="28"/>
          <w:rtl w:val="true"/>
          <w:lang w:bidi="ar-SA"/>
        </w:rPr>
        <w:t>، عن الإمام الصادق عليه السلام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جازت أيّامها ورأت الدّم يثقب الكُرسُف، اغتسلت للظهر والعصر، تؤخّر هذه وتعجّل هذه، وللمغرب والعشاء غُسلاً، تؤخّر هذه وتعجّل هذه، وتغتسل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ما هو المشهور، من عدم وجوب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وقت هذا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عليها لصلاة الغداة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النصوص وإنْ لم يصرّح بذلك، إلّاأنّه يمكن استفادته منها؛ إذ الظاهر منها أنّ الأمر به يكون غيريّاً، ويكون الغُسل من شرائط صحّة الصَّلاة لا واجباً نفسيّاً تعبّديّاً، وأنّ الغُسل شرطٌ في جميع صلوات اليوم لا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تقديمه على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شرطيّته لجميع الصلوات لاتنافي جواز التأخير؛ إذ يمكن أنْ يكون بالنسبة إلى الصلوات المتقدّمة عليه من قبيل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المتأخّر على فرض معقوليّته، خلاف الظاهر، لا يصار إليه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منها شرطيّة غُسلٍ واحد للصلوات الخمس، فلها أن تغتسل للظهرين وتُصلّي خمس صلوات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موثّق سماعة أمرَ بالغُسل لذلك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غير الملفّق، ولم يؤمر به في كلّ يومٍ حتّى يقال إنّ الأمر بشيءٍ في زمان أوسع ممّا يفي بإتيان المأمور به يقتضي التخيير، بل أمرٌ به لكلّ يوم، أي صلوات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ما هو المشهور</w:t>
      </w:r>
      <w:r>
        <w:rPr>
          <w:rFonts w:eastAsia="Amiri" w:cs="Amiri" w:ascii="Amiri" w:hAnsi="Amiri"/>
          <w:color w:val="111111"/>
          <w:sz w:val="28"/>
          <w:szCs w:val="28"/>
          <w:rtl w:val="true"/>
          <w:lang w:bidi="ar-SA"/>
        </w:rPr>
        <w:t>.</w:t>
      </w:r>
      <w:bookmarkStart w:id="209" w:name="pg11796_113502"/>
    </w:p>
    <w:p>
      <w:pPr>
        <w:pStyle w:val="BookText"/>
        <w:rPr/>
      </w:pPr>
      <w:bookmarkEnd w:id="209"/>
      <w:r>
        <w:rPr>
          <w:rFonts w:ascii="Amiri" w:hAnsi="Amiri" w:eastAsia="Amiri" w:cs="Amiri"/>
          <w:color w:val="111111"/>
          <w:sz w:val="28"/>
          <w:sz w:val="28"/>
          <w:szCs w:val="28"/>
          <w:rtl w:val="true"/>
          <w:lang w:bidi="ar-SA"/>
        </w:rPr>
        <w:t>وإنْ كانَ أكثر منه، وهو أن يسيل، وجبَ عليها مع ذلك 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للظهر والعصر تجمع بينهما، وغُسلٌ للمغرب والعشاء الآخرة تجمع بينهما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0361888_73709187"/>
      <w:bookmarkStart w:id="211" w:name="_Toc79"/>
      <w:bookmarkEnd w:id="210"/>
      <w:r>
        <w:rPr>
          <w:rtl w:val="true"/>
        </w:rPr>
        <w:t>حكم الاستحاضة الكثيرة</w:t>
      </w:r>
      <w:bookmarkEnd w:id="211"/>
    </w:p>
    <w:p>
      <w:pPr>
        <w:pStyle w:val="Heading6"/>
        <w:numPr>
          <w:ilvl w:val="5"/>
          <w:numId w:val="1"/>
        </w:numPr>
        <w:rPr/>
      </w:pPr>
      <w:bookmarkStart w:id="212" w:name="__RefHeading___Toc10361890_73709187"/>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دم الاستحاضة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القُطنة إلى الخِرقة،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في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للظهر والعصر، تجمع بينهما، وغُسلٌ للمغرب والعشاء الآخرة تجمع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اُمور</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361892_73709187"/>
      <w:bookmarkStart w:id="215" w:name="_Toc81"/>
      <w:bookmarkEnd w:id="214"/>
      <w:r>
        <w:rPr>
          <w:rtl w:val="true"/>
        </w:rPr>
        <w:t>لا إشكال ولا خلاف في وجوب الأغسال الثلاثة عليها</w:t>
      </w:r>
      <w:bookmarkEnd w:id="215"/>
    </w:p>
    <w:p>
      <w:pPr>
        <w:pStyle w:val="Heading6"/>
        <w:numPr>
          <w:ilvl w:val="5"/>
          <w:numId w:val="1"/>
        </w:numPr>
        <w:rPr/>
      </w:pPr>
      <w:bookmarkStart w:id="216" w:name="__RefHeading___Toc10361894_73709187"/>
      <w:bookmarkStart w:id="217" w:name="_Toc8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وجوب الأغسال الثلاثة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عليه عموماً وخصوصاً مستفيضة أو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 في المباحث السابقة، وفي جملةٍ منها كصحيحي ابن مسلم</w:t>
      </w:r>
      <w:r>
        <w:rPr>
          <w:rStyle w:val="FootnoteAnchor"/>
          <w:rtl w:val="true"/>
        </w:rPr>
        <w:footnoteReference w:id="549"/>
      </w:r>
      <w:r>
        <w:rPr>
          <w:rFonts w:ascii="IRNazanin" w:hAnsi="IRNazanin" w:eastAsia="IRNazanin"/>
          <w:color w:val="111111"/>
          <w:sz w:val="28"/>
          <w:sz w:val="28"/>
          <w:szCs w:val="28"/>
          <w:rtl w:val="true"/>
          <w:lang w:bidi="fa-IR"/>
        </w:rPr>
        <w:t>، وصفوان</w:t>
      </w:r>
      <w:r>
        <w:rPr>
          <w:rStyle w:val="FootnoteAnchor"/>
          <w:rtl w:val="true"/>
        </w:rPr>
        <w:footnoteReference w:id="550"/>
      </w:r>
      <w:r>
        <w:rPr>
          <w:rFonts w:ascii="Amiri" w:hAnsi="Amiri" w:eastAsia="Amiri" w:cs="Amiri"/>
          <w:color w:val="111111"/>
          <w:sz w:val="28"/>
          <w:sz w:val="28"/>
          <w:szCs w:val="28"/>
          <w:rtl w:val="true"/>
          <w:lang w:bidi="ar-SA"/>
        </w:rPr>
        <w:t>، وموثّق زرارة</w:t>
      </w:r>
      <w:r>
        <w:rPr>
          <w:rStyle w:val="FootnoteAnchor"/>
          <w:rtl w:val="true"/>
        </w:rPr>
        <w:footnoteReference w:id="551"/>
      </w:r>
      <w:r>
        <w:rPr>
          <w:rFonts w:ascii="Amiri" w:hAnsi="Amiri" w:eastAsia="Amiri" w:cs="Amiri"/>
          <w:color w:val="111111"/>
          <w:sz w:val="28"/>
          <w:sz w:val="28"/>
          <w:szCs w:val="28"/>
          <w:rtl w:val="true"/>
          <w:lang w:bidi="ar-SA"/>
        </w:rPr>
        <w:t>الأمر بالجمع بين كلّ صلاتين بغُسل كما صرّح به جماعة، فيجب ذلك حتّى مع البناء على عدم وجوب تعقّب الصَّلاة بالغُسل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التفكيك بين الصَّلاة الاُولى والثانية، فعلى القول بعدم وجوب المعاقبة يجوز التفريق</w:t>
      </w:r>
      <w:r>
        <w:rPr>
          <w:rFonts w:eastAsia="Amiri" w:cs="Amiri" w:ascii="Amiri" w:hAnsi="Amiri"/>
          <w:color w:val="111111"/>
          <w:sz w:val="28"/>
          <w:szCs w:val="28"/>
          <w:rtl w:val="true"/>
          <w:lang w:bidi="ar-SA"/>
        </w:rPr>
        <w:t xml:space="preserve">. </w:t>
      </w:r>
      <w:bookmarkStart w:id="218" w:name="pg11796_113503"/>
    </w:p>
    <w:p>
      <w:pPr>
        <w:pStyle w:val="BookText"/>
        <w:rPr/>
      </w:pPr>
      <w:bookmarkEnd w:id="218"/>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دلالة النصوص بظاهرها عليه، لا يُعتنى بمثل هذه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كونه في آخر وقت فضيلة الاُولى، حتّى تقع كُلّاً من الصلاتين في وقت الفضيلة، لاستلزامه درك وقت فضيلتهما، ولصحيح معاوية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تؤخّر هذه وتعجّل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وظاهرها وإن كان تعيّن ذلك، إلّاأنّها تُحمل على إرادة الأفضليّة للإجماع، ولأن المتبادر إلى الذهن من ذلك أنّ الأمر به إنّما يكون لدرك فضيلة وقت الصلاتين في صورة الجمع</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0361896_73709187"/>
      <w:bookmarkStart w:id="220" w:name="_Toc83"/>
      <w:bookmarkEnd w:id="219"/>
      <w:r>
        <w:rPr>
          <w:rtl w:val="true"/>
        </w:rPr>
        <w:t>في وجوب الجمع وجواز التفريق</w:t>
      </w:r>
      <w:bookmarkEnd w:id="220"/>
    </w:p>
    <w:p>
      <w:pPr>
        <w:pStyle w:val="BookText"/>
        <w:rPr/>
      </w:pPr>
      <w:r>
        <w:rPr>
          <w:rFonts w:ascii="Amiri" w:hAnsi="Amiri" w:eastAsia="Amiri" w:cs="Amiri"/>
          <w:color w:val="111111"/>
          <w:sz w:val="28"/>
          <w:sz w:val="28"/>
          <w:szCs w:val="28"/>
          <w:rtl w:val="true"/>
          <w:lang w:bidi="ar-SA"/>
        </w:rPr>
        <w:t>يدور البحث في المقام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تفريق الصَّلاة والإتيان بخمسة أغسال، كما عن المصنّف</w:t>
      </w:r>
      <w:r>
        <w:rPr>
          <w:rStyle w:val="FootnoteAnchor"/>
          <w:rtl w:val="true"/>
        </w:rPr>
        <w:footnoteReference w:id="553"/>
      </w:r>
      <w:r>
        <w:rPr>
          <w:rFonts w:ascii="Amiri" w:hAnsi="Amiri" w:eastAsia="Amiri" w:cs="Amiri"/>
          <w:color w:val="111111"/>
          <w:sz w:val="28"/>
          <w:sz w:val="28"/>
          <w:szCs w:val="28"/>
          <w:rtl w:val="true"/>
          <w:lang w:bidi="ar-SA"/>
        </w:rPr>
        <w:t>، والشهيد</w:t>
      </w:r>
      <w:r>
        <w:rPr>
          <w:rStyle w:val="FootnoteAnchor"/>
          <w:rtl w:val="true"/>
        </w:rPr>
        <w:footnoteReference w:id="554"/>
      </w:r>
      <w:r>
        <w:rPr>
          <w:rFonts w:ascii="Amiri" w:hAnsi="Amiri" w:eastAsia="Amiri" w:cs="Amiri"/>
          <w:color w:val="111111"/>
          <w:sz w:val="28"/>
          <w:sz w:val="28"/>
          <w:szCs w:val="28"/>
          <w:rtl w:val="true"/>
          <w:lang w:bidi="ar-SA"/>
        </w:rPr>
        <w:t>، والمحقّق الثانيين</w:t>
      </w:r>
      <w:r>
        <w:rPr>
          <w:rStyle w:val="FootnoteAnchor"/>
          <w:rtl w:val="true"/>
        </w:rPr>
        <w:footnoteReference w:id="55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والعلّامة الطباطبائي حيث قال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أتتْ بخمسةٍ للخمس فليس فيه مطلقاً من بأس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كما عن ظاهر جماعةٍ كالمحقّق</w:t>
      </w:r>
      <w:r>
        <w:rPr>
          <w:rStyle w:val="FootnoteAnchor"/>
          <w:rtl w:val="true"/>
        </w:rPr>
        <w:footnoteReference w:id="557"/>
      </w:r>
      <w:r>
        <w:rPr>
          <w:rFonts w:ascii="Amiri" w:hAnsi="Amiri" w:eastAsia="Amiri" w:cs="Amiri"/>
          <w:color w:val="111111"/>
          <w:sz w:val="28"/>
          <w:sz w:val="28"/>
          <w:szCs w:val="28"/>
          <w:rtl w:val="true"/>
          <w:lang w:bidi="ar-SA"/>
        </w:rPr>
        <w:t xml:space="preserve">وغيره، وصريح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المنساق إلى الذهن من أخبار الجمع، كونه رخصة للإرفاق بحالها لا عزيمة، وإلّا فتعدّد الغُسل أولى‌، لكونه أبلغ في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يونس</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أبي حُبَيش كانت تغتسل في وقت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دماً صبيباً، فلتغتسل في وقت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Style w:val="FootnoteAnchor"/>
          <w:rtl w:val="true"/>
        </w:rPr>
        <w:footnoteReference w:id="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الأخبار هو الوجوب، وحملها على إرادة بيان الرخصة يحتاج إلى دليل، وتعدّد الغُسل ما لم تثبت مشروعيّته لا يكون أبلغ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الأمر بالغُسل في وقت كلّ صلاة، ولا يلازم ذلك الإتيان بصلاةٍ واحدة خاصّة، بل بما أنّ للصلوات الخمس أوقاتاً ثلاثةً‌، فلا تدلّ على أزيد من الأمر بأغسال ثلاثة، كما يشير إلى ذلك صحيح عبد اللّه بن سنان المرويّة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تغتسل عند كلّ صلاة الظهر، وتُصلّي الظهر والعصر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استحباب الطُهر التجديدي، لا الطُهر المبيح كما هو محلّ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المستفاد من روايات الباب، كون دم الاستحاضة الكثيرة من الأحداث الموجبة للغُسل، وأنّه إنّما يَعفي عن ما يتحقّق بعد الغُسل لصلاة الظهر والعصر، أو المغرب والعشاء إذا جمعت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التفريق بعدما لا ريب فيه من عدم سقوط التكليف بالصلاة الثانية، وعدم ثبوت العفو عمّا تحقّق بعد أن أخّرت الثانية، لامناص عن الإلتزام بمشروعيّة غُسلٍ خاص لها، مع أنّ الظاهر أنّ نصوص الباب كما تتكفّل لحَدَثيّة الدّم المذكور، كذلك تتكفّل لبيان رافعها، وهو الغُسل أو هو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على أنّها إذا فعلت ما يجبُ عليها، كانت بحكم الطاهرة، لاينافي ذلك، فإنّ المتيقّن منه ما لو جمعت بين الصلاتين، فلا يشمل معقد الإجماع صورة التفريق، فتدبّر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لعدم جواز تفريق الصلوات، ولعلّ الوجه الأوّل يكون مرجعه إلى ذلك، فإذاً الأقوى جواز التفريق والإتيان بخمسة أغسال</w:t>
      </w:r>
      <w:r>
        <w:rPr>
          <w:rFonts w:eastAsia="Amiri" w:cs="Amiri" w:ascii="Amiri" w:hAnsi="Amiri"/>
          <w:color w:val="111111"/>
          <w:sz w:val="28"/>
          <w:szCs w:val="28"/>
          <w:rtl w:val="true"/>
          <w:lang w:bidi="ar-SA"/>
        </w:rPr>
        <w:t>.</w:t>
      </w:r>
      <w:bookmarkStart w:id="221" w:name="pg11796_113506"/>
    </w:p>
    <w:p>
      <w:pPr>
        <w:pStyle w:val="Heading6"/>
        <w:numPr>
          <w:ilvl w:val="5"/>
          <w:numId w:val="1"/>
        </w:numPr>
        <w:rPr/>
      </w:pPr>
      <w:bookmarkStart w:id="222" w:name="__RefHeading___Toc10361898_73709187"/>
      <w:bookmarkStart w:id="223" w:name="_Toc84"/>
      <w:bookmarkEnd w:id="221"/>
      <w:bookmarkEnd w:id="222"/>
      <w:r>
        <w:rPr>
          <w:rtl w:val="true"/>
        </w:rPr>
        <w:t>عدم كفاية الأغسال عن الوضوء</w:t>
      </w:r>
      <w:bookmarkEnd w:id="22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تكفي الأغسال عن الوضوء مطلقاً، كما عن الصدوقين</w:t>
      </w:r>
      <w:r>
        <w:rPr>
          <w:rStyle w:val="FootnoteAnchor"/>
          <w:rtl w:val="true"/>
        </w:rPr>
        <w:footnoteReference w:id="562"/>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والشيخ</w:t>
      </w:r>
      <w:r>
        <w:rPr>
          <w:rStyle w:val="FootnoteAnchor"/>
          <w:rtl w:val="true"/>
        </w:rPr>
        <w:footnoteReference w:id="564"/>
      </w:r>
      <w:r>
        <w:rPr>
          <w:rFonts w:ascii="Amiri" w:hAnsi="Amiri" w:eastAsia="Amiri" w:cs="Amiri"/>
          <w:color w:val="111111"/>
          <w:sz w:val="28"/>
          <w:sz w:val="28"/>
          <w:szCs w:val="28"/>
          <w:rtl w:val="true"/>
          <w:lang w:bidi="ar-SA"/>
        </w:rPr>
        <w:t>وابني زهرة</w:t>
      </w:r>
      <w:r>
        <w:rPr>
          <w:rStyle w:val="FootnoteAnchor"/>
          <w:rtl w:val="true"/>
        </w:rPr>
        <w:footnoteReference w:id="565"/>
      </w:r>
      <w:r>
        <w:rPr>
          <w:rFonts w:ascii="Amiri" w:hAnsi="Amiri" w:eastAsia="Amiri" w:cs="Amiri"/>
          <w:color w:val="111111"/>
          <w:sz w:val="28"/>
          <w:sz w:val="28"/>
          <w:szCs w:val="28"/>
          <w:rtl w:val="true"/>
          <w:lang w:bidi="ar-SA"/>
        </w:rPr>
        <w:t>وحمزة</w:t>
      </w:r>
      <w:r>
        <w:rPr>
          <w:rStyle w:val="FootnoteAnchor"/>
          <w:rtl w:val="true"/>
        </w:rPr>
        <w:footnoteReference w:id="566"/>
      </w:r>
      <w:r>
        <w:rPr>
          <w:rFonts w:ascii="Amiri" w:hAnsi="Amiri" w:eastAsia="Amiri" w:cs="Amiri"/>
          <w:color w:val="111111"/>
          <w:sz w:val="28"/>
          <w:sz w:val="28"/>
          <w:szCs w:val="28"/>
          <w:rtl w:val="true"/>
          <w:lang w:bidi="ar-SA"/>
        </w:rPr>
        <w:t>والحلبي</w:t>
      </w:r>
      <w:r>
        <w:rPr>
          <w:rStyle w:val="FootnoteAnchor"/>
          <w:rtl w:val="true"/>
        </w:rPr>
        <w:footnoteReference w:id="567"/>
      </w:r>
      <w:r>
        <w:rPr>
          <w:rFonts w:ascii="Amiri" w:hAnsi="Amiri" w:eastAsia="Amiri" w:cs="Amiri"/>
          <w:color w:val="111111"/>
          <w:sz w:val="28"/>
          <w:sz w:val="28"/>
          <w:szCs w:val="28"/>
          <w:rtl w:val="true"/>
          <w:lang w:bidi="ar-SA"/>
        </w:rPr>
        <w:t>والقاضي</w:t>
      </w:r>
      <w:r>
        <w:rPr>
          <w:rStyle w:val="FootnoteAnchor"/>
          <w:rtl w:val="true"/>
        </w:rPr>
        <w:footnoteReference w:id="568"/>
      </w:r>
      <w:r>
        <w:rPr>
          <w:rFonts w:ascii="Amiri" w:hAnsi="Amiri" w:eastAsia="Amiri" w:cs="Amiri"/>
          <w:color w:val="111111"/>
          <w:sz w:val="28"/>
          <w:sz w:val="28"/>
          <w:szCs w:val="28"/>
          <w:rtl w:val="true"/>
          <w:lang w:bidi="ar-SA"/>
        </w:rPr>
        <w:t>وسلّار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يجب الوضوء مع كلّ غُسلٍ‌،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يجب لكلّ صلاةٍ‌،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وكُتب المصنّف</w:t>
      </w:r>
      <w:r>
        <w:rPr>
          <w:rStyle w:val="FootnoteAnchor"/>
          <w:rtl w:val="true"/>
        </w:rPr>
        <w:footnoteReference w:id="577"/>
      </w:r>
      <w:r>
        <w:rPr>
          <w:rFonts w:ascii="Amiri" w:hAnsi="Amiri" w:eastAsia="Amiri" w:cs="Amiri"/>
          <w:color w:val="111111"/>
          <w:sz w:val="28"/>
          <w:sz w:val="28"/>
          <w:szCs w:val="28"/>
          <w:rtl w:val="true"/>
          <w:lang w:bidi="ar-SA"/>
        </w:rPr>
        <w:t>، والمحقّق الثاني</w:t>
      </w:r>
      <w:r>
        <w:rPr>
          <w:rStyle w:val="FootnoteAnchor"/>
          <w:rtl w:val="true"/>
        </w:rPr>
        <w:footnoteReference w:id="5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ذهب عامّة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الإجتزاء بكلّ غُسلٍ عن الوضوء، وقد تقدّم في المتوسّطة أنّه لا فرق بين غُسل الاستحاضة وغيره، وإنّما بنينا على وجوبه فيها مع الغُسل للدليل الخاص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وجوب الوضوء لكلّ صلاة في المقام،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مرسل يونس الطويل</w:t>
      </w:r>
      <w:r>
        <w:rPr>
          <w:rStyle w:val="FootnoteAnchor"/>
          <w:rtl w:val="true"/>
        </w:rPr>
        <w:footnoteReference w:id="582"/>
      </w:r>
      <w:r>
        <w:rPr>
          <w:rFonts w:ascii="Amiri" w:hAnsi="Amiri" w:eastAsia="Amiri" w:cs="Amiri"/>
          <w:color w:val="111111"/>
          <w:sz w:val="28"/>
          <w:sz w:val="28"/>
          <w:szCs w:val="28"/>
          <w:rtl w:val="true"/>
          <w:lang w:bidi="ar-SA"/>
        </w:rPr>
        <w:t>في سُنّة التي تعرف أيّامها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فلتدَع الصَّلاة أيّام أقرائها، ثمّ تغتسل وتتوضّأ لكلّ 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أنّ المراد بالاغتسال غُسل الاستحاضة لا الحيض، وإلّا لزم السكوت عن غُسل الاستحاضة، مع أنّ بيانه أهمّ من الوضوء، وحينئذٍ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الوضوء الذي لابدَّ في الغُسل، بناءً على جعل الظرف متعلّقاً بالمجموع، فهو محمولٌ على الاستحباب لا محالة، لما سيأتي من عدم وجوب الاغتسال لكلّ 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غُسل الحيض، كما يظهر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مراجعة غير هذه الفقرة من فقرات المرسل، ونظائره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لو كان خصوص غُسل الاستحاضة، فقيام الدليل على عدم وجوب الغُسل لكلّ صلاةٍ يوجب حمل الأمر بالاغتسال على الاستحباب، وحيث لا صارف عن ظهور الأمر بالوضوء في الوجوب، فلا وجه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المزبور في كلامه، كما يصلح أنْ يكون صارفاً لظهور الأمر في الوجوب، يصلح أنْ يكون قرينةً على حمل الغُسل على غُسل الحيض على فرض عدم ظهوره فيه، إنْ تعلّق الظرف بالوضوء لا به وبالإغتسال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عدم كفاية الغُسل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الأظهر هي الكفاية، وعرفت في الاستحاضة المتوسّطة أنّه لا فرق بين غُسل الاستحاضة وغيره من الأغسال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الأخير لمرسل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بأولويّة وجوبه هنا من وجوبه في المتوسّطة بالنسبة إلى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العموم خُصّص بما دلَّ على إغناء الغُسل عن الوضوء، مع أنّه لا يدلّ على وجوب الوضوء في صورة كونها مُحدِثة بالحَدَث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إغناء الغُسل عنه، فقد عرفت ما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تغيير القُطنة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لفحوى ما دلَّ على لزومه في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عليه السلام في مصحّح صفوان</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وتستدخل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بين صلاتين بالتقريب المتقدّم في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لزوم تبديل الخِرقة أو تطهيرها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4" w:name="pg11796_113510"/>
    </w:p>
    <w:p>
      <w:pPr>
        <w:pStyle w:val="BookText"/>
        <w:rPr/>
      </w:pPr>
      <w:bookmarkEnd w:id="224"/>
      <w:r>
        <w:rPr>
          <w:rFonts w:ascii="Amiri" w:hAnsi="Amiri" w:eastAsia="Amiri" w:cs="Amiri"/>
          <w:color w:val="111111"/>
          <w:sz w:val="28"/>
          <w:sz w:val="28"/>
          <w:szCs w:val="28"/>
          <w:rtl w:val="true"/>
          <w:lang w:bidi="ar-SA"/>
        </w:rPr>
        <w:t>وغُسلها كغُسل الحائض، وإذا فعلت ما قلناه صارت بحكم الطاهرة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0361900_73709187"/>
      <w:bookmarkStart w:id="226" w:name="_Toc85"/>
      <w:bookmarkEnd w:id="225"/>
      <w:r>
        <w:rPr>
          <w:rtl w:val="true"/>
        </w:rPr>
        <w:t>التنبيه على اُمور</w:t>
      </w:r>
      <w:bookmarkEnd w:id="226"/>
    </w:p>
    <w:p>
      <w:pPr>
        <w:pStyle w:val="Heading6"/>
        <w:numPr>
          <w:ilvl w:val="5"/>
          <w:numId w:val="1"/>
        </w:numPr>
        <w:rPr/>
      </w:pPr>
      <w:bookmarkStart w:id="227" w:name="__RefHeading___Toc10361902_73709187"/>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إذا عملت المستحاضة بوظيفتها كانت بحكم الطاهرة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0361904_73709187"/>
      <w:bookmarkStart w:id="230" w:name="_Toc87"/>
      <w:bookmarkEnd w:id="229"/>
      <w:r>
        <w:rPr>
          <w:rtl w:val="true"/>
        </w:rPr>
        <w:t>المستحاضة غُسلها كغُسل الحائض</w:t>
      </w:r>
      <w:bookmarkEnd w:id="23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غُسلها كغُسل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والجُنُب ترتيباً وإرتماساً، إلّا أن فيه الوضوء لكلّ صلاةٍ‌، كما تقدّم إجماعاً؛ إذ مقتضى 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الدليل في بيان كيفيّة الإغتسال، ولو في موردٍ، ثمّ الأمر بالإغتسال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361906_73709187"/>
      <w:bookmarkStart w:id="232" w:name="_Toc88"/>
      <w:bookmarkEnd w:id="231"/>
      <w:r>
        <w:rPr>
          <w:rtl w:val="true"/>
        </w:rPr>
        <w:t>إذا عملت المستحاضة بوظيفتها كانت بحكم الطاهرة</w:t>
      </w:r>
      <w:bookmarkEnd w:id="232"/>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صارتْ بُحكم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وغيرهما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معاقد الإجماعات، وصريح جملةٍ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فعلت ما يجبُ عليها من الأغسال وغيرها، يرتفع أثر استحاضتها مطلقاً، ويجوز لها ما يجوز لغير المستحاضة، بل الطاهرة من الأحداث، فيجوز لها مسّ الكتاب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إيجابهم الوضوء لكلّ صلاة، وتبديل الخِرقة والقُطنة، لبنائهم على أنّها من وظائفها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مرادهم ذلك، عدم نقل القول عن أحدٍ بوجوب الغُسل للغايات الاُخر، بل عن بعضٍ دعوى الإجماع على العدم، وعدّهم الشيخ مخالفاً في المسألة، </w:t>
      </w:r>
    </w:p>
    <w:p>
      <w:pPr>
        <w:pStyle w:val="BookText"/>
        <w:rPr/>
      </w:pPr>
      <w:r>
        <w:rPr>
          <w:rFonts w:ascii="Amiri" w:hAnsi="Amiri" w:eastAsia="Amiri" w:cs="Amiri"/>
          <w:color w:val="111111"/>
          <w:sz w:val="28"/>
          <w:sz w:val="28"/>
          <w:szCs w:val="28"/>
          <w:rtl w:val="true"/>
          <w:lang w:bidi="ar-SA"/>
        </w:rPr>
        <w:t>حيث استثنى دخول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بعضٍ من حمل كلمات القوم على إرادة أنّها بحكم الطاهرة، بالإضافة إلى الصَّلاة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استلزام ذلك كون كلامهم هذا تأكيداً،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الهمداني رحمه الله</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المتيقّن من معقد الإجماع إنّما هو بيان صيرورتها بمنزلة الطاهرة، ما دام لأعمالها أثرٌ؛ فتستباح لها الغايات الاُخر متى استبيح لها 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استفادة أزيد من ذلك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المعنى المتقدّم من معقد الإجماع تنافي استدلالهم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إعادة الوضوء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 حَدَثٌ‌، فليقتصر في رفع حكمه على المتيقّن، ولذا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القول بلزوم تعدّد الوضوء للطواف وصلاته،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بوجوب تكرار الوضوء لتكرار المسّ‌، وتنافي أيضاً ما صرّح به بعضهم من وجوب تقديم الغُسل على الفجر للصوم معلّلاً بمانعيّة حَدَثها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ظهور معقد بعض الإجماعات، وصريح بعضٍ آخر منها فيما ذكرناه، لا يعتنى بما ذكره بعض المتأخّرين، لا سيّما مع احتمال كون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عدم تحقّق الإجماع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ينافي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يقال إنّ معقد الإجماع على أنّ المستحاضة لو عملت بما تقتضيه وظيفتها بالنسبة إلى الصَّلاة كانت بحكم الطاهرة بالنسبة إلى غير الصَّلاة، ولذلك التزمنا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إذا لم تجمع بين الصلاتين الظهر والعصر، أو المغرب والعشاء، يتعيّن عليها أن تغتسل عند الثانية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وجوب الإغتسال عليها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عدم وجوب الغُسل للغايات الاُخر، غير الصلوات المفروضة، يدلّ على عدم وجوبه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فالاستدلال المزبور، لوجوب الوضوء لكلّ صلاةٍ‌، في محلّه، ولا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 بعض لوجوب تقديم الغُسل على الفجر بمانعيّة حَدَثها، فيمكن أنْ يكون مراده احتمال عدم تحقّق الإجماع إلّابالنسبة إلى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ما ذكره شيخنا الأعظم رحمه الله</w:t>
      </w:r>
      <w:r>
        <w:rPr>
          <w:rStyle w:val="FootnoteAnchor"/>
          <w:rtl w:val="true"/>
        </w:rPr>
        <w:footnoteReference w:id="589"/>
      </w:r>
      <w:r>
        <w:rPr>
          <w:rFonts w:ascii="Amiri" w:hAnsi="Amiri" w:eastAsia="Amiri" w:cs="Amiri"/>
          <w:color w:val="111111"/>
          <w:sz w:val="28"/>
          <w:sz w:val="28"/>
          <w:szCs w:val="28"/>
          <w:rtl w:val="true"/>
          <w:lang w:bidi="ar-SA"/>
        </w:rPr>
        <w:t>من أنّ المستفاد من مجموع كلماتهم أنّ الكافي من الأفعال التي تفعل للصلاة اليوميّة للدخول في غيرها المشروط بالطهارة هو الغُسل فقط، مستشهداً بتصريحهم في القليلة بوجوب الوضوء، بل جميع ما عدا الغُسل لكلّ صلاة فرضاً ونفلاً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وشرحه</w:t>
      </w:r>
      <w:r>
        <w:rPr>
          <w:rStyle w:val="FootnoteAnchor"/>
          <w:rtl w:val="true"/>
        </w:rPr>
        <w:footnoteReference w:id="5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لزوم تجديد الوضوء لكلّ مشروطٍ بالطهارة، مستدلّاً بعموم ما دلَّ على حَدَثيّة دم الاستحاضة، فيجب تجديد الوضوء لرفعه للإجماع على الاكتفاء به،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جماعة أنّ المتيقّن من معقد الإجماع، هو الإجتزاء بما عملته من غاياتٍ اُخر غير الصَّلاة، في وقت الصَّلاة، فإذا خرج لا تجتزءُ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الفقهاء التصريح بأنّه إذا أرادت المستحاضة أن تُصلّي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اللّيل، قدّمت غُسل الفجر وصلّت به صلاة اللّيل؛ إذ لو كان غُسل العشائين كافياً لسائر الغايات بعد خروج وقتها، لما كانت حاجةً إلى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فتواهم هذه، وما صرّحوا به من الكبرى الكليّة، من غير تقييدٍ بضميمة الإجماع على‌عدم وجوب غُسل آخر غير الأغسال الصلاتيّة، يقتضي حمل هذه الفتوى منهم على صورة حدوث الاستحاضة بعدما صلّت العشائين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ثبوت هذه الكليّة، وهي أنّه إذا فعلت ما هو الواجب عليها، تكون بحكم الطاهرة، وتستبيح ما تستبيحه الطاهرة من الاُمور المشروطة بالطهارة مطلقاً</w:t>
      </w:r>
      <w:r>
        <w:rPr>
          <w:rFonts w:eastAsia="Amiri" w:cs="Amiri" w:ascii="Amiri" w:hAnsi="Amiri"/>
          <w:color w:val="111111"/>
          <w:sz w:val="28"/>
          <w:szCs w:val="28"/>
          <w:rtl w:val="true"/>
          <w:lang w:bidi="ar-SA"/>
        </w:rPr>
        <w:t>.</w:t>
      </w:r>
      <w:bookmarkStart w:id="233" w:name="pg11796_113514"/>
    </w:p>
    <w:p>
      <w:pPr>
        <w:pStyle w:val="Heading6"/>
        <w:numPr>
          <w:ilvl w:val="5"/>
          <w:numId w:val="1"/>
        </w:numPr>
        <w:rPr/>
      </w:pPr>
      <w:bookmarkStart w:id="234" w:name="__RefHeading___Toc10361908_73709187"/>
      <w:bookmarkStart w:id="235" w:name="_Toc89"/>
      <w:bookmarkEnd w:id="233"/>
      <w:bookmarkEnd w:id="234"/>
      <w:r>
        <w:rPr>
          <w:rtl w:val="true"/>
        </w:rPr>
        <w:t>في حكم المخلّة بوظيفتها</w:t>
      </w:r>
      <w:bookmarkEnd w:id="235"/>
    </w:p>
    <w:p>
      <w:pPr>
        <w:pStyle w:val="Heading6"/>
        <w:numPr>
          <w:ilvl w:val="5"/>
          <w:numId w:val="1"/>
        </w:numPr>
        <w:rPr/>
      </w:pPr>
      <w:bookmarkStart w:id="236" w:name="__RefHeading___Toc10361910_73709187"/>
      <w:bookmarkStart w:id="237" w:name="_Toc90"/>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أخلّت المستحاضة بشيءٍ من وظائفها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الشيء ممّا لا يعتبر في حصول الطهارة، كتغيير القُطنة، بطلت صلاتها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ممّا تقتضيه الأدلّة الدالّة على اشتراط صلاتها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غيرها من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دخالته في حصول الطهارة، وعدم الدليل على شرطيّته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ذلك ممّا يعتبر في حصول الطهارة، لا يجوز لها مع ذلك ما يشترط فيه الطهارة كالمسّ‌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لا كلام فيه،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لها ما يحرم على الحائض، لو أخلّت بالأغسال الصلاتيّة أم لا؟</w:t>
      </w:r>
    </w:p>
    <w:p>
      <w:pPr>
        <w:pStyle w:val="BookText"/>
        <w:rPr/>
      </w:pPr>
      <w:r>
        <w:rPr>
          <w:rFonts w:ascii="Amiri" w:hAnsi="Amiri" w:eastAsia="Amiri" w:cs="Amiri"/>
          <w:color w:val="111111"/>
          <w:sz w:val="28"/>
          <w:sz w:val="28"/>
          <w:szCs w:val="28"/>
          <w:rtl w:val="true"/>
          <w:lang w:bidi="ar-SA"/>
        </w:rPr>
        <w:t>نُسب ثانيهما إلى ظاهر الأصحاب</w:t>
      </w:r>
      <w:r>
        <w:rPr>
          <w:rStyle w:val="FootnoteAnchor"/>
          <w:rtl w:val="true"/>
        </w:rPr>
        <w:footnoteReference w:id="592"/>
      </w:r>
      <w:r>
        <w:rPr>
          <w:rFonts w:ascii="Amiri" w:hAnsi="Amiri" w:eastAsia="Amiri" w:cs="Amiri"/>
          <w:color w:val="111111"/>
          <w:sz w:val="28"/>
          <w:sz w:val="28"/>
          <w:szCs w:val="28"/>
          <w:rtl w:val="true"/>
          <w:lang w:bidi="ar-SA"/>
        </w:rPr>
        <w:t xml:space="preserve">، بل عن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فيجوز لها الدخول في المسجدين، والمكث في سائر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لعدم الجواز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المتكرّر في كلامهم، على أنّها إذا عَملت بوظيفتها، كانت بحكم الطاهرة، فإنّ مفهومه أنّه إذا لم تفعل فهي بحُكم الحائض، لا سيّما مع تذييله في كلام جماعة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لها الدخول في المساجد، وقراءة العزائم، والوطء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المُدَّعى في محكيّ‌</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الأخبار تفيد أنّها بحكم الحائض كما تفيده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استفعال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ظاهر كلمات الأصحاب، أنّ حَدَث الاستحاضة بعينه حَدَث الحيض، والأفعال المذكورة تجعلها بحكم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إذا كانت مسبوقة بالحيض، يكون المنع مقتضى الاستصحاب، فيثبت في غير هذه الصورة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مفهوم معقد الإجماع المذكور أنّها إنْ لم تفعل ما وَجَب عليها، فهي ليست بحكم الطاهرة، فلا يجوز لها الإتيان بشيءٍ من ما تعتبر فيه الطهارة من الاستحاضة، أو يكون حدث الاستحاضة مانعاً عن صحّته، والتذييل المذكور لا يكون دليلاً على إرادتهم من ذلك عدم جواز الاُمور المذكورة وغيرها ممّا يحرم على الحائض إذا لم تفعل ما وجب عليها، كما يشهد له ذكر المصنّف رحمه الله والمحقّق الوطء في عِداد تلك الاُمور، مع أنّ بناءهما على جوازه بدون الغُسل، مع أنّه لا يعتبر الوضوء في جواز دخول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بالاستحاضة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بلا خلاف، فالظاهر أن مراد القوم ما ذكرناه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المحتمل قوياً كون مأخذ ذلك الإجماع الإجماع المتقدّم آنفاً، بالتقريب الذي عرفت، مع أنّه قد عرفت مخالفة جماعة لهذا الحكم ممّا يوجب تزلزل الإجماع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استفادة كونها بحكم الحائض من الأخبار، فبعد ملاحظة أنّ الشارع خصَّ موضوع الأحكام المذكورة للحائض بما إذا لم يتجاوز دمها عن العشرة، ولم يكن أقلّ من ثلاثة، وجعل غير هذا الدّم قسيماً 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ظاهر كلمات الأصحاب ذلك، فليس له مأخذٌ سوى الإجماع مع التذييل المذكور، وقد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تكرّر منّا في هذا الشرح من عدم جريان الاستصحاب في الأحكام، لكونه محكوماً لاستصحاب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اغتسلت من الحيض، فلا ريب في ارتفاع المنع بناءً على تداخل الأغسال، وإن لم تغتسل يكون المنع باقياً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الأدلّة، أنّها إنْ لم تأتِ بالأغسال، لا يجوز لها الإتيان بالأشياء المنافية لحَدَث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الاُمور المنافية فيجب تشخيصها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يعتبر فيه الطهارة لا ريب في كونه من تلك الاُمور، لما عرفت من أنّ المستفاد من النصوص أنّ دم الاستحاضة حَدَثٌ‌، ولا ريب أيضاً في أنّ طلاقها ليس من تلك الاُمور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دخول المسجدين، والمكث في المساجد، فحيثُ لم يدلّ دليل على حرمتهما عليها، فيتعيّن الرجوع فيهما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قراءة العزائم</w:t>
      </w:r>
      <w:r>
        <w:rPr>
          <w:rFonts w:eastAsia="Amiri" w:cs="Amiri" w:ascii="Amiri" w:hAnsi="Amiri"/>
          <w:color w:val="111111"/>
          <w:sz w:val="28"/>
          <w:szCs w:val="28"/>
          <w:rtl w:val="true"/>
          <w:lang w:bidi="ar-SA"/>
        </w:rPr>
        <w:t>.</w:t>
      </w:r>
      <w:bookmarkStart w:id="238" w:name="pg11796_113517"/>
    </w:p>
    <w:p>
      <w:pPr>
        <w:pStyle w:val="Heading6"/>
        <w:numPr>
          <w:ilvl w:val="5"/>
          <w:numId w:val="1"/>
        </w:numPr>
        <w:rPr/>
      </w:pPr>
      <w:bookmarkStart w:id="239" w:name="__RefHeading___Toc10361912_73709187"/>
      <w:bookmarkStart w:id="240" w:name="_Toc91"/>
      <w:bookmarkEnd w:id="238"/>
      <w:bookmarkEnd w:id="239"/>
      <w:r>
        <w:rPr>
          <w:rtl w:val="true"/>
        </w:rPr>
        <w:t>حكم وطء المستحاضة</w:t>
      </w:r>
      <w:bookmarkEnd w:id="240"/>
    </w:p>
    <w:p>
      <w:pPr>
        <w:pStyle w:val="BookText"/>
        <w:rPr/>
      </w:pPr>
      <w:r>
        <w:rPr>
          <w:rFonts w:ascii="Amiri" w:hAnsi="Amiri" w:eastAsia="Amiri" w:cs="Amiri"/>
          <w:color w:val="111111"/>
          <w:sz w:val="28"/>
          <w:sz w:val="28"/>
          <w:szCs w:val="28"/>
          <w:rtl w:val="true"/>
          <w:lang w:bidi="ar-SA"/>
        </w:rPr>
        <w:t>وأمّا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جوازه قبل الغُسل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وشرحه</w:t>
      </w:r>
      <w:r>
        <w:rPr>
          <w:rStyle w:val="FootnoteAnchor"/>
          <w:rtl w:val="true"/>
        </w:rPr>
        <w:footnoteReference w:id="6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6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ظاهر الأصحاب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توقّف الجواز على الأفعال مطلقاً، قليلةً كانت أو كثيرة، أغسالاً كانت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الغُسل والوضوء دون سائر أفعالها، اختاره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الغُسل خاصّة، كما عن ظاهر الصدوقين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وقوّاه شيخنا الأعظم رحمه الله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وبعمومات حِل الأزواج وما مَلكت أيمانهم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 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ولابأس أن يأتيها بعلها إذا شاء، إلّاأيّام حيضها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يأتيها بعلها إلّاأيّام حيضها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هذه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ويأتيها زوجها إن أراد</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تعيّن الخروج عن الأصل، وتقييد الإطلاقات، بما دلَّ على اعتبار الغُسل في الحِليّة، بمقتضى الأخبار التالية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الوارد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زوجها أن يأتيها فحين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موثّقه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مالك بن أعين</w:t>
      </w:r>
      <w:r>
        <w:rPr>
          <w:rStyle w:val="FootnoteAnchor"/>
          <w:rtl w:val="true"/>
        </w:rPr>
        <w:footnoteReference w:id="618"/>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كيف يغشاها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الأيّام التي كانت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ويغشاها فيما سوى ذلك من الأيّام، ولا يغشاها حتّى يأمرها فتغتسل ثمّ يغشاها 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منها الاغتسال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موثّقي سماعة بقرينة وقوع ذلك في ذيل أحكام المستحاضة، صريحان في إرادة غُسل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فظاهره اعتبار الغُسل في جواز الوطء مطلقاً في غير تلك الأيّام، ولا يلائم ذلك مع إرادة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بإطلاقها تشمل القليلة، مع أنّه لا شبهة في عدم توقّف جواز وطئها في القليلة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يقيّد بما دلَّ من النصّ والفتوى على أنّه إذا حلّت لها الصَّلاة، جاز لزوجها أن يغشاها، وحليّة الصَّلاة في القليلة لاتتوقّف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موثّقي سماعة ظاهران في اعتبار معاقبة الوطء للغُسل، وهذا ما لم يقل به أحدٌ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والتصرّف فيهما، بحملهما على إرادة الغُسل للصلاة، ليس بأولى من حمل هذه النصوص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 شرطيّة شيء لشىء من دون اعتبار المعاقبة، بمثل ذلك شائع، فالمراد منه هو من حين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أعظميّة حَدَث الاستحاضة عن حَدَث الحيض؛ إذ لا يعتبر في جواز وطء الحائض بعد إنقطاع الدّم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 الالتزام بذلك إذا ساعد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الوطء مادام حَدَث الاستحاضة باقياً بالغُسل، لاتوجب الأعظميّة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فُضيل وزرارة،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تكفُّ عن الصَّلاة أيّام أقرائها، وتحتاط بيوم أو يومين، ثمّ تغتسل كلّ يوم وليلة ثلاث مرّات، وتحتشي لصلاة الغداة وتغتسل، تجمع بين الظهر والعصر بغُسل، وتجمع بين المغرب والعشاء بغُسلٍ‌، فإذا حلّت لها الصَّلاة حَلَّ لزوجها أن يغشاها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راجعاً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الحيض، بل يكون مرتبطاً بحكم المستحاضة المذكور بعد حكم الحائض من أنّ صلاتها تتوقّف على الأغسال الثلاثة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كالصريح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حدث الاستحاضة، وهو إنّما يكون بالإتيان بجميع وظائفها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تقريب الاستدلال لهذا القول بصحيح البصري</w:t>
      </w:r>
      <w:r>
        <w:rPr>
          <w:rStyle w:val="FootnoteAnchor"/>
          <w:rtl w:val="true"/>
        </w:rPr>
        <w:footnoteReference w:id="620"/>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المستحاضة أيطأها زوجها، وهل تطوف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استحلّت به الصَّلاة فليأتها زوجها ولتطف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صحيح ابن مسلم</w:t>
      </w:r>
      <w:r>
        <w:rPr>
          <w:rStyle w:val="FootnoteAnchor"/>
          <w:rtl w:val="true"/>
        </w:rPr>
        <w:footnoteReference w:id="621"/>
      </w:r>
      <w:r>
        <w:rPr>
          <w:rFonts w:ascii="Amiri" w:hAnsi="Amiri" w:eastAsia="Amiri" w:cs="Amiri"/>
          <w:color w:val="111111"/>
          <w:sz w:val="28"/>
          <w:sz w:val="28"/>
          <w:szCs w:val="28"/>
          <w:rtl w:val="true"/>
          <w:lang w:bidi="ar-SA"/>
        </w:rPr>
        <w:t>، وخبر إسماعيل بن عبد الخالق</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ولا أقلّ من الاحتمال ورودها في مقام بيان عدم الفرق بين أحكام الحائض، وأنّه عند استمرار الدّم لا تحلّ لها الصَّلاة في أيّام قُرئها، ولا يحلّ لزوجها أن يأيتها، وبعد تلك الأيّام كما تحلّ لها الصَّلاة يَحلّ لزوجها الجماع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الأخبار إرادة الحليّة الذاتيّة من حِلّ الصَّلاة في مقابل أيّام أقرائها، لا إباحة الدخول في الصَّلاة في مقابل المُحدِث الذي لا تباح له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السؤال في صحيح البصري إنّما هو عن أصل جواز الوطء والطواف لا عن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فرض دلالتها على قيامها بإتيان جميع الأفعال التي تتوقّف عليها صحّة صلاتها، يتعيّن حملها على إرادة خصوص الغُسل للأخبار المتقدّمة، الظاهرة في كفاية الغُسل، فإنّ رفع اليد عن ظهور هذه النصوص أهون من تقييد تلك الأخبار، كما لا يخفى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لايبعد دعوى انصرافها بأنفسها عن ما عدا الغُسل، لبُعد مدخليّة غير الأغسال من الأفعال في حليّة الوطء، بل في رفع حَدَث الاستحاضة،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التي استدلّ بها للقول الثاني، بدعوى انصرافها عمّا عدا الغُسل والوضوء من الأفعال؛ لأنّ الظاهر كونها من قبيل الشرائط الخارجيّة لفعل الصَّلاة، بلا دخلٍ لها في رفع حَدَث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خالد، عن إسماعيل بن عبد الخالق</w:t>
      </w:r>
      <w:r>
        <w:rPr>
          <w:rStyle w:val="FootnoteAnchor"/>
          <w:rtl w:val="true"/>
        </w:rPr>
        <w:footnoteReference w:id="623"/>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وقت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يواقعها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بها ذلك، فلتغتسل ولتتوضّأ ثمّ يواقعها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نضح الماء على الفرج الذي هو معناه اللّغوي، ويكون ذلك كنايةً عن تنظيف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الأخير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41" w:name="pg11796_113523"/>
    </w:p>
    <w:p>
      <w:pPr>
        <w:pStyle w:val="Heading6"/>
        <w:numPr>
          <w:ilvl w:val="5"/>
          <w:numId w:val="1"/>
        </w:numPr>
        <w:rPr/>
      </w:pPr>
      <w:bookmarkStart w:id="242" w:name="__RefHeading___Toc10361914_73709187"/>
      <w:bookmarkStart w:id="243" w:name="_Toc92"/>
      <w:bookmarkEnd w:id="241"/>
      <w:bookmarkEnd w:id="242"/>
      <w:r>
        <w:rPr>
          <w:rtl w:val="true"/>
        </w:rPr>
        <w:t>اشتراط صحّة صوم المستحاضة على الأغسال</w:t>
      </w:r>
      <w:bookmarkEnd w:id="243"/>
    </w:p>
    <w:p>
      <w:pPr>
        <w:pStyle w:val="BookText"/>
        <w:rPr/>
      </w:pPr>
      <w:r>
        <w:rPr>
          <w:rFonts w:ascii="Amiri" w:hAnsi="Amiri" w:eastAsia="Amiri" w:cs="Amiri"/>
          <w:color w:val="111111"/>
          <w:sz w:val="28"/>
          <w:sz w:val="28"/>
          <w:szCs w:val="28"/>
          <w:rtl w:val="true"/>
          <w:lang w:bidi="ar-SA"/>
        </w:rPr>
        <w:t>يدور البحث في المقام عن حكم صوم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صحّته على الأغسال النهاريّة،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xml:space="preserve">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اختصاص التوقّف بغُسل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الأوّل إلى رواية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بالرواية هو صحيح علي بن مهزيار</w:t>
      </w:r>
      <w:r>
        <w:rPr>
          <w:rStyle w:val="FootnoteAnchor"/>
          <w:rtl w:val="true"/>
        </w:rPr>
        <w:footnoteReference w:id="6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نفاسها في أوّل يوم من شهر رمضان، ثمّ استحاضت وصلّت وصامت شهر رمضان، من غير أن تعمل ما تعمله المستحاضة من الغُسل لكلّ صلاتين، فهل يجوز صومها وصلاتها أم 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صومها ولا تقضي صلاتها، لأنّ رسول اللّه صلى الله عليه و آله كان يأمر فاطمة والمؤمنات من نسائه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مضمرٌ، والمسؤول عنه لعلّه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مهزيار من أجلّاء الأصحاب، وهو لا يروي عن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الصدِّيقة الطاهرة، مع أنّها عليها السلام لم ترَ حُمرةً كما تكاثرت الأخبار بذلك، وهو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فاطمة بنت أبي حُبَيش، إلّاأنّه مع ذلك ليس في الرواية ما يُشعر بكون أمر النبيّ إيّاها عليها السلام لأجل ابتلائها بذلك، فمن الممكن أنْ يكون أمره إيّاها لتعليم نساء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ما لا يقول به الأصحاب، وهو عدم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طرح هذه الفقرة من الحديث، لا جميع فقراته، لإمكان التفكيك في الحجيّة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الجمود على عبارة الصحيح، هو عدم التوقّف على غُسل الفجر، لعدم التعرّض له، إلّاأنّ الظاهر إرادة تركها للغُسل أصلاً لشيوع التعبير في النصوص عن الأغسال الثلاثة الواجبة عليها بالغُسل لكلّ صلاتين،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فالنص إنّما يدلّ على بطلان صومها عند ترك جميع الأغسال، ولا دلالة له على توقّفه على فعل جميعها أو بعضها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يكون التوقّف على فعل الجميع أو البعض معلوماً بالإجمال، وحيث إنّ التوقّف على غُسل الفجر متيقّنٌ بحسب الفتاوى، فلا يجري الأصل فيه، كما أنّ التوقّف على غُسل الظهرين متيقّنٌ بحسب عبارة النصّ‌، بعد ضمّ عدم القول بالتوقّف على غُسل العشائين دونه، فلا يجري فيه أيضاً، فيجري الأصل بالنسبة إلى </w:t>
      </w:r>
    </w:p>
    <w:p>
      <w:pPr>
        <w:pStyle w:val="BookText"/>
        <w:rPr/>
      </w:pPr>
      <w:r>
        <w:rPr>
          <w:rFonts w:ascii="Amiri" w:hAnsi="Amiri" w:eastAsia="Amiri" w:cs="Amiri"/>
          <w:color w:val="111111"/>
          <w:sz w:val="28"/>
          <w:sz w:val="28"/>
          <w:szCs w:val="28"/>
          <w:rtl w:val="true"/>
          <w:lang w:bidi="ar-SA"/>
        </w:rPr>
        <w:t>غُسل العشائين بلا معارضٍ‌، وبه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تظهر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صحّة صومها على الأغسال النهاريّة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احتمال توقّفها على خصوص غُسل الفجر وضعفه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له بأنّ غُسل الظهرين بمنزلة الغُسل للجنابة، الحاصلة في أثناء النهار، فيكفي في الصوم الدخول فيه مع الطهارة عن الحَدَث الأكبر، فيعدّ إجتهاداً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توقّفها على جميع الأغسال الواجبة عليها، حتّى غُسل ليلته اللّاحقة، كما هو ظاهر كلّ من عبّر بتوقّفها على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احتمالٌ رابع وقولٌ ثالث، وهو التوقّف على غسل اللّيلة السابقة مطلقاً، أو بشرط عدم تقدّم غُسل الفجر قبله، وهو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وقوّاه شيخنا الأعظم رحمه الله</w:t>
      </w:r>
      <w:r>
        <w:rPr>
          <w:rStyle w:val="FootnoteAnchor"/>
          <w:rtl w:val="true"/>
        </w:rPr>
        <w:footnoteReference w:id="635"/>
      </w:r>
      <w:r>
        <w:rPr>
          <w:rFonts w:ascii="Amiri" w:hAnsi="Amiri" w:eastAsia="Amiri" w:cs="Amiri"/>
          <w:color w:val="111111"/>
          <w:sz w:val="28"/>
          <w:sz w:val="28"/>
          <w:szCs w:val="28"/>
          <w:rtl w:val="true"/>
          <w:lang w:bidi="ar-SA"/>
        </w:rPr>
        <w:t>على فرض كون المنع للحَدَث لا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 عدم تحقّق الأمرين، تكون عند الدخول في الصوم مُحْدِثة، وهي قادرة على رفعه، فيجب عليها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منع حَدَث الاستحاضة عن الصوم غير معلومة، ولعلّه يكون مانعاً لو لم تأتِ بالأغسال النهاريّة، كما هو ظاهر النصّ‌، مع أنّها على تقدير غُسلها لعشائي اللّيلة السابقة، لا تكون عند الفجر متطهّرة من الحَدَث، فالإلتزام بالاكتفاء به يلازم القول بعدم مانعيّة الحَدَث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ظاهر النصّ اعتبار خصوص الغُسل في الصوم، فشرطيّة الوضوء لا دليل عليها، والأصل يقتضي العدم، فما عن بعضٍ من دخله 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الحَدَث الأكبر لا يرتفع بخصوص الغُسل، بل مقتضى ما دلَّ على أنّ كلّ غُسلٍ معه وضوءٌ‌، دَخْلُ الوضوء في أثر الغُسل، فلابدّ من الإتيان به كي يرتفع حَدَث الاستحاضة، فيصحّ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ما تقدّم من إجزاء كلّ غُسل عن الوضوء، فضلاً عن رافعيّته للحَدَث الأكبر، أنّ كيفيّة منع حَدَث الاستحاضة غير معلومة، كما عرفت، فالأظهر عدم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النصّ وإنْ اختصّ بالاستحاضة الكثيرة، إلّاأنّه يتعدّى عنها إلى المتوسّطة كما هو المشهور، بدليل الإجماع، ودعوى تنقيح المناط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المتيقّن من الإجماع صورة الغمس قبل الفجر، الموجب لتحقّق الحَدَث من ابتداء الصوم، فيختصّ الحكم بها، فلو كان الغمس بعده قبل الصَّلاة أو بعدها، وجبَ الغُسل لصلاة الظهر إنْ كان بعد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يجب، لايعتبر الغسل في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بعض الحواشي المنسوبة إلى الشهيد</w:t>
      </w:r>
      <w:r>
        <w:rPr>
          <w:rStyle w:val="FootnoteAnchor"/>
          <w:rtl w:val="true"/>
        </w:rPr>
        <w:footnoteReference w:id="636"/>
      </w:r>
      <w:r>
        <w:rPr>
          <w:rFonts w:ascii="Amiri" w:hAnsi="Amiri" w:eastAsia="Amiri" w:cs="Amiri"/>
          <w:color w:val="111111"/>
          <w:sz w:val="28"/>
          <w:sz w:val="28"/>
          <w:szCs w:val="28"/>
          <w:rtl w:val="true"/>
          <w:lang w:bidi="ar-SA"/>
        </w:rPr>
        <w:t>من تقييد وجوب الغُسل على المتوسّطة بما إذا كان الغمس قبل الفجر،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لم يوجد القائل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للاختصاص به، فتدبّر، والاحتياط طريق النجاة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4" w:name="pg11796_113527"/>
    </w:p>
    <w:p>
      <w:pPr>
        <w:pStyle w:val="Heading6"/>
        <w:numPr>
          <w:ilvl w:val="5"/>
          <w:numId w:val="1"/>
        </w:numPr>
        <w:rPr/>
      </w:pPr>
      <w:bookmarkStart w:id="245" w:name="__RefHeading___Toc10361916_73709187"/>
      <w:bookmarkStart w:id="246" w:name="_Toc93"/>
      <w:bookmarkEnd w:id="244"/>
      <w:bookmarkEnd w:id="245"/>
      <w:r>
        <w:rPr>
          <w:rtl w:val="true"/>
        </w:rPr>
        <w:t>لزوم المبادرة إلى الصَّلاة بعد الغُسل</w:t>
      </w:r>
      <w:bookmarkEnd w:id="246"/>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لزوم معاقبة الصَّلاة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مخالفاً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والعلّامة الطباطبائي</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مصحّح ابن سنان</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خبري أبي المغرا</w:t>
      </w:r>
      <w:r>
        <w:rPr>
          <w:rStyle w:val="FootnoteAnchor"/>
          <w:rtl w:val="true"/>
        </w:rPr>
        <w:footnoteReference w:id="643"/>
      </w:r>
      <w:r>
        <w:rPr>
          <w:rFonts w:ascii="IRNazanin" w:hAnsi="IRNazanin" w:eastAsia="IRNazanin"/>
          <w:color w:val="111111"/>
          <w:sz w:val="28"/>
          <w:sz w:val="28"/>
          <w:szCs w:val="28"/>
          <w:rtl w:val="true"/>
          <w:lang w:bidi="fa-IR"/>
        </w:rPr>
        <w:t>، وإسحاق بن عمّار</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عند كلّ صلاتين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في اعتبار المقاربة، لما 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لا تُصغَّر فهي للمقاربة، 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للمقاربة، لأنّها مع ترك التصغير بمنزلة بُعيد وقُبيل في التصغير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منها إضافتها إلى الوقت، أي زمان حضور وقت كلّ صلاةٍ لا حضور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المضاف في نفسه خلاف الظاهر، وإطلاق النصوص الاُخر لايصلح قرينةً عليه، لأنّ ظهور المقيّد مقدّمٌ على ظهور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ما ذُكر في المقام مع ما ذكرناه في مسألة وطء المستحاضة،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زوجها أن يأتيها فحين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ظاهر في اعتبار المعاقبة، لتعارف التعبير عن الشرطيّة المطلقة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الفرق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الفرق بين التعبير بجواز الإتيان حين الاغتسال، والأمر بالاغتسال حين الإتيان واضحٌ‌، لا يحتاج إلى بيان،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له بوجوب الاقتصار في تسويغ الحَدَث الواقع بعد الغُسل، المخالف للأصل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النصوص، عدم وجوب الاقتصار على مقدارالضرورة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لها من هذه الجهة، حتّى يتمسّك بإطلاقها لجواز التأخير،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وبالأصل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الإمام الصادق عليه السلام في خبر ابن عبد الخالق</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صلاةد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الفجر فلتغتسل بعد الفجر، ثمّ تصلّي ركعتين قبل الغداة، ثمّ تصلّي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ابن بُكير المتقدّم</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عشرة أيّام، فعلت ما تفعله المستحاضة ثمّ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تقييده بما تقدّم، وبه يجب الخروج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ابن عبد الخالق؛ فهو لا يدلّ إلّاعلى جواز الفصل بمقدار ركعتي النافلة، وهذا المقدار من الفصل لا يتنافى مع المقاربة المعتبرة، لأنّها أعمّ من المبادرة، وبذلك يظهر وجه جواز الفصل بمقدار الأذان والإقامة، وانتظار الجماعة، والذهاب إلى مكان الصَّلاة إذا كانا غير منافيين للمقاربة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ابن بُكير؛ فلأنّ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لإفادة لزوم الفصل بين مدخولها وما قبلها، بل لتأخّره عنه، وعليه فيقيّد إطلاقه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معاقبة الصَّلاة للغُسل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معاقبتها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والجامع</w:t>
      </w:r>
      <w:r>
        <w:rPr>
          <w:rStyle w:val="FootnoteAnchor"/>
          <w:rtl w:val="true"/>
        </w:rPr>
        <w:footnoteReference w:id="6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وجمهور المتأخّرين إلّاالمصنّف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أجد فيه خلافاً صريحاً إلّامن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العلّامة الطباطبائي في مصابيحه مدّعياً أنّه ظاهر الأكثر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 الإقتصار على مقدار الضرورة في تسويغ الحَدَث الواقع بعد الوضوء المخالف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ظهور الفرق بينه وبين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الأمر بالوضوء لكلّ صلاة؛ إذ لو لم تقدح الفاصلة لم تجب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مقتضى إطلاق الأدلّة عدم وجوب الاقتصار على 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ظهور الفرق لا يكفي في ثبوت ما ثبت من الغُسل للوضوء، بل يتوقّف ذلك على إثبات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يعلم أنّ الوجه في الأمر بالوضوء لكلّ صلاةٍ هو قدح الفاصلة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استدلّ به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من الاستعانة ببعض الأخبار المشتملة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في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والإنكار عليه بعدم الوجدان، كما وقع من بعضهم، في غير محلّه؛ إذ في خبر ابن جعفر المتقدّم عن أخيه عليه السلام في القليلة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يجزؤها الوضوء عند كلّ صلاة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من دعوى الإجماع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ومَنْ به سَلس البول، يجبُ عليهما تجديد الوضوء عند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أن تعقبه الصَّلاة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7" w:name="pg11796_113532"/>
    </w:p>
    <w:p>
      <w:pPr>
        <w:pStyle w:val="Heading6"/>
        <w:numPr>
          <w:ilvl w:val="5"/>
          <w:numId w:val="1"/>
        </w:numPr>
        <w:rPr/>
      </w:pPr>
      <w:bookmarkStart w:id="248" w:name="__RefHeading___Toc10361918_73709187"/>
      <w:bookmarkStart w:id="249" w:name="_Toc94"/>
      <w:bookmarkEnd w:id="247"/>
      <w:bookmarkEnd w:id="248"/>
      <w:r>
        <w:rPr>
          <w:rtl w:val="true"/>
        </w:rPr>
        <w:t>المتوسّطة الحادثة بعد صلاة الفجر</w:t>
      </w:r>
      <w:bookmarkEnd w:id="249"/>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المتوسّطة بعد صلاة الفجر، لا يجبُ الغُسل لها إجماعاً وقطعاً، ولا يخفى وجهه، فهل يجب للظهرين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إلى ظاهر كلام الأصحاب العدم،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المتأمّل في كلماتهم يمكنه تحصيل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في غيرها</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صرّحوا بذلك، إلّاأنّ الظاهر عدم تحقّق الإجماع، بل ولا الشهرة عليه، كما صرّح به الشيخ الأعظم رحمه الله</w:t>
      </w:r>
      <w:r>
        <w:rPr>
          <w:rStyle w:val="FootnoteAnchor"/>
          <w:rtl w:val="true"/>
        </w:rPr>
        <w:footnoteReference w:id="662"/>
      </w:r>
      <w:r>
        <w:rPr>
          <w:rFonts w:ascii="Amiri" w:hAnsi="Amiri" w:eastAsia="Amiri" w:cs="Amiri"/>
          <w:color w:val="111111"/>
          <w:sz w:val="28"/>
          <w:sz w:val="28"/>
          <w:szCs w:val="28"/>
          <w:rtl w:val="true"/>
          <w:lang w:bidi="ar-SA"/>
        </w:rPr>
        <w:t xml:space="preserve">، إذ لا وجه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بعد عدم تصريح أكثر الأصحاب بذلك إلّادعوى أنّ جماعة من الأصحاب ادّعوا الإجماع على تخصيص الغُسل بالغداة، وهي فاسدة؛ إذ الظاهر أنّ مرادهم من ذلك ليس اختصاص أثر الغُسل بها، بل يريدون به عدم وجوب غُسلٍ آخر لما عداها في مقابل الكثيرة، كما يشهد له، أنّ جماعةً من المصرّحين بذلك أوجبوا الغُسل، لانقطاع دم المستحاضة للبُرء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المتوسّطة حَدَثاً بالنسبة إلى غير الصبح، لم يجب الغُسل عند انقطاعه لبقيّة الصلوات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لم تغتسل لصلاة الصبح، لزمها </w:t>
      </w:r>
    </w:p>
    <w:p>
      <w:pPr>
        <w:pStyle w:val="BookText"/>
        <w:rPr/>
      </w:pPr>
      <w:r>
        <w:rPr>
          <w:rFonts w:ascii="Amiri" w:hAnsi="Amiri" w:eastAsia="Amiri" w:cs="Amiri"/>
          <w:color w:val="111111"/>
          <w:sz w:val="28"/>
          <w:sz w:val="28"/>
          <w:szCs w:val="28"/>
          <w:rtl w:val="true"/>
          <w:lang w:bidi="ar-SA"/>
        </w:rPr>
        <w:t>الغُسل إذا أرادت الصَّلاة الباقية، على وجهٍ يظهر منه كونه من المسلّمات، ولولا كونها حَدَثاً بالنسبة إلى غير الصبح، لم يكن وجهٌ لوجوب الغُسل إذا أرادت الإتيان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ذلك، كون الاستحاضة المتوسّطة الحادثة قبل صلاة الفجر حَدَثاً بالنسبة إلى جميع الصلوات، لا خصوص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ساعدنا الدليل على وجوب الغُسل لهما، لانُبالي بما استظهره رحمه الله من الإجماع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النصوص، حيث أنّها تدلّ على أنّ الغُسل شرطٌ لجميع الصلوات، وتوجب المتوسّطة غُسلاً واحداً بالنسبة إليها، كما هو ظاهر جملةٍ منها وصريح جملةٍ اُخرى‌، كروايتي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يجز الدّم الكُرسُف، فعليهاالغُسل كلّ يومٍ مرّة والوضوء لكلّ صلاة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المتقدّم</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بغُسلٍ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تُصلّي جميع الصلوات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بنينا على وجوبه للغداة، من جهة ظهور الأدلّة في كونه ملحوظاً بنحو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إطلاقها وجوب الغُسل للظهرين، إذا حدثت بعد صلاة الفجر، كما أنّها إنْ حدثت بعد الظهرين وَجَب الغُسل للعشائين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للظهرين أو العشائين، هو الأقوى‌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0" w:name="pg11796_113534"/>
    </w:p>
    <w:p>
      <w:pPr>
        <w:pStyle w:val="Heading6"/>
        <w:numPr>
          <w:ilvl w:val="5"/>
          <w:numId w:val="1"/>
        </w:numPr>
        <w:rPr/>
      </w:pPr>
      <w:bookmarkStart w:id="251" w:name="__RefHeading___Toc10361920_73709187"/>
      <w:bookmarkStart w:id="252" w:name="_Toc95"/>
      <w:bookmarkEnd w:id="250"/>
      <w:bookmarkEnd w:id="251"/>
      <w:r>
        <w:rPr>
          <w:rtl w:val="true"/>
        </w:rPr>
        <w:t>يجب على المستحاضة اختبار حالها</w:t>
      </w:r>
      <w:bookmarkEnd w:id="252"/>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اختبار حالها، وأنّها من أيّ قسمٍ من الأقسام الثلاثة،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Style w:val="FootnoteAnchor"/>
          <w:rtl w:val="true"/>
        </w:rPr>
        <w:footnoteReference w:id="670"/>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رأت دماً بعد أيّامها الّتي كانت ترى الدّم فيها، فلتقعد عن الصَّلاة يوماً أو يومين، ثمّ تمسك قطنةً‌، فإن صبغ القُطنة دم لا ينقطع فلتجمع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الرحمن</w:t>
      </w:r>
      <w:r>
        <w:rPr>
          <w:rStyle w:val="FootnoteAnchor"/>
          <w:rtl w:val="true"/>
        </w:rPr>
        <w:footnoteReference w:id="671"/>
      </w:r>
      <w:r>
        <w:rPr>
          <w:rFonts w:ascii="Amiri" w:hAnsi="Amiri" w:eastAsia="Amiri" w:cs="Amiri"/>
          <w:color w:val="111111"/>
          <w:sz w:val="28"/>
          <w:sz w:val="28"/>
          <w:szCs w:val="28"/>
          <w:rtl w:val="true"/>
          <w:lang w:bidi="ar-SA"/>
        </w:rPr>
        <w:t>، عن الإمام الصادق عليه السلام في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ولتستدخل كُرسفاً، فإن ظهر على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مانعٌ عن الرجوع إلى أصالة البراءة من الغُسل، والرجوع إلى استصحاب الحكم أو الموضوع، إذا لم يكن موافقاً للاحتياط، لظهوره في كونه طريقياً إلى معرفة كون الاستحاضة من أيّ قسمٍ من الأقسام الثلاثة حتّى تترتّب عليها الأحكام المختصّة بذلك القسم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كونه إرشاديّاً إلى تنجّز الواقع على ما هو عليه، </w:t>
      </w:r>
    </w:p>
    <w:p>
      <w:pPr>
        <w:pStyle w:val="BookText"/>
        <w:rPr/>
      </w:pPr>
      <w:r>
        <w:rPr>
          <w:rFonts w:ascii="Amiri" w:hAnsi="Amiri" w:eastAsia="Amiri" w:cs="Amiri"/>
          <w:color w:val="111111"/>
          <w:sz w:val="28"/>
          <w:sz w:val="28"/>
          <w:szCs w:val="28"/>
          <w:rtl w:val="true"/>
          <w:lang w:bidi="ar-SA"/>
        </w:rPr>
        <w:t>وأنّ الجهل لا يكون عُذراً، لا في كون الاختبار شرطاً تعبّديّاً في صحّة العبادة، أو واجباً نفسيّاً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هذه النصوص، المنع من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الامتثال الإجمالي مع إمكان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منها كما عرفت عدم ورودها في مقام بيان اعتبار أمرٍ آخر وراء ما يعتبر للمستحاضة في صلاتها، وعليه فبالاحتياط يُحرز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الصحّة لو كان ما فعلته موافقاً للواقع، مشتملاً على نيّة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فيكون مفاد النصوص منطبقاً على القاعدة، فإنّ العقل كما يحكم بقبح العقاب بلا بيان، كذلك يحكم بوجوب الفحص في أمثال المقام، ممّا لا يمكن معرفة الموضوع غالباً إلّابالاختبار، ويكون هذا الحكم العقلي كالقرينة المتّصلة مانعاً عن انعقاد ظهور أدلّة الاُصول النافية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تمكّنت من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العجز عن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سقوط الصَّلاة، لأنّها لا تسقط بحال، فهل تجري في حقّها الاُصول النافية، أم يجب عليها الاحتياط؟ وجهان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الثاني، لإطلاق دليل الاختبار الموجب لسقوط الاُصول النافية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الإطلاق في دليل الاختبار، مع أنّ الأمر به في فرض عدم التمكّن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إطلاق دليله وجوب الاختبار في الفرض، كي يستحيل ثبوته، بل المراد بثبوته تنجّز الواقع على ما هو عليه، وعدم عذريّة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عليها الاحتياط، والعمل بأسوء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إشكال في الاكتفاء بالاختبار قبل الوقت، إذا علمت بعدم تغيّر حالها إلى ما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احتملت التغيّر، فهل تكتفي به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الاختبار واجبٌ بالإجماع وغيره، فلابدَّ من الإتيان به بعد الوقت، لعدم وجوبه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الأدلّة اعتبار تقارب الاختبار والعمل، وبعبارة اُخرى الاختبار حين إرادة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الاختبار وإنْ كان مقدّمةً للاغتسال أو التوضّي، ولازم ذلك عدم وجوبه قبل دخول الوقت، لكن الكلام ليس في ذلك، بل في أنّه لو أوجدته هل تكتفي به بعد دخول الوقت، كما هو كذلك في المقدّمات التي يؤتى بها قبل وقت ذيّها أم 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عدم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المستحاضة حالها، فلا حاجة إلى الاختبار ثانياً، مع أنّه لو تمّ‌، فإنّما يقتضي </w:t>
      </w:r>
    </w:p>
    <w:p>
      <w:pPr>
        <w:pStyle w:val="BookText"/>
        <w:rPr/>
      </w:pPr>
      <w:r>
        <w:rPr>
          <w:rFonts w:ascii="Amiri" w:hAnsi="Amiri" w:eastAsia="Amiri" w:cs="Amiri"/>
          <w:color w:val="111111"/>
          <w:sz w:val="28"/>
          <w:sz w:val="28"/>
          <w:szCs w:val="28"/>
          <w:rtl w:val="true"/>
          <w:lang w:bidi="ar-SA"/>
        </w:rPr>
        <w:t>عدم انفصال الاختبار عن أداء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اختبرت قبل الوقت، وأدّت وظيفتها في الوقت مقارناً له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اختبرت في أوّل الوقت، وأدّت وظيفتها في آخره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مستند من اعتبر كون الاختبار حين إرادة العمل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الاختبار المذكور لاستصحاب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أدلّة الاختبار تدلّ على إلغاء الاستصحاب في المقام، فلا مجال لإجرائه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إنّما اقتضت إلغاء الاستصحاب قبل الاختبار لا بعده، فتدبّر</w:t>
      </w:r>
      <w:r>
        <w:rPr>
          <w:rFonts w:eastAsia="IRNazanin" w:cs="IRNazanin"/>
          <w:color w:val="111111"/>
          <w:sz w:val="28"/>
          <w:szCs w:val="28"/>
          <w:rtl w:val="true"/>
          <w:lang w:bidi="fa-IR"/>
        </w:rPr>
        <w:t>.</w:t>
      </w:r>
      <w:bookmarkStart w:id="253" w:name="pg11796_113538"/>
    </w:p>
    <w:p>
      <w:pPr>
        <w:pStyle w:val="Heading6"/>
        <w:numPr>
          <w:ilvl w:val="5"/>
          <w:numId w:val="1"/>
        </w:numPr>
        <w:rPr/>
      </w:pPr>
      <w:bookmarkStart w:id="254" w:name="__RefHeading___Toc10361922_73709187"/>
      <w:bookmarkStart w:id="255" w:name="_Toc96"/>
      <w:bookmarkEnd w:id="253"/>
      <w:bookmarkEnd w:id="254"/>
      <w:r>
        <w:rPr>
          <w:rtl w:val="true"/>
        </w:rPr>
        <w:t>التحفّظ من خروج الدّم بعد الطهارة</w:t>
      </w:r>
      <w:bookmarkEnd w:id="255"/>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الأصحاب بأنّه يجبُ على المستحاضة الإستظهار في منع الدّم من التعدّي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خلافاً، بل لعلّه تقضي به بعض الإجماعات السابقة في تغيير الخرقة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عليه ما بين ظاهر وصريح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الآمرة بالإحتشاء والإستثفار وتبديل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Style w:val="FootnoteAnchor"/>
          <w:rtl w:val="true"/>
        </w:rPr>
        <w:footnoteReference w:id="674"/>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تحتشي وتستثفر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وتستدخل قطنة، وتستذفر بثوت، ثمّ تصلّي حتّى يخرج الدّم من وراء الثوب</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مستحاضة فلتغتسل وتستوثق من نفسها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الطويل المتقدّم، وفيه الأمر بالإستثفار والتلجّم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الإحتشاء هو أن تحشو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قطنٍ أو خرقة، وأمّا الإستثفار فالمراد منه هو التلجّم، وهو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تشدّ على وسطها خرقة كالتكة، وتأخذ خرقة اُخرى مشقوقة الرأسين تجعل إحداها قدامها والاُخرى خلفها وتشدّهما بالتكة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الغرض من ذلك هو حبس الدّم، فتكتفي بكلّ ما يوجب حبسه كما هو المتبادر من الأمر بمثل هذه الأشياء في أمثال هذه الموارد، ويؤيّده الأمر بمطلق الإستيثاق في موثّق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بضمّ الفخذين في بعض الروايات</w:t>
      </w:r>
      <w:r>
        <w:rPr>
          <w:rStyle w:val="FootnoteAnchor"/>
          <w:rtl w:val="true"/>
        </w:rPr>
        <w:footnoteReference w:id="678"/>
      </w:r>
      <w:r>
        <w:rPr>
          <w:rFonts w:ascii="Amiri" w:hAnsi="Amiri" w:eastAsia="Amiri" w:cs="Amiri"/>
          <w:color w:val="111111"/>
          <w:sz w:val="28"/>
          <w:sz w:val="28"/>
          <w:szCs w:val="28"/>
          <w:rtl w:val="true"/>
          <w:lang w:bidi="ar-SA"/>
        </w:rPr>
        <w:t>محمولٌ على ما إذا توقّف التوقّي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بالإستذفار في صحيح الحلبي</w:t>
      </w:r>
      <w:r>
        <w:rPr>
          <w:rStyle w:val="FootnoteAnchor"/>
          <w:rtl w:val="true"/>
        </w:rPr>
        <w:footnoteReference w:id="679"/>
      </w:r>
      <w:r>
        <w:rPr>
          <w:rFonts w:ascii="Amiri" w:hAnsi="Amiri" w:eastAsia="Amiri" w:cs="Amiri"/>
          <w:color w:val="111111"/>
          <w:sz w:val="28"/>
          <w:sz w:val="28"/>
          <w:szCs w:val="28"/>
          <w:rtl w:val="true"/>
          <w:lang w:bidi="ar-SA"/>
        </w:rPr>
        <w:t>المفسّر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تتطيّب وتستجمر بالدُّخنة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 على الاستحباب قطعاً، للإجماع على عدم وجوب شيء زائداً على ما يوجب حبس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للمختار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التحفّظ عن نجاسة الدّم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يوجب إلّاالتحفّظ عن الزائد على ما لا يمكن، وإلّا فلا يتأثّر المحلّ النجس بمثل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أدلّة مانعيّة الدّم، أنّ الدّم المأخوذ موضوعاً للمانعيّة ملحوظ بنحو الطبيعة السارية، فيجبُ عليها التحفّظ حتّى لا يخرج وإن كان على فرض الخروج لا يوجب نجاسة البدن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بناءً على عدم جواز الصَّلاة في المحمول النجس، وقد مرّ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الجزء الأوّل جوازها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الاستحاضة حَدَثٌ‌، لابدَّ من التحفّظ عن خروجه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خروج شيءٍ منه بعد الغُسل إلى آخر الصَّلاة، لا يكون التحفّظ بقدر الإمكان نافعاً كما لا يخفى،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المصنّف رحمه الله</w:t>
      </w:r>
      <w:r>
        <w:rPr>
          <w:rStyle w:val="FootnoteAnchor"/>
          <w:rtl w:val="true"/>
        </w:rPr>
        <w:footnoteReference w:id="68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خرج دم الاستحاضة بعد الطهارة، اُعيدت بعد الغُسل والإستظهار إن كان لتقصيرٍ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حَدَثٌ لابدَّ من التحفّظ منه بقدر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 بالإحتشاء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الأدلّة العفو عن حَدَثيّته بعد الطهارة، كما عرفت عند التعرّض لما أفتى به الأصحاب، من أنّها إذا فعلت ما وجب عليها، كانت بحكم الطاهرة، مع أنّه لو فرضنا إجمال الأدلّة من هذه الجهة، لابدَّ من الرجوع إلى استصحاب عدم الإنتقاض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الأمر به، كون ذلك من شروط الصَّلاة خاصّة، كالأمر بالغُسل والوضوء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فالأظهر عدم وجوب إعادة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6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عليها التحفّظ من خروج الدّم بقدر الإمكان تمام النهار، إن كانت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خروجه يوجب بطلان الغُسل المعتبر في صحّة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بطلانه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القدح فيه، لو كان خروج الدّم كاشفاً عن عدم وقوع الغُسل صحيحاً من الأوّل، كان لما 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أنّه ليس كذلك قطعاً، بل على فرض القدح إنّما يوجب ارتفاع أثر الغُسل، ويوجب صيرورتها محدثة، ولا دليل على اعتبار كونها طاهرة تمام النهار، والدليل إنّما دلَّ على اعتبار الغُسل الواجب للصلاة فيه لا غير، فلا وجه لوجوب التحفّظ عليها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6" w:name="pg11796_113542"/>
    </w:p>
    <w:p>
      <w:pPr>
        <w:pStyle w:val="Heading6"/>
        <w:numPr>
          <w:ilvl w:val="5"/>
          <w:numId w:val="1"/>
        </w:numPr>
        <w:rPr/>
      </w:pPr>
      <w:bookmarkStart w:id="257" w:name="__RefHeading___Toc10361924_73709187"/>
      <w:bookmarkStart w:id="258" w:name="_Toc97"/>
      <w:bookmarkEnd w:id="256"/>
      <w:bookmarkEnd w:id="257"/>
      <w:r>
        <w:rPr>
          <w:rtl w:val="true"/>
        </w:rPr>
        <w:t>حكم انقطاع الدّم</w:t>
      </w:r>
      <w:bookmarkEnd w:id="258"/>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حكم انقطاع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المحكيّ عن الشيخ</w:t>
      </w:r>
      <w:r>
        <w:rPr>
          <w:rStyle w:val="FootnoteAnchor"/>
          <w:rtl w:val="true"/>
        </w:rPr>
        <w:footnoteReference w:id="686"/>
      </w:r>
      <w:r>
        <w:rPr>
          <w:rFonts w:ascii="Amiri" w:hAnsi="Amiri" w:eastAsia="Amiri" w:cs="Amiri"/>
          <w:color w:val="111111"/>
          <w:sz w:val="28"/>
          <w:sz w:val="28"/>
          <w:szCs w:val="28"/>
          <w:rtl w:val="true"/>
          <w:lang w:bidi="ar-SA"/>
        </w:rPr>
        <w:t xml:space="preserve">والمصنّف رحمه الله في جملةٍ من كتبه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انقطاع دم الاستحاضة ليس بموجبٍ للغُسل، وإنّما يوجب الوضوء، فلو اغتسلت ذات الكثيرة للصبح وصلّت، ثمّ انقطع دمها وقت الظهر، لم يجب الغُسل واكتفت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بعض تلك الكتب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بالبُرء، وأنّ الانقطاع إن كان انقطاع فترة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الشهيدين</w:t>
      </w:r>
      <w:r>
        <w:rPr>
          <w:rStyle w:val="FootnoteAnchor"/>
          <w:rtl w:val="true"/>
        </w:rPr>
        <w:footnoteReference w:id="690"/>
      </w:r>
      <w:r>
        <w:rPr>
          <w:rFonts w:ascii="Amiri" w:hAnsi="Amiri" w:eastAsia="Amiri" w:cs="Amiri"/>
          <w:color w:val="111111"/>
          <w:sz w:val="28"/>
          <w:sz w:val="28"/>
          <w:szCs w:val="28"/>
          <w:rtl w:val="true"/>
          <w:lang w:bidi="ar-SA"/>
        </w:rPr>
        <w:t>والمحقّق الثاني</w:t>
      </w:r>
      <w:r>
        <w:rPr>
          <w:rStyle w:val="FootnoteAnchor"/>
          <w:rtl w:val="true"/>
        </w:rPr>
        <w:footnoteReference w:id="691"/>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انقطاع المتوسّطة والكثيرة موجبٌ للغسل، كما أنّ انقطاع القليلة من موجبات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الموجود قبل الانقطاع لا يرتفع أثره بالانقطاع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عليها شيء بعد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ونُسب إلى جماعةٍ التفصيل بين كون الانقطاع في الوقت، فلا يرتفع أثر الدّم، وبين كون الانقطاع قبل الوقت، فلا يجب عليها شيء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الثاني؛ إذ الانقطاع لا يصلح أنْ يكون رافعاً لأثر الدّم </w:t>
      </w:r>
    </w:p>
    <w:p>
      <w:pPr>
        <w:pStyle w:val="BookText"/>
        <w:rPr/>
      </w:pPr>
      <w:r>
        <w:rPr>
          <w:rFonts w:ascii="Amiri" w:hAnsi="Amiri" w:eastAsia="Amiri" w:cs="Amiri"/>
          <w:color w:val="111111"/>
          <w:sz w:val="28"/>
          <w:sz w:val="28"/>
          <w:szCs w:val="28"/>
          <w:rtl w:val="true"/>
          <w:lang w:bidi="ar-SA"/>
        </w:rPr>
        <w:t>الموجود قبله، فإنّه يقتضي بوجوده الوضوء وحده، أو مع الغسل، فلا يسقط استصحاب بقاء الفترة حكمه بالانقطاع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ليس كون دم الاستحاضة كالمنيّ موجباً للغسل، بل إنّ أحكام المستحاضة من الأغسال وغيرها مترتّبة على المستحاضة، بحيث يكون تحقّق هذا العنوان هو السبب، من غير دخلٍ للدّم بنفسه فيها، وعليه فإن انقطع الدّم، ولم يصدق هذا العنوان، ترتفع أحكامه أيضاً، فلا يجب عليها شيء بعد الانقطاع، ولعلّ هذا هو مدرك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بأنّ‌المستفاد من الأخبارالمأخوذ فيها نفس الدّم موضوعاً لهذه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نصوص الباب كما يظهر لمن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سببٌ كالمنيّ‌،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الدّم لا يوجبُ الغُسل إلّامع الاستمرار إلى وقت الصَّلاة فعلاً، ويوجب الوضوء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الغُسل إنّما يجب على المستحاضة، فإذا انقطع الدّم لا تكون هي مستحاضة كي يجب عليها ذلك، ولكن حيث أنّ حَدَثيّة الدّم في الجملة قد انعقد عليها الإجماع، فهو يقتضي وجوب الوضوء عليها، لأنّه القدر المتيقّن، وترجع في وجوب الغُسل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ظاهر الأدلّة أنّ الدّم موجبٌ للغُسل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فإنّما يقتضي عدم الوجوب إذا انقطع الدّم قبل الوقت، والمُدّعى أعمّ من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الفرق بين الوضوء والغُسل بعد كون لسان دليليهما متّحداً،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 في صحيح الصحّاف</w:t>
      </w:r>
      <w:r>
        <w:rPr>
          <w:rStyle w:val="FootnoteAnchor"/>
          <w:rtl w:val="true"/>
        </w:rPr>
        <w:footnoteReference w:id="692"/>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ولتصلِّ الظهرين، ثمّ لتنظر فإن كان الدّم فيما بينها وبين المغرب لم يسل من خلف الكُرسُف فلتتوضّأ، ولتصلِّ‌، ولا غُسل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وقت الصَّلاة هو وقت الخطاب بالطهارة، فلا أثر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عدم العبرة بأوقات الصَّلاة، لأنّه إنّما يدلّ بمفهومه على أنّه إذا سال الدّم فيما بين الظهرين والمغرب، وجب الغُسل للمغرب، فهو إنّما يكون من شواهد القول الثالث، ولذا استدلّ به غير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الأخبار سببيّة الدّم للوظيفة المجعولة في وقت الصَّلاة، ولا فرق في ذلك بين تحقّق السبب قبل وقت الصَّلاة، أو تحقّقه فيه كما هو الشأن في غيره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الانقطاع انقطاع بُرءٍ فلا يجب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كونه انقطاع فترةٍ‌، فيجب عليها ما يجبُ على المستحاضة الفعليّة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اختاره جماعة،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وجه ذلك بعد البناء على اختصاص أدلّة الأحكام بالمستحاضة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المستفاد منها أنّ هذه العلّة الخاصّة بنفسها، موجبة للوظائف، ما لم يحصل البرء والشفاء، وعليه فإذا انقطع الدّم وحَصَل البرء، لا يجب عليها شيءٌ لارتفاع الموضوع، وأمّا إن انقطع ولم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يحصل الشفاء، فحيثُ إنّه يصدق عليها المستحاضة، فيجب عليها ترتيب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ما ذكرناه في وجه المختار، من أنّ ظاهر أكثر النصوص، كون الدّم بنفسه موضوعاً للوظائف الخاصّة، لا كون المرأة دامية ومستحاضة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سببيّة الانقطاع للغُسل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ناقضيّته للغسل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تنقيح القول فيها على البحث عن فرع آخر، وبيان ما هو الحقّ فيه،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علمت المستحاضة أنّه ينقطع دمها إلى آخر الوقت، انقطاع بُرْءٍ أو انقطاع فترةٍ في زمان يَسَع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يجبُ عليها تأخير الصَّلاة إلى ذلك الوقت،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والشهيد في بعض كتبه</w:t>
      </w:r>
      <w:r>
        <w:rPr>
          <w:rStyle w:val="FootnoteAnchor"/>
          <w:rtl w:val="true"/>
        </w:rPr>
        <w:footnoteReference w:id="696"/>
      </w:r>
      <w:r>
        <w:rPr>
          <w:rFonts w:ascii="Amiri" w:hAnsi="Amiri" w:eastAsia="Amiri" w:cs="Amiri"/>
          <w:color w:val="111111"/>
          <w:sz w:val="28"/>
          <w:sz w:val="28"/>
          <w:szCs w:val="28"/>
          <w:rtl w:val="true"/>
          <w:lang w:bidi="ar-SA"/>
        </w:rPr>
        <w:t>، والمحقّق الثاني</w:t>
      </w:r>
      <w:r>
        <w:rPr>
          <w:rStyle w:val="FootnoteAnchor"/>
          <w:rtl w:val="true"/>
        </w:rPr>
        <w:footnoteReference w:id="6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يجب عليها ذلك، كما عن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المستفاد من النصوص، كون دم الاستحاضة حَدَثاً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الاكتفاء بالغُسل والوضوء، من جهة ظهوره في كونهما من الأبدال الاضطراريّة للطهارة لا إطلاق له بنحوٍ يشمل صورة 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عليكون دم الاستحاضة حَدَثاً بقول مطلق، حتّى مايخرج بعد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الغُسل والوضوء،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دمها بعد الطهارة لاينقضها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الفترة غالبي، فعدم التعرّض في النصوص لوجوب الانتظار، وإطلاق الحكم فيها بالصلاة مع الأعمال الخاصّة، مع أنّها في مقام بيان الوظيفة الفعليّة، يدلّ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دم الاستحاضة حَدَثٌ‌، سواءٌ أكان مستمرّاً فعلاً أم قوّةً‌، فوجود الفترة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الغُسل والوضوء في حال استمرار الدّم مع انقطاعه بعدهمافي الوقت، من الموجبات لرفع الحَدَث غير معلوم، فيستصحب العدم، بناءً على ما هو الحقّ من جريان استصحاب عدم الجعل، أو يستصحب بقاء الحَدَث المتحقّق باستمرار الدّم قبلهما، وعليه فلا يحتاج إثبات حدثيّة الدّم مطلقاً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على ما عرفت غير مرّة أنّه من الأحداث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الغلبة أوّلاً، ولعدم كون النصوص في مقام البيان من هذه الجهة كي يتمسّك بإطلاقها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الأدلّة كون الدّم الموجود بالفعل حَدَثاً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الأظهر وجوب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عَلِمَتْ بالانقطاع بأحد الوجهين، وإلّا فلا يجب عليها التأخير حتّى مع رجاء الانقطاع، لاستصحاب بقاء الدّم إلى آخر الوقت، بناءً على ما هو الحقّ من جريانه في الاُمور الاستقباليّة، فيجوز لها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 الانقطاع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بعد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بينها وبين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في أثناء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انقطاع بُرءٍ‌، أو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بسِعَة زمان الانقطاع لتجديد الطهارة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 في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بعد الصَّلاة، وكان انقطاع بُرءٍ أو فترةٍ‌، وكانت عالمة بسِعَة زمان الانقطاع لتجديدهما، فهل تجب إعادتهما، أم لا، كما في طهارة الشيخ الأعظم</w:t>
      </w:r>
      <w:r>
        <w:rPr>
          <w:rStyle w:val="FootnoteAnchor"/>
          <w:rtl w:val="true"/>
        </w:rPr>
        <w:footnoteReference w:id="6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الأمر الإجزاء، وحصول الامتثال، وإطلاق الأدلّة، 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w:t>
      </w:r>
      <w:r>
        <w:rPr>
          <w:rStyle w:val="FootnoteAnchor"/>
          <w:rtl w:val="true"/>
        </w:rPr>
        <w:footnoteReference w:id="701"/>
      </w:r>
      <w:r>
        <w:rPr>
          <w:rFonts w:ascii="Amiri" w:hAnsi="Amiri" w:eastAsia="Amiri" w:cs="Amiri"/>
          <w:color w:val="111111"/>
          <w:sz w:val="28"/>
          <w:sz w:val="28"/>
          <w:szCs w:val="28"/>
          <w:rtl w:val="true"/>
          <w:lang w:bidi="ar-SA"/>
        </w:rPr>
        <w:t>من عدم اقتضاء الأمر الظاهري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 الصَّلاة في حال استمرار الدّم لا تكون مأموراً بها واقعاً مع البُرء في أثناء الوقت، أو فترةٍ تَسَع الطهارة والصَّلاة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لا إطلاق للأدلّة، كي تدلّ على كونها مأموراً بها، فراجع</w:t>
      </w:r>
      <w:r>
        <w:rPr>
          <w:rFonts w:eastAsia="Amiri" w:cs="Amiri" w:ascii="Amiri" w:hAnsi="Amiri"/>
          <w:color w:val="111111"/>
          <w:sz w:val="28"/>
          <w:szCs w:val="28"/>
          <w:rtl w:val="true"/>
          <w:lang w:bidi="ar-SA"/>
        </w:rPr>
        <w:t>.</w:t>
      </w:r>
      <w:r>
        <w:rPr>
          <w:rStyle w:val="FootnoteAnchor"/>
        </w:rPr>
        <w:footnoteReference w:id="70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فالأظهر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بعد الصَّلاة، وعَلِمت أنّه لا يَسَع لتجديدهما، فلا يجب عليها الإعادة 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فكأنّه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شاكّة في سعته، فهل تجب إعادتهما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 وبلزوم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صدق موضوعها؛ إذ لو كان واسعاً لما شملته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اطّراده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الشكّ في أمد الفترة، يجري استصحاب بقائها إلى آخر مقدارٍ يَسَع الطهارة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مقدار الطهارة والصَّلاة مع العلم بأمدها، يجري استصحاب بقائها إلى آخر الصَّلاة، فإنّ معلوميّة أمد الفترة إذا لوحظت بنفسها، لا تمنع عن جريان الاستصحاب فيها إذا لوحظت بالقياس إلى زمانيّ كالصلاة، فتدبّر فإنّ ذلك لا يخلو عن نظر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فترجع إلى ما تقتضيه قاعدة الاحتياط؛ إذ لا يحصل العلم بالفراغ عن الصَّلاة التي اشتغلت الذمّة بها إلّابالإعادة والإستئناف، وليس الشكّ في وجوب شيءٍ زائدٍ كي تجري البراءة، كما لا يخفى‌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أثناء الصَّلاة، وعلمت أنّها فترةٌ لا تسع الصَّلاة، فلا كلام، وإن علمت أنّها واسعة، فمقتضى ما عرفت من أنّه لا دليل على صحّة الأعمال على تقدير الانقطاع، وجب عليها استئناف الصَّلاة والطهارة،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النهي عن إبطال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المُدّعى في المقام قهريٌ‌، لا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الانقطاع يكشفُ عن عدم صحّة الصَّلاة من الأوّل، ولا أقلّ من الشكّ في ذلك، فلا مورد للإستصحاب المتوقّف جريانه على العلم بالثبوت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في السِّعة، فمقتضى الاستصحاب الذي أشرنا إليه آنفاً وجوب الاستئناف، وهو حاكمٌ على استصحاب طهارتها السابقة، فلا وجه للاستدلال به للحكم بالصحّة،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لأنّ مقتضى ما أشرنا إليه بطلان الطهارة والصَّلاة من الأوّل، بل على فرض عدم جريانه لا مجال للرجوع إلى ما ذكره؛ إذ صحّة الطهارة في الفرض من الأوّل مشكوك فيها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ما في الاستصحاب الآخر الذي تُمسّك به في المقام، وهو استصحاب كونها مصلّية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حكم انقطاع الدّم بعد الطهارة قبل الصَّلاة، فإن الأظهر وجوب إعادتها، إذا كان انقطاع بُرءٍ أو فترةٍ تَسَع الطهارة، كما عن المشهور،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الاستيناف، ضعيفٌ‌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انقطع في الأثناء، وجبت إعادة ما أتت به، كما لا يخفى وجهه لمن تدبّر فيما ذكرناه، فلا نعيد</w:t>
      </w:r>
      <w:r>
        <w:rPr>
          <w:rFonts w:eastAsia="Amiri" w:cs="Amiri" w:ascii="Amiri" w:hAnsi="Amiri"/>
          <w:color w:val="111111"/>
          <w:sz w:val="28"/>
          <w:szCs w:val="28"/>
          <w:rtl w:val="true"/>
          <w:lang w:bidi="ar-SA"/>
        </w:rPr>
        <w:t>.</w:t>
      </w:r>
      <w:bookmarkStart w:id="259" w:name="pg11796_113551"/>
    </w:p>
    <w:p>
      <w:pPr>
        <w:pStyle w:val="Heading6"/>
        <w:numPr>
          <w:ilvl w:val="5"/>
          <w:numId w:val="1"/>
        </w:numPr>
        <w:rPr/>
      </w:pPr>
      <w:bookmarkStart w:id="260" w:name="__RefHeading___Toc10361926_73709187"/>
      <w:bookmarkStart w:id="261" w:name="_Toc98"/>
      <w:bookmarkEnd w:id="259"/>
      <w:bookmarkEnd w:id="260"/>
      <w:r>
        <w:rPr>
          <w:rtl w:val="true"/>
        </w:rPr>
        <w:t>حكم رؤية الدّم في أوقات متفرّقة</w:t>
      </w:r>
      <w:bookmarkEnd w:id="261"/>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يخرج الدّم بعد العمل ببعض وظائفها، كما لو رأت الدّم قبل صلاة الصبح فتوضّأت إنْ كانت الاستحاضة قليلة، أو اغتسلت أيضاً إن كانت غيرها، لكن لم يخرج الدّم بعد الشروع في الطهارة، فهل يجب عليها الغُسل أو الوضوء لبقيّة صلوات اليوم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مثلاً إطلاق ما ورد من أنّ الكثيرة توجب الأغسال الثلاثة يدلّ على أنّها متى تحقّقت، كفى ذلك في وجوب الأغسال، وإن لم تستمرّ لحظةً بعد الغُسل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خلاف الإجماع، كما اعترف به المستدلّ في جواهره</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تدلّ على حَدَثيّة الدّم بأقسامه، وظاهرها كونه كسائر الأحداث يرتفع أثره بما تأتي به بعده من الوظائف المجعولة لها، فلو عَمِلَت بوظيفتها، ولم يخرج الدّم بعد ذلك، لا تُعدّ مُحْدِثةً كي يجب عليها الإتيان بسائر وظائفها في ذلك اليوم، على فرض كونها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الثاني</w:t>
      </w:r>
      <w:r>
        <w:rPr>
          <w:rFonts w:eastAsia="Amiri" w:cs="Amiri" w:ascii="Amiri" w:hAnsi="Amiri"/>
          <w:color w:val="111111"/>
          <w:sz w:val="28"/>
          <w:szCs w:val="28"/>
          <w:rtl w:val="true"/>
          <w:lang w:bidi="ar-SA"/>
        </w:rPr>
        <w:t>.</w:t>
      </w:r>
      <w:bookmarkStart w:id="262" w:name="pg11796_113552"/>
    </w:p>
    <w:p>
      <w:pPr>
        <w:pStyle w:val="BookText"/>
        <w:rPr/>
      </w:pPr>
      <w:bookmarkEnd w:id="262"/>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النِّفاس، و</w:t>
      </w:r>
    </w:p>
    <w:p>
      <w:pPr>
        <w:pStyle w:val="Heading4"/>
        <w:numPr>
          <w:ilvl w:val="3"/>
          <w:numId w:val="1"/>
        </w:numPr>
        <w:rPr/>
      </w:pPr>
      <w:bookmarkStart w:id="263" w:name="__RefHeading___Toc10361928_73709187"/>
      <w:bookmarkStart w:id="264" w:name="_Toc99"/>
      <w:bookmarkEnd w:id="263"/>
      <w:r>
        <w:rPr>
          <w:rtl w:val="true"/>
        </w:rPr>
        <w:t>الفصل الرابع في النِّفاس</w:t>
      </w:r>
      <w:bookmarkEnd w:id="264"/>
    </w:p>
    <w:p>
      <w:pPr>
        <w:pStyle w:val="Heading5"/>
        <w:numPr>
          <w:ilvl w:val="4"/>
          <w:numId w:val="1"/>
        </w:numPr>
        <w:rPr/>
      </w:pPr>
      <w:bookmarkStart w:id="265" w:name="__RefHeading___Toc10361930_73709187"/>
      <w:bookmarkStart w:id="266" w:name="_Toc10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بكسر النون وهو لغةً‌</w:t>
      </w:r>
      <w:r>
        <w:rPr>
          <w:rStyle w:val="FootnoteAnchor"/>
          <w:rtl w:val="true"/>
        </w:rPr>
        <w:footnoteReference w:id="714"/>
      </w:r>
      <w:r>
        <w:rPr>
          <w:rFonts w:ascii="Amiri" w:hAnsi="Amiri" w:eastAsia="Amiri" w:cs="Amiri"/>
          <w:color w:val="111111"/>
          <w:sz w:val="28"/>
          <w:sz w:val="28"/>
          <w:szCs w:val="28"/>
          <w:rtl w:val="true"/>
          <w:lang w:bidi="ar-SA"/>
        </w:rPr>
        <w:t xml:space="preserve">بمعنى ولادة المرأة، إذا وضعت فهي نُفَساء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الفقهاء</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الذي يقذفه الرَّحم في أيّامٍ خاصّة لأجل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ولدت ولم ترَ دماً 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أنّه اتّفق في زمان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نفاسٌ إجماعاً، محصّلاً ومنقولاً، مستفيضاً حَدّ الاستفاضة، بل لعلّه متواترٌ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سُلّم شمول النصوص لها، بدعوى أنّ المراد من النِّفاس الواقع في كلام الشارع، هو بمعناه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محلّ نظرٍ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تعليق الحكم على الدّم، يخرج به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الدّم الذي تراه المرأة عقيب الولادة،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اختلف الفقهاء في أنّ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تراه المرأة عقيب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7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7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حيث فسّروا النِّفاس بما تراه المرأة عقيب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مع الولادة، كما هو المشهور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دعوى الإجماع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إذا رأت المرأة الدّم وهي حامل لا تترك الصَّلاة، إلّاأن ترى على رأس الولد إذا أخذها الطَلْق ورأت الدّم تركت الصَّلاة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التفسير من المعصوم عليه السلام، كما لعلّه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زُريق،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الحامل ترى الدّم‌؟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حتّى يخرج رأس الصبي، فإذا خَرَج رأسه لم تجب عليها الصَّلاة، وكلّما تركته من الصَّلاة في تلك الحال لوجعٍ أو لما هي فيه من الشدّة والجهد، قضته إذا خرجت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ودم المخاض‌؟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قذفت بدم الحيض، وهذه قذفت بدم المخاض، إلى أن يخرج بعض الولد، فعند ذلك يصير دم النِّفاس، فيجب أن تَدَع في النِّفاس والحيض</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بالشكّ في صدق النِّفاس، فترجع إلى أصالة الطهر المعتضدة بصدق الحامل عليها قبل انفصال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يصيبها الطلق أيّاماً أو يومين، فترى الصفرة أو دماً؟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ما رواه الصدوق</w:t>
      </w:r>
      <w:r>
        <w:rPr>
          <w:rStyle w:val="FootnoteAnchor"/>
          <w:rtl w:val="true"/>
        </w:rPr>
        <w:footnoteReference w:id="731"/>
      </w:r>
      <w:r>
        <w:rPr>
          <w:rFonts w:ascii="Amiri" w:hAnsi="Amiri" w:eastAsia="Amiri" w:cs="Amiri"/>
          <w:color w:val="111111"/>
          <w:sz w:val="28"/>
          <w:sz w:val="28"/>
          <w:szCs w:val="28"/>
          <w:rtl w:val="true"/>
          <w:lang w:bidi="ar-SA"/>
        </w:rPr>
        <w:t xml:space="preserve">، بناءً على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الفراغ والولادة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الخروج عنه بالدليل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 وبين الخبرين المتقدّمين، يقتضي الإلتزام بأنّه اُريد به عدم كون ما تراه قبل الولادة نفاساً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7" w:name="pg11796_113555"/>
    </w:p>
    <w:p>
      <w:pPr>
        <w:pStyle w:val="Heading5"/>
        <w:numPr>
          <w:ilvl w:val="4"/>
          <w:numId w:val="1"/>
        </w:numPr>
        <w:rPr/>
      </w:pPr>
      <w:bookmarkStart w:id="268" w:name="__RefHeading___Toc10361932_73709187"/>
      <w:bookmarkStart w:id="269" w:name="_Toc101"/>
      <w:bookmarkEnd w:id="267"/>
      <w:bookmarkEnd w:id="268"/>
      <w:r>
        <w:rPr>
          <w:rtl w:val="true"/>
        </w:rPr>
        <w:t>التنبيه على اُمور</w:t>
      </w:r>
      <w:bookmarkEnd w:id="269"/>
    </w:p>
    <w:p>
      <w:pPr>
        <w:pStyle w:val="Heading6"/>
        <w:numPr>
          <w:ilvl w:val="5"/>
          <w:numId w:val="1"/>
        </w:numPr>
        <w:rPr/>
      </w:pPr>
      <w:bookmarkStart w:id="270" w:name="__RefHeading___Toc10361934_73709187"/>
      <w:bookmarkStart w:id="271" w:name="_Toc102"/>
      <w:bookmarkEnd w:id="270"/>
      <w:r>
        <w:rPr>
          <w:rtl w:val="true"/>
        </w:rPr>
        <w:t>الدَّم الخارج قبل الولادة</w:t>
      </w:r>
      <w:bookmarkEnd w:id="27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الدّم الخارج قبل ظهور أوّل جزءٍ من الولد ليس بنفاس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 محكيّة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يصيبها الطلق أيّاماً أو يومين، فترى الصفرة أو دماً؟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فإنْ غلبها الوجع، ففاتتها صلاة لم تقدر أن تُصلّيها من الوجع، فعليها قضاء تلك الصَّلاة بعدما تطهر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كونه استحاضة، بناءً على عدم اجتماع الحمل مع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يكن واجداً لشرائط الحيض، فهو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واجداً لها، مع تخلّل أقلّ الطهر بينه وبين النِّفاس،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تحقّق الفصل بينه وبين دم الولادة بأقلّ الطُهر، ففيه قولان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حيضاً، وهو المنسوب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حيضاً،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7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7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وحواشي الشهيد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أنّ الطهر لا يكون أقلّ من عشرة أيّام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النِّفاس حيضٌ محتبس</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النفساء كالحائض</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موثّق عمّار وخبر زُريق المتقدّمين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نفست، فتركت الصَّلاة ثلاثين يوماً، ثمّ طَهُرت، ثمّ رأت الدّم بعد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ظاهره كون عدم مُضيّ أيّام الطهر، مانعٌ من الحكم بحيضيّة المرئيّ بعد النِّفاس، ولذا تواترت النصوص بأنّ المتعدّي عن أكثر النِّفاس استحاضة، فكذا المرئيّ قبله، لعدم القول بالفصل بين المتقدّم والمتأخّر،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ونقصان الطهر إنّما يؤثّر فيما بعده لا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على فرض شموله للمقام، لا يدلّ إلّاعلى أنّ الأقلّ ليس بطهرٍ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يكون حيضاً ما لم يتجاوز مع أيّام رؤية الدّم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أنّه لو كان أقلّ من عشرة، يمنع من حيضيّة اللّاحق، كما تقدّم تحقيقه في محلّه،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سابقه فلا يكون مؤثّراً، وفي المقام لا يؤثّر فيما بعده أيضاً لأن ما بعد الولادة نفاس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نمنع من اشتراط طُهرٍ كاملٍ بين الدّمين مطلقاً، بل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جملةٌ من المحقّقين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ينفي كون الأقلّ طهراً،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فلعلّه حيضٌ أو نفاس، أو حالةٌ حدث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يدلّ على عدم كونه نفاساً، ما تقدّم من عدم تقدّم النِّفاس على الولادة، وعلى عدم كونه حَدَثاً بين الحالتين، الإجماع على عدم حَدَثٍ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كونه حيضاً ثابتٌ كما أشرناإليه، وهو يوجب سقوطالاستدلال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الدليل على ثبوته، لا يصلح لرفعه، كي يصحّ الاستدلال به،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 وبين إطلاقات أحكام الحيض، عمومٌ من وجه، وليس هو بأظهر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تعارضهما، فإنّ إطلاقات أحكام الحيض غير ناظرة إلى كون دمٍ خاصٍ حيضاً، كي تعارض ما دلَّ على عدم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والتساقط، يتعيّن الرجوع إلى أصالة 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كونه في مقام بيان قضيّة خارجيّة، لا حكماً شرعيّاً تنزيليّاً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 على تنزيل الحائض منزلة النفساء، لا تنزيل النفساء منزلة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دلّ على ذلك، فإنّما يدلّ على تنزيل النفساء منزلة الحائض، وترتّب أحكامها عليها، لا أحكام الطهر، وإنْ رجعت إلى الحيض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الخبرين إنّما يدلّان على أنّه لا يُحكم بالحيضيّة مع إصابة الطلق، الموجبة لفتق الرَّحم، الموجب لسيلان الدّم، فلا يكونان مربوطين بالمقام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عدم الفصل، كيف وأنّ الظاهر أنّ كلّ مَنْ أفتى في المقام بذلك، فهو مفصّلٍ بين المسألتين، لعدم الخلاف في تلك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الثاني، للإطلاقات، وقاعدة الإمكان، وغيرهما ممّا يرجع إليه في الحكم بالحيضيّة في أمثال المقام، ولا فرق في ذلك بين أنْ يكون مجموع الدّمين عشرة أيّام أو أكثر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على أنّ أكثر الحيض عشرة أيّام، وأنّ النِّفاس لا يكون أكثر من عشرة، لا يقتضي أنْ يكون مجموعهما المتّصلين غير زائدٍ على العشرة</w:t>
      </w:r>
      <w:r>
        <w:rPr>
          <w:rFonts w:eastAsia="Amiri" w:cs="Amiri" w:ascii="Amiri" w:hAnsi="Amiri"/>
          <w:color w:val="111111"/>
          <w:sz w:val="28"/>
          <w:szCs w:val="28"/>
          <w:rtl w:val="true"/>
          <w:lang w:bidi="ar-SA"/>
        </w:rPr>
        <w:t>.</w:t>
      </w:r>
      <w:bookmarkStart w:id="272" w:name="pg11796_113560"/>
    </w:p>
    <w:p>
      <w:pPr>
        <w:pStyle w:val="Heading6"/>
        <w:numPr>
          <w:ilvl w:val="5"/>
          <w:numId w:val="1"/>
        </w:numPr>
        <w:rPr/>
      </w:pPr>
      <w:bookmarkStart w:id="273" w:name="__RefHeading___Toc10361936_73709187"/>
      <w:bookmarkStart w:id="274" w:name="_Toc103"/>
      <w:bookmarkEnd w:id="272"/>
      <w:bookmarkEnd w:id="273"/>
      <w:r>
        <w:rPr>
          <w:rtl w:val="true"/>
        </w:rPr>
        <w:t>الدَّم الخارج بعد وضعها المُضْغَة</w:t>
      </w:r>
      <w:bookmarkEnd w:id="274"/>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صدق النِّفاس على الدَّم المرئيّ بعد الولادة أو معها، ولو كان الولد غير تامّ الخلقة كالسِّقط، وإن لم يَلِجْ فيه الرّوح، لصدق الولادة، فتشمله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ماتراه بعدما لو ولدت مُضغةً‌، فالمعروف بين الأصحاب ا لحكم بكونه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قَطع به المصنّف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فيه خلافاً،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إلحاق المُضغَة بعدما عرفت، وإنْ لم يصدق اسم الولادة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المقدّس الأردبيلي</w:t>
      </w:r>
      <w:r>
        <w:rPr>
          <w:rStyle w:val="FootnoteAnchor"/>
          <w:rtl w:val="true"/>
        </w:rPr>
        <w:footnoteReference w:id="751"/>
      </w:r>
      <w:r>
        <w:rPr>
          <w:rFonts w:ascii="Amiri" w:hAnsi="Amiri" w:eastAsia="Amiri" w:cs="Amiri"/>
          <w:color w:val="111111"/>
          <w:sz w:val="28"/>
          <w:sz w:val="28"/>
          <w:szCs w:val="28"/>
          <w:rtl w:val="true"/>
          <w:lang w:bidi="ar-SA"/>
        </w:rPr>
        <w:t>من عدم إلحاق المضغة بالولد تامّ الخلقة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العَلَقة 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 معهما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فتشملهما الإطلاقات، وتكونان ملحقتين بالولد، وإلّا فالأظهر العدم لعدم ثبوت الإجماع فيهما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الذين نُسِبَ إليهم القول بعدم الإلحاق فيهما، أو في خصوص النطقة، منهم المصنّف رحمه الله</w:t>
      </w:r>
      <w:r>
        <w:rPr>
          <w:rStyle w:val="FootnoteAnchor"/>
          <w:rtl w:val="true"/>
        </w:rPr>
        <w:footnoteReference w:id="752"/>
      </w:r>
      <w:r>
        <w:rPr>
          <w:rFonts w:ascii="Amiri" w:hAnsi="Amiri" w:eastAsia="Amiri" w:cs="Amiri"/>
          <w:color w:val="111111"/>
          <w:sz w:val="28"/>
          <w:sz w:val="28"/>
          <w:szCs w:val="28"/>
          <w:rtl w:val="true"/>
          <w:lang w:bidi="ar-SA"/>
        </w:rPr>
        <w:t>والمحقّق</w:t>
      </w:r>
      <w:r>
        <w:rPr>
          <w:rStyle w:val="FootnoteAnchor"/>
          <w:rtl w:val="true"/>
        </w:rPr>
        <w:footnoteReference w:id="753"/>
      </w:r>
      <w:r>
        <w:rPr>
          <w:rFonts w:ascii="Amiri" w:hAnsi="Amiri" w:eastAsia="Amiri" w:cs="Amiri"/>
          <w:color w:val="111111"/>
          <w:sz w:val="28"/>
          <w:sz w:val="28"/>
          <w:szCs w:val="28"/>
          <w:rtl w:val="true"/>
          <w:lang w:bidi="ar-SA"/>
        </w:rPr>
        <w:t>، قد استدلّوا له على ما حُكي بعدم اليقين بالحمل بذلك، فإنّ ظاهر ذلك تسليمهم الحكم بكونه نفاساً، مع اليقين بكونه مبدأ نشوء آدمي</w:t>
      </w:r>
      <w:r>
        <w:rPr>
          <w:rFonts w:eastAsia="Amiri" w:cs="Amiri" w:ascii="Amiri" w:hAnsi="Amiri"/>
          <w:color w:val="111111"/>
          <w:sz w:val="28"/>
          <w:szCs w:val="28"/>
          <w:rtl w:val="true"/>
          <w:lang w:bidi="ar-SA"/>
        </w:rPr>
        <w:t xml:space="preserve">. </w:t>
      </w:r>
      <w:bookmarkStart w:id="275" w:name="pg11796_113561"/>
    </w:p>
    <w:p>
      <w:pPr>
        <w:pStyle w:val="BookText"/>
        <w:rPr/>
      </w:pPr>
      <w:bookmarkEnd w:id="275"/>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ولدت مُضغةً أو عَلَقة بعد أن شهدت القوابل أنّها لحمة ولدٍ، ويتخلّق منها الولد، كان الدّم نفاساً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إلحاقهما بالولد تامّ الخلقة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0361938_73709187"/>
      <w:bookmarkStart w:id="277" w:name="_Toc104"/>
      <w:bookmarkEnd w:id="276"/>
      <w:r>
        <w:rPr>
          <w:rtl w:val="true"/>
        </w:rPr>
        <w:t>الشكّ في الولادة</w:t>
      </w:r>
      <w:bookmarkEnd w:id="277"/>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الولادة، أو في كون الساقط مبدأ نشوء الإنسان وعدمه، لم يُحكم عليه بالنفاس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أصالة عدم الاستحاضة عند تردّد الدّم بينهما، لما عرفت في مبحث اعتبار التوالي</w:t>
      </w:r>
      <w:r>
        <w:rPr>
          <w:rStyle w:val="FootnoteAnchor"/>
          <w:rtl w:val="true"/>
        </w:rPr>
        <w:footnoteReference w:id="756"/>
      </w:r>
      <w:r>
        <w:rPr>
          <w:rFonts w:ascii="Amiri" w:hAnsi="Amiri" w:eastAsia="Amiri" w:cs="Amiri"/>
          <w:color w:val="111111"/>
          <w:sz w:val="28"/>
          <w:sz w:val="28"/>
          <w:szCs w:val="28"/>
          <w:rtl w:val="true"/>
          <w:lang w:bidi="ar-SA"/>
        </w:rPr>
        <w:t>في الدّم، المحكوم بكونه حيضاً، فراجع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فيحكم بكونه استحاضةً‌، إلّاأن تقوم أمارة من العادة والصّفات على كونه حيضاً، فيحكم به لذلك</w:t>
      </w:r>
      <w:r>
        <w:rPr>
          <w:rFonts w:eastAsia="Amiri" w:cs="Amiri" w:ascii="Amiri" w:hAnsi="Amiri"/>
          <w:color w:val="111111"/>
          <w:sz w:val="28"/>
          <w:szCs w:val="28"/>
          <w:rtl w:val="true"/>
          <w:lang w:bidi="ar-SA"/>
        </w:rPr>
        <w:t>.</w:t>
      </w:r>
      <w:bookmarkStart w:id="278" w:name="pg11796_113562"/>
    </w:p>
    <w:p>
      <w:pPr>
        <w:pStyle w:val="BookText"/>
        <w:rPr/>
      </w:pPr>
      <w:bookmarkEnd w:id="278"/>
      <w:r>
        <w:rPr>
          <w:rFonts w:ascii="Amiri" w:hAnsi="Amiri" w:eastAsia="Amiri" w:cs="Amiri"/>
          <w:color w:val="111111"/>
          <w:sz w:val="28"/>
          <w:sz w:val="28"/>
          <w:szCs w:val="28"/>
          <w:rtl w:val="true"/>
          <w:lang w:bidi="ar-SA"/>
        </w:rPr>
        <w:t>ولا حَدَّ لأقلّه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0361940_73709187"/>
      <w:bookmarkStart w:id="280" w:name="_Toc105"/>
      <w:bookmarkEnd w:id="279"/>
      <w:r>
        <w:rPr>
          <w:rtl w:val="true"/>
        </w:rPr>
        <w:t>ليسَ لأقلّ النِّفاس حَدٌّ</w:t>
      </w:r>
      <w:bookmarkEnd w:id="280"/>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 لأقلّه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النِّفاس، فجائزٌ أن يكون لحظةً واحدة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علمائنا، وأكثر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عليه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عليّ بن يقطين في الصحيح،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النفساء؟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الصَّلاة ما دامتْ تَرى الدَّم </w:t>
      </w:r>
    </w:p>
    <w:p>
      <w:pPr>
        <w:pStyle w:val="BookText"/>
        <w:rPr/>
      </w:pPr>
      <w:r>
        <w:rPr>
          <w:rFonts w:ascii="Amiri" w:hAnsi="Amiri" w:eastAsia="Amiri" w:cs="Amiri"/>
          <w:color w:val="111111"/>
          <w:sz w:val="28"/>
          <w:sz w:val="28"/>
          <w:szCs w:val="28"/>
          <w:rtl w:val="true"/>
          <w:lang w:bidi="ar-SA"/>
        </w:rPr>
        <w:t>العبيط إلى ثلاثين يوماً، فإذا رَقّ وكانت صُفرة اغتسلت</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واردٌ في مقام بيان حكمٍ آخر، كما لا يخفى،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له برواية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حَدُّ نفاسها حتّى تجب عليها الصَّلاة‌؟ وكيف تصنع‌؟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خصوص طرف القلّة، للإجماع والنصوص على تحديد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نبّه عليه الشيخ الأعظم رحمه الله</w:t>
      </w:r>
      <w:r>
        <w:rPr>
          <w:rStyle w:val="FootnoteAnchor"/>
          <w:rtl w:val="true"/>
        </w:rPr>
        <w:footnoteReference w:id="767"/>
      </w:r>
      <w:r>
        <w:rPr>
          <w:rFonts w:ascii="Amiri" w:hAnsi="Amiri" w:eastAsia="Amiri" w:cs="Amiri"/>
          <w:color w:val="111111"/>
          <w:sz w:val="28"/>
          <w:sz w:val="28"/>
          <w:szCs w:val="28"/>
          <w:rtl w:val="true"/>
          <w:lang w:bidi="ar-SA"/>
        </w:rPr>
        <w:t>من أنّ السؤال ظاهرٌ في كونه عن حَدّه في طرف الكثرة،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1" w:name="pg11796_113564"/>
    </w:p>
    <w:p>
      <w:pPr>
        <w:pStyle w:val="BookText"/>
        <w:rPr/>
      </w:pPr>
      <w:bookmarkEnd w:id="281"/>
      <w:r>
        <w:rPr>
          <w:rFonts w:ascii="Amiri" w:hAnsi="Amiri" w:eastAsia="Amiri" w:cs="Amiri"/>
          <w:color w:val="111111"/>
          <w:sz w:val="28"/>
          <w:sz w:val="28"/>
          <w:szCs w:val="28"/>
          <w:rtl w:val="true"/>
          <w:lang w:bidi="ar-SA"/>
        </w:rPr>
        <w:t>وأكثَرُه عَشَرةُ أيّامٍ‌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0361942_73709187"/>
      <w:bookmarkStart w:id="283" w:name="_Toc106"/>
      <w:bookmarkEnd w:id="282"/>
      <w:r>
        <w:rPr>
          <w:rtl w:val="true"/>
        </w:rPr>
        <w:t>حَدّ النِّفاس الأبعد</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كما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w:t>
      </w:r>
      <w:r>
        <w:rPr>
          <w:rStyle w:val="FootnoteAnchor"/>
          <w:rtl w:val="true"/>
        </w:rPr>
        <w:footnoteReference w:id="768"/>
      </w:r>
      <w:r>
        <w:rPr>
          <w:rFonts w:ascii="Amiri" w:hAnsi="Amiri" w:eastAsia="Amiri" w:cs="Amiri"/>
          <w:color w:val="111111"/>
          <w:sz w:val="28"/>
          <w:sz w:val="28"/>
          <w:szCs w:val="28"/>
          <w:rtl w:val="true"/>
          <w:lang w:bidi="ar-SA"/>
        </w:rPr>
        <w:t>في أكثر كتبه، والشهيدين</w:t>
      </w:r>
      <w:r>
        <w:rPr>
          <w:rStyle w:val="FootnoteAnchor"/>
          <w:rtl w:val="true"/>
        </w:rPr>
        <w:footnoteReference w:id="769"/>
      </w:r>
      <w:r>
        <w:rPr>
          <w:rFonts w:ascii="Amiri" w:hAnsi="Amiri" w:eastAsia="Amiri" w:cs="Amiri"/>
          <w:color w:val="111111"/>
          <w:sz w:val="28"/>
          <w:sz w:val="28"/>
          <w:szCs w:val="28"/>
          <w:rtl w:val="true"/>
          <w:lang w:bidi="ar-SA"/>
        </w:rPr>
        <w:t>، والمحقّق الثاني</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 عَشَرة أيّام للمتبدئة والمضطربة، دون ذات العادة، فتتبع عادتها إنْ لم ينقطع على العشرة، وإلّا فالكلّ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القول الأوّل إلى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773"/>
      </w:r>
      <w:r>
        <w:rPr>
          <w:rFonts w:ascii="Amiri" w:hAnsi="Amiri" w:eastAsia="Amiri" w:cs="Amiri"/>
          <w:color w:val="111111"/>
          <w:sz w:val="28"/>
          <w:sz w:val="28"/>
          <w:szCs w:val="28"/>
          <w:rtl w:val="true"/>
          <w:lang w:bidi="ar-SA"/>
        </w:rPr>
        <w:t xml:space="preserve">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والصدوق</w:t>
      </w:r>
      <w:r>
        <w:rPr>
          <w:rStyle w:val="FootnoteAnchor"/>
          <w:rtl w:val="true"/>
        </w:rPr>
        <w:footnoteReference w:id="775"/>
      </w:r>
      <w:r>
        <w:rPr>
          <w:rFonts w:ascii="Amiri" w:hAnsi="Amiri" w:eastAsia="Amiri" w:cs="Amiri"/>
          <w:color w:val="111111"/>
          <w:sz w:val="28"/>
          <w:sz w:val="28"/>
          <w:szCs w:val="28"/>
          <w:rtl w:val="true"/>
          <w:lang w:bidi="ar-SA"/>
        </w:rPr>
        <w:t>، وابن الجُنَيد</w:t>
      </w:r>
      <w:r>
        <w:rPr>
          <w:rStyle w:val="FootnoteAnchor"/>
          <w:rtl w:val="true"/>
        </w:rPr>
        <w:footnoteReference w:id="776"/>
      </w:r>
      <w:r>
        <w:rPr>
          <w:rFonts w:ascii="Amiri" w:hAnsi="Amiri" w:eastAsia="Amiri" w:cs="Amiri"/>
          <w:color w:val="111111"/>
          <w:sz w:val="28"/>
          <w:sz w:val="28"/>
          <w:szCs w:val="28"/>
          <w:rtl w:val="true"/>
          <w:lang w:bidi="ar-SA"/>
        </w:rPr>
        <w:t>، وسلّار</w:t>
      </w:r>
      <w:r>
        <w:rPr>
          <w:rStyle w:val="FootnoteAnchor"/>
          <w:rtl w:val="true"/>
        </w:rPr>
        <w:footnoteReference w:id="77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 ثمانية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ترجع إلى عادتها في الحيض إنْ كانت ذات عادة، وإنْ كانت مُبتَدئة صبرت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 متأخّري المتأخّرين اختياره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رحمه الله</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النِّفاس للمعتادة عَشَرة أيّام، وللمبتدئة والمضطربة والناسية لعددها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النِّفاس أحدَ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المتيقّن من النِّفاس المخالف للأصل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استصحاب موضوعه، لمنع جريانه في التدريجيّات، ولا استصحاب أحكامه، لأنّه فرع بقاء موضوعها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النِّفاس حيضٌ محتبسٌ‌، وأنّ النفساء بمنزلة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بقاء النِّفاس، لا مانع من جريانه، بناءً على ما هو الحقّ عندنا وعنده قدس سره، من جريان الاستصحاب في التدريجيّات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أنّ النِّفاس حيضٌ محتبسٌ‌، قد عرفت أنّه في مقام بيان قضيّة خارجيّة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أنّ النفساء بمنزلة الحائض، فالظاهر عدم وجوده؛ إذ الموجود في صحيح زرارة تنزيل الحائض منزلة النفساء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المفيد، في ما حُكي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النِّفاس لزمانٍ أكثر من زمان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أخبارٌ معتمدةٌ في أنّ أقصى مدّة النِّفاس هو عشرة أيّام، وعليها أعمل، لوضوحها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أنّه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استظهره جماعة، منهم المصنّف، وكاشف اللّثام</w:t>
      </w:r>
      <w:r>
        <w:rPr>
          <w:rStyle w:val="FootnoteAnchor"/>
          <w:rtl w:val="true"/>
        </w:rPr>
        <w:footnoteReference w:id="790"/>
      </w:r>
      <w:r>
        <w:rPr>
          <w:rFonts w:ascii="Amiri" w:hAnsi="Amiri" w:eastAsia="Amiri" w:cs="Amiri"/>
          <w:color w:val="111111"/>
          <w:sz w:val="28"/>
          <w:sz w:val="28"/>
          <w:szCs w:val="28"/>
          <w:rtl w:val="true"/>
          <w:lang w:bidi="ar-SA"/>
        </w:rPr>
        <w:t xml:space="preserve">وغيرهما، لا إبتداءً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الأوّل لا يُعتمد عليه للإرسال، والثاني لاحتمال أنْ يكون مراده من الأخبار المعتمدة، هي ما ستمرّ عليك من النصوص التي إدُّعي دلالتها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هذا القول، ويؤيّده عدم عثور القوم على غير تلك النصوص، وكون راوي أكثرها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ذكر تلك النصوص، والتعرّض لما يستفاد منها،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ثقة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نحواً من عشرة أحاديث صريحة في رجوع النفساء إلى أيّامها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المرويّ بعدّة طرق،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 ثمّ تغتسل وتعمل كما تعمل المستحاضة</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وتستظهر بيومين، فإن انقطع الدّم، وإلّا اغتسلت واستثفرت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فإن انقطع عنها الدّم وإلّا فهي مستحاضة، تصنع مثل النفساء سواء، ثمّ تُصلّي ولا تَدَع الصَّلاة على حال، فإنّ النبيّ صلى الله عليه و آله قال الصَّلاة عماد دينكم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تدلّ على اتّحاد النِّفاس والحيض في الأيّام، بحيث لا تتخطّى أيّام النِّفاس عن أيّام حيضها، إلّابالمقدار الذي يمكن أن يتخلّف حيضها اللّاحق عن أقرائها السابقة، أعني أيّام الإستظهار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فتدلّ على كون أكثر النِّفاس عَشَرة، بمعنى عدم التخطّي عنها، لا أنّ النِّفاس هي العشرة بتمامها، مع استمرار الدّم وإن كانت ذات عادة 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إختصاصها بالمعتادة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إنّما تدلّ على أنّ أكثر النِّفاس هو العادة التي تختلف باختلاف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واردة في مقام بيان الحكم الظاهري عند اشتباه النِّفاس بالاستحاضة، لا في مقام تحديد النِّفاس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بعضها متضمّنٌ للأمر بالاستظهار بيومٍ أو أكثر، ولازمه تجاوز النِّفاس عن العادة، وإنْ كانت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لرجوع ذات العادة إلى عادتها والاستظهار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النفساء بمنزلة الحائض في الأيّام، ولأجله أهمل التعرّض لغير ذات العادة، مع أنّ نصوص الاستظهار إلى العَشَرة ظاهرة في ذلك، إذ لو لم يكن أكثر النِّفاس عَشَرة أيّام مطلقاً، لم يتحقّق الاستظهار بذلك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إنّما تدلّ على رجوع ذات العادة إلى عادتها في الحيض، سواءٌ أكانت عَشَرة أو أقلّ‌، فهي تدلّ على أنّ أكثر النِّفاس عَشَرة بالمعنى الذي أشرنا إليه في تقريب الاستدلال بالنصوص، نظير ما دلَّ على أنّ أكثر الحيض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النِّفاس الواقعي لو كان حَدّه أكثر من حَدّ الحيض، لما صحّ جعل هذا الحكم الظاهري عند اشتباه النِّفاس بالاستحاضة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التنفس بمقدار العادة عند تجاوز الدّم عن العشرة مطلقاً، وحيث أنّ أثر هذا النزاع يظهر عند التجاوز، فإنّه على الأقوال الاُخر تتنفّس بعد العشرة أيضاً، فهذه النصوص تصلح للردّ عليها، سواءٌ أكان متضمّناً لبيان حكمٍ ظاهري أو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تضمن الأمر بالاستظهار، محمولٌ على مَنْ عادتها أقلّ من العشرة، بقرينة ما دلَّ على أنّها تستظهر إلى العَشَرة، كما عرفت مفصّلاً في مبحث الحيض</w:t>
      </w:r>
      <w:r>
        <w:rPr>
          <w:rStyle w:val="FootnoteAnchor"/>
          <w:rtl w:val="true"/>
        </w:rPr>
        <w:footnoteReference w:id="799"/>
      </w:r>
      <w:r>
        <w:rPr>
          <w:rFonts w:ascii="Amiri" w:hAnsi="Amiri" w:eastAsia="Amiri" w:cs="Amiri"/>
          <w:color w:val="111111"/>
          <w:sz w:val="28"/>
          <w:sz w:val="28"/>
          <w:szCs w:val="28"/>
          <w:rtl w:val="true"/>
          <w:lang w:bidi="ar-SA"/>
        </w:rPr>
        <w:t>عند التعرّض لنصوص الاستظهار والجمع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أنّه يمكن أنْ يستدلّ له بما رواه يونس بن يعقوب،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وَلَدت فرأت الدَّم أكثر ممّا كانت ترى؟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أقرائها التي كانت تجلس، ثمّ تستظهر بعَشَرة أيّام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حروف الصفات يقوم بعضها مقام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روايته بهذا السند وبهذا المتن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الأوّل إنْ رجع إلى الثاني، كما هو الظاهر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أكثره ثمانية عشر يوماً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الفُضَلاء</w:t>
      </w:r>
      <w:r>
        <w:rPr>
          <w:rStyle w:val="FootnoteAnchor"/>
          <w:rtl w:val="true"/>
        </w:rPr>
        <w:footnoteReference w:id="801"/>
      </w:r>
      <w:r>
        <w:rPr>
          <w:rFonts w:ascii="Amiri" w:hAnsi="Amiri" w:eastAsia="Amiri" w:cs="Amiri"/>
          <w:color w:val="111111"/>
          <w:sz w:val="28"/>
          <w:sz w:val="28"/>
          <w:szCs w:val="28"/>
          <w:rtl w:val="true"/>
          <w:lang w:bidi="ar-SA"/>
        </w:rPr>
        <w:t>، وصحيح زرارة، عن الإمام الباقر عليه السلام المتضمّنان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أسماء بنت عُمَيس نَفَستْ بمحمّدٍ بن أبي بكر حين أرادت الإحرام بذي الحُلَيفة، وأنّها لمّا قدِمَت مكّة بعد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نسكت مناسك الحجّ‌، أمرها رسول اللّه صلى الله عليه و آله أنْ تغتسل وتطوف بالبيت، وتُصلّي، ولم ينقطع منها الدّم</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يدلّان على أنّ النِّفاس لا يزيد عن هذا الحَدّ، وأمّا أنّه لا يكون أقلّ من ذلك فهما غير دالّين عليه، كما اُشير إلى ذلك في مرفوع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أبا عبد اللّه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أقعد في نفاسي عشرين يوماً حتّى أفتوني بثمانية عشر يوماً؟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أفتوكِ بثمانية عشر يوماً؟</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الذي رَوُوا عن رسول اللّه صلى الله عليه و آله قال لأسماء بنتِ عُمَيس حين نَفَستْ بمحمّد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سألت رسول اللّه صلى الله عليه و آله وقد أتى لها ثمانية عشر يوماً، ولو سألته قبل ذلك لأمرها أن تغتسل وتفعل كما تفعل المستحاضة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الخبر الموثّق الذي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نقلاً عن كتاب الأغسال لأحمد بن محمّد بن عياش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تقعد؟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أمرها رسول اللّه صلى الله عليه و آله أن تغتسل لثمان عَشَرة، ولا بأس بأن تستظهر بيوم أو يومين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اكتفاء الإمام عليه السلام في مقام الجواب بنقل قصّة أسماء، ظاهرٌ في إرادة أنّها حَدّ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يظهر اندفاع ما أُورد عليه بأنّ صريح صدره السؤال عن الحَدّ، وفي الجواب لم يتعرّض لذلك، وحينئذٍ يُشكل العمل بأصالة الجهة أو أصالة عدم النقصان للعلم بوجود الخلل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بقرينة تضمّنه الاستظهار بيومٍ أو يومين، جواز تجاوزه الثمانية عشر، وعليه فيكون حاله حال ما دلَّ على العشرين أو الثلاثين، وسيمرّ عليك ما في تلك النصوص، مضافاً إلى معارضته بالخبرين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تقعد حتّى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أو سبع عشرة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الترديد بين العددين، وحيثُ لا قائل به فيُطرح، مع أنّه إنّما يدلّ على أنّ العبرة باللّيالي، ولعلّه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الوارد في قصّة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فأمرها رسول اللّه صلى الله عليه و آله أن تقعد ثمانية عشر يوماً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المراد به إحدى النصوص المتقدّمة لا خبر آخر، على أنّه ضعيف للإرسال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كتبه مولاناالرضا عليه السلام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والنّفساء لا تقعد عن الصَّلاة أكثر من ثمانية عشر يوماً، فإنْ طَهُرت قبل ذلك صلّت، وإنْ لم تطهر حتّى تجاوز ثمانية عشر يوماً اغتسلت وصلّت وعملت بما تعمل المستحاضة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عن حنّان بن سُدير،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اُعطيت النفساء ثمانية عَشَر يوماً، ولم تُعط أقلّ منها ولا أكثر؟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الحيض أقلّه ثلاثة أيّام، وأوسطه خمسة، وأكثره عشرة، فاُعطيت أقلّه وأوسطه وأكثره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ضعفهما بعمل مثل السيّد والمفيد كما ترى، إذ مضافاً إلى ما قيل من أنّهما رجعا من هذا القول، لم يُعلم أنّهما استندا في فتواهما إلى هذين الخبرين، ولعلّهما استندا إلى النصوص المتضمّنة لقصّة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دعوى الانجبار بعمل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مطلقان، يشملان ذات العادة وغيرها، فحينئذٍ إنْ حُملا على غيرها، لزم حمل المطلق على الفرد النادر، وإلّا فيعارضان مع النصوص المتقدّمة الدالّة على رجوع ذات العادة إلى عادتها والترجيح معها،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صدورهما تقيّة لا رافع له، لعدم جريان أصالة الجهة فيهما، إذ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المكتوب إليه في الأوّل ممّن يخاف منه لسلطته، والثاني مشتملٌ على أنّ أوسط الحيض خمسة، مع أنّ أوسطه ستّة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يقتضيه الجمع بين ما دلَّ على الرجوع إلى العادة، وما دلَّ على الثمانية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عدم صحّة الاستدلال بنصوص الثمانية عشر أوّلاً، وعدم صحّة الجمع المزبور، لاستلزامه حمل نصوص الثمانية عشر على الفرد النادر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وجه القول الخامس وما فيه، بل هو أضعف من سابقه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روى ذلك البزنطي في كتابه، عن جميل، عن زرارة ومحمّد بن مسلم، عن أبي جعفر عليه السلام، إلّا أنّ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ذكره ابن أبي عقيل، فإنّه متروكٌ‌، والرواية به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منهم الشيخ الأعظم رحمه الله بعدم معرفة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ما اختاره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نصوصاً كثيرة أعرض الأصحاب عنها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ما بين الثلاثين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ما بين الثلاثين أو أربعين يوماً إلى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الأربعين إلى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غير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وكلّها مطروحة، أو محمولة على التقيّة، أو غيرها</w:t>
      </w:r>
      <w:r>
        <w:rPr>
          <w:rFonts w:eastAsia="Amiri" w:cs="Amiri" w:ascii="Amiri" w:hAnsi="Amiri"/>
          <w:color w:val="111111"/>
          <w:sz w:val="28"/>
          <w:szCs w:val="28"/>
          <w:rtl w:val="true"/>
          <w:lang w:bidi="ar-SA"/>
        </w:rPr>
        <w:t>.</w:t>
      </w:r>
      <w:bookmarkStart w:id="284" w:name="pg11796_113575"/>
    </w:p>
    <w:p>
      <w:pPr>
        <w:pStyle w:val="BookText"/>
        <w:rPr/>
      </w:pPr>
      <w:bookmarkEnd w:id="284"/>
      <w:r>
        <w:rPr>
          <w:rFonts w:ascii="Amiri" w:hAnsi="Amiri" w:eastAsia="Amiri" w:cs="Amiri"/>
          <w:color w:val="111111"/>
          <w:sz w:val="28"/>
          <w:sz w:val="28"/>
          <w:szCs w:val="28"/>
          <w:rtl w:val="true"/>
          <w:lang w:bidi="ar-SA"/>
        </w:rPr>
        <w:t>وحُكْمُها حُكم الحائض في جميع الأحكام</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0361944_73709187"/>
      <w:bookmarkStart w:id="286" w:name="_Toc107"/>
      <w:bookmarkEnd w:id="285"/>
      <w:r>
        <w:rPr>
          <w:rtl w:val="true"/>
        </w:rPr>
        <w:t>التنبيه على اُمور</w:t>
      </w:r>
      <w:bookmarkEnd w:id="286"/>
    </w:p>
    <w:p>
      <w:pPr>
        <w:pStyle w:val="Heading6"/>
        <w:numPr>
          <w:ilvl w:val="5"/>
          <w:numId w:val="1"/>
        </w:numPr>
        <w:rPr/>
      </w:pPr>
      <w:bookmarkStart w:id="287" w:name="__RefHeading___Toc10361946_73709187"/>
      <w:bookmarkStart w:id="288" w:name="_Toc108"/>
      <w:bookmarkEnd w:id="287"/>
      <w:r>
        <w:rPr>
          <w:rtl w:val="true"/>
        </w:rPr>
        <w:t>في وحدة حكم النّفساء والحائض</w:t>
      </w:r>
      <w:bookmarkEnd w:id="28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حقيقة النّفاس والنفساء،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 حُكم الحائض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فيُحرم عليها ما يُحرم على الحائض، وكذا يندبُ ويُكره ويُباح لها ما يَندُب ويُكره ويُباح للحائض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أهل العلم لا أعلم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سلمان رضى الله عنه، المتضمّن أنّ النِّفاس حيضٌ محتبس</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المتقدّم، المتضمّن تنزيل الحائض منزلة النّفساء</w:t>
      </w:r>
      <w:r>
        <w:rPr>
          <w:rStyle w:val="FootnoteAnchor"/>
          <w:rtl w:val="true"/>
        </w:rPr>
        <w:footnoteReference w:id="816"/>
      </w:r>
      <w:r>
        <w:rPr>
          <w:rFonts w:ascii="Amiri" w:hAnsi="Amiri" w:eastAsia="Amiri" w:cs="Amiri"/>
          <w:color w:val="111111"/>
          <w:sz w:val="28"/>
          <w:sz w:val="28"/>
          <w:szCs w:val="28"/>
          <w:rtl w:val="true"/>
          <w:lang w:bidi="ar-SA"/>
        </w:rPr>
        <w:t>، بدعوى أنّه وإنْ دلّ على تنزيل الحائض منزلة النّفساء لا العكس، إلّاأنّه إذا ثبت حكمٌ للحائض، ولم يثبت لها، لا محالة يلزم التقييد في إطلاق دليل التنزيل، ويُحمل على إرادة غير ذلك الحكم، فلو شكّ في ذلك يتمسّك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مراراً من أنّه في مقام بيان قضيّة خارجيّة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التنزيل إنّما سيق لبيان ثبوت أحكام ذي المنزلة للمنزّل </w:t>
      </w:r>
    </w:p>
    <w:p>
      <w:pPr>
        <w:pStyle w:val="BookText"/>
        <w:rPr/>
      </w:pPr>
      <w:r>
        <w:rPr>
          <w:rFonts w:ascii="Amiri" w:hAnsi="Amiri" w:eastAsia="Amiri" w:cs="Amiri"/>
          <w:color w:val="111111"/>
          <w:sz w:val="28"/>
          <w:sz w:val="28"/>
          <w:szCs w:val="28"/>
          <w:rtl w:val="true"/>
          <w:lang w:bidi="ar-SA"/>
        </w:rPr>
        <w:t>لا العكس، فلا وجه للتمسّك بإطلاق دليله في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العمدة فيه هو الإجماع، ويؤيّده ما ورد من النصوص الخاصّة في الموارد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وجوب قضاء الصوم عليها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عدم جواز وطئها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صحّة طلاقها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المتيقّن من معقده، هو أحكام الحائض، فأحكام الحيض ككون أقلّه ثلاثة أيّام وأكثره عَشَرة، ودلالته على البلوغ ونحو ذلك، خارجة عن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واستثناء بعض نَقَلة الإجماع لما يكون من قبيل القسم الثاني، لا يصلح أنْ يكون دليلاً لإرادة المُجمعين ما يشمل القسم الثاني، فيتعيّن الاقتصار على المتيقّن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9" w:name="pg11796_113577"/>
    </w:p>
    <w:p>
      <w:pPr>
        <w:pStyle w:val="Heading6"/>
        <w:numPr>
          <w:ilvl w:val="5"/>
          <w:numId w:val="1"/>
        </w:numPr>
        <w:rPr/>
      </w:pPr>
      <w:bookmarkStart w:id="290" w:name="__RefHeading___Toc10361948_73709187"/>
      <w:bookmarkStart w:id="291" w:name="_Toc109"/>
      <w:bookmarkEnd w:id="289"/>
      <w:bookmarkEnd w:id="290"/>
      <w:r>
        <w:rPr>
          <w:rtl w:val="true"/>
        </w:rPr>
        <w:t>حكم ولادة التوأمين</w:t>
      </w:r>
      <w:bookmarkEnd w:id="29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أماريّة الولادة لنفاسيّة الدّم، أنّها إذا ولدت اثنين فلكلّ واحدٍ منهما نفاسٌ مستقلٌّ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فعدد أيّامها من الثاني وابتدائه من الأوّل، من أنّ لهما نفاساً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له، كما يشير إليه أنّه اعتبر العدد من الثاني، إذ لو كان نفاساً واحداً لاعتبر العدد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من التردّد من نفاسيّة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رأته بعد ولادة الأوّل تردّد منشأه أنّها حاملٌ ولا حيض ولا نفاس مع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هو بذلك لصدق الاسم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كون أحد الولدين باقياً في بطنها من أن يكون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يختلف أهل اللّغة في أنّ المرأة إذا ولدت، وخَرَج الدّم عقيب الولادة،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w:t>
      </w:r>
      <w:r>
        <w:rPr>
          <w:rStyle w:val="FootnoteAnchor"/>
          <w:rtl w:val="true"/>
        </w:rPr>
        <w:footnoteReference w:id="823"/>
      </w:r>
      <w:r>
        <w:rPr>
          <w:rFonts w:ascii="Amiri" w:hAnsi="Amiri" w:eastAsia="Amiri" w:cs="Amiri"/>
          <w:color w:val="111111"/>
          <w:sz w:val="28"/>
          <w:sz w:val="28"/>
          <w:szCs w:val="28"/>
          <w:rtl w:val="true"/>
          <w:lang w:bidi="ar-SA"/>
        </w:rPr>
        <w:t>، ولا يعتبرون بقاء ولدٍ في بطنها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اجتماع الحمل مع الحيض، مضافاً إلى عدم صحّته كما مرَّ، لا يلازم مع عدم اجتماع النِّفاس مع الحَمل، إذ قد عرفت أنّ مستند المساواة هو الإجماع، وهو غَير ثابتٍ في المقام، بل الإجماع على عدمها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حكم الفترة بين التوأمين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فصلٌ بينهما لعشرة أيّام واستمرّ الدّم، فنفاسها عشرون يوماً، لكلّ مولود عَشَرة، لإطلاق الأدلّة، والإجماع، وعموم المساواة، مضافاً إلى عدم ثبوته كما مرّ يخصّص بهما لو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الفصل أقلّ من عشرة، كما لو ولدت الثاني في يوم السادس من حين ولادة الأوّل، 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توهّم امتداد النِّفاس إلى عشرين، بدعوى أصالة عدم التداخل، لأنّه يلزم الحكم بكون مبدء النِّفاس الثاني من بعد الولادة، وهو خلاف الإجماع والنصّ‌، فلا محالة 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انقطاع نفاس الأوّل بولادة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عليه، بل مقتضى إطلاق الأدلّة بقاء أثر الأوّل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ولدت في أوّل الشهر، فرأت الدّم إلى نهاية الثلاثة، فولدت الثاني في اليوم الرابع، فالنقاء المتخلّل نفاسٌ‌، بناءً على ما سيأتي من أنّ النقاء المتخلّل بين أجزاء النِّفاس الواحد نفاسٌ‌،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فُصل بينهما نقاء عَشرة أيّام، كان طُهراً بلا كلام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الكلام فيما لو كان أقلّ من عشرة، كما لو ولدت ورأت الدّم عشرة أيّام، ثمّ نقت تسعة أيّام، ثمّ ولدت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يُحكم بكون النقاء المتخلّل طُهراً؟</w:t>
      </w:r>
    </w:p>
    <w:p>
      <w:pPr>
        <w:pStyle w:val="BookText"/>
        <w:rPr/>
      </w:pPr>
      <w:r>
        <w:rPr>
          <w:rFonts w:ascii="Amiri" w:hAnsi="Amiri" w:eastAsia="Amiri" w:cs="Amiri"/>
          <w:color w:val="111111"/>
          <w:sz w:val="28"/>
          <w:sz w:val="28"/>
          <w:szCs w:val="28"/>
          <w:rtl w:val="true"/>
          <w:lang w:bidi="ar-SA"/>
        </w:rPr>
        <w:t>أو أنّه نفاسٌ ويمتدّ نفاسها إلى انتهاء العَشَرة للثاني‌؟</w:t>
      </w:r>
    </w:p>
    <w:p>
      <w:pPr>
        <w:pStyle w:val="BookText"/>
        <w:rPr/>
      </w:pPr>
      <w:r>
        <w:rPr>
          <w:rFonts w:ascii="Amiri" w:hAnsi="Amiri" w:eastAsia="Amiri" w:cs="Amiri"/>
          <w:color w:val="111111"/>
          <w:sz w:val="28"/>
          <w:sz w:val="28"/>
          <w:szCs w:val="28"/>
          <w:rtl w:val="true"/>
          <w:lang w:bidi="ar-SA"/>
        </w:rPr>
        <w:t>أو أنّه نفاسٌ ويمتدّ نفاسها إلى مُضيّ عشرين يوماً من ولادة 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اعتبار كون الطهر بين النفاسين عشرة، بدعوى أنّ ما دلَّ على أنّ أقلّ الطهر عشرة مختصٌّ بما بين الحيضين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المساواة بين النِّفاس والحيض غَيرُ ثابتٍ‌،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لرفع اليد عن عموم ما دلَّ على أنّ الولادة أمارةٌ للنفاس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عموم ما دلَّ على أنّ أكثر النِّفاس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عن عموم ما دلَّ على أنّ النفساء تتنفّس بمقدار 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الجمع بينها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بكون الدمين نفاسين، والنقاء المتخلّل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بما أنّ ما دلَّ على التنفس بدم الولادة، وما دلَّ على تنفس النفساء بمقدار عادتها، متضمّنان لحكمين ظاهريين، فلا يصلحان لمعارضة ما دلَّ على أنّ أقلّ الطهر عشرة، وما دلَّ على أنّ أكثر النِّفاس عشرة المتضمّنين لحكمين واقعيين لاختلاف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التحديدات الواقعيّة يوجبُ العلم بعدم مطابقة الطريق للواقع، وعليه فيتعيّن رفع اليد عن التنفس بتمام الأوّل، فيحكم بطهر المقدار المتمّم للنقاء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لاختصاص ما دلَّ على أنّ أقلّ الطُهر عشرة بما بين الحيضين، بل إطلاقه يشمل ما بين النفاسين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تصحيحه بإرادة ما يعمّ الطريقيّة والأماريّة من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وجه الفرق بين ما دلَّ على التنفّس بدم الولادة، وما دلَّ على أنّ أكثر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الأوّل متضمّناً لحكمٍ ظاهري، والثاني لحكم واقعي، مع أنّ دليل التحديد الواقعي إنْ كان موجباً للعلم الوجداني، كان ما ذكر تامّاً، وأمّا إنْ كان عِلْميّاً أوجب الإحراز التعبّدي كما في المقام، فلا محالة يقع التعارض بينه وبين ما تضمّن طريقيّة شيء إلى ما يضادّ ما تضمّنه، كما لا يخفى‌،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اختلاف المرتبة لا يوجب 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وقوع التعارض بين ما دلَّ على أنّ أقلّ الطُهر عشرة، ومجموع العمومات الثلاثة، حيث أنّه يظهر للمتأمّل المنصف أولويّة التخصيص في عموم ما دلَّ على أنّ أقلّ الطُهر عشرة، كما صرّح به الشيخ الأعظم رحمه الله</w:t>
      </w:r>
      <w:r>
        <w:rPr>
          <w:rStyle w:val="FootnoteAnchor"/>
          <w:rtl w:val="true"/>
        </w:rPr>
        <w:footnoteReference w:id="828"/>
      </w:r>
      <w:r>
        <w:rPr>
          <w:rFonts w:ascii="Amiri" w:hAnsi="Amiri" w:eastAsia="Amiri" w:cs="Amiri"/>
          <w:color w:val="111111"/>
          <w:sz w:val="28"/>
          <w:sz w:val="28"/>
          <w:szCs w:val="28"/>
          <w:rtl w:val="true"/>
          <w:lang w:bidi="ar-SA"/>
        </w:rPr>
        <w:t>، فهو المتعيّن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2" w:name="pg11796_113581"/>
    </w:p>
    <w:p>
      <w:pPr>
        <w:pStyle w:val="Heading6"/>
        <w:numPr>
          <w:ilvl w:val="5"/>
          <w:numId w:val="1"/>
        </w:numPr>
        <w:rPr/>
      </w:pPr>
      <w:bookmarkStart w:id="293" w:name="__RefHeading___Toc10361950_73709187"/>
      <w:bookmarkStart w:id="294" w:name="_Toc110"/>
      <w:bookmarkEnd w:id="292"/>
      <w:bookmarkEnd w:id="293"/>
      <w:r>
        <w:rPr>
          <w:rtl w:val="true"/>
        </w:rPr>
        <w:t>في حكم الطفل الخارج متدرّجاً</w:t>
      </w:r>
      <w:bookmarkEnd w:id="29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بعض الطفل، ثمّ بعد طول مدّةٍ خرج تمامه، فالنّفاس من حين خروج ذلك البعض، كما عرفت في أوّل هذا المبحث</w:t>
      </w:r>
      <w:r>
        <w:rPr>
          <w:rStyle w:val="FootnoteAnchor"/>
          <w:rtl w:val="true"/>
        </w:rPr>
        <w:footnoteReference w:id="829"/>
      </w:r>
      <w:r>
        <w:rPr>
          <w:rFonts w:ascii="Amiri" w:hAnsi="Amiri" w:eastAsia="Amiri" w:cs="Amiri"/>
          <w:color w:val="111111"/>
          <w:sz w:val="28"/>
          <w:sz w:val="28"/>
          <w:szCs w:val="28"/>
          <w:rtl w:val="true"/>
          <w:lang w:bidi="ar-SA"/>
        </w:rPr>
        <w:t>خلافاً للوسيلة</w:t>
      </w:r>
      <w:r>
        <w:rPr>
          <w:rStyle w:val="FootnoteAnchor"/>
          <w:rtl w:val="true"/>
        </w:rPr>
        <w:footnoteReference w:id="830"/>
      </w:r>
      <w:r>
        <w:rPr>
          <w:rFonts w:ascii="Amiri" w:hAnsi="Amiri" w:eastAsia="Amiri" w:cs="Amiri"/>
          <w:color w:val="111111"/>
          <w:sz w:val="28"/>
          <w:sz w:val="28"/>
          <w:szCs w:val="28"/>
          <w:rtl w:val="true"/>
          <w:lang w:bidi="ar-SA"/>
        </w:rPr>
        <w:t>والغنية</w:t>
      </w:r>
      <w:r>
        <w:rPr>
          <w:rStyle w:val="FootnoteAnchor"/>
          <w:rtl w:val="true"/>
        </w:rPr>
        <w:footnoteReference w:id="831"/>
      </w:r>
      <w:r>
        <w:rPr>
          <w:rFonts w:ascii="Amiri" w:hAnsi="Amiri" w:eastAsia="Amiri" w:cs="Amiri"/>
          <w:color w:val="111111"/>
          <w:sz w:val="28"/>
          <w:sz w:val="28"/>
          <w:szCs w:val="28"/>
          <w:rtl w:val="true"/>
          <w:lang w:bidi="ar-SA"/>
        </w:rPr>
        <w:t>وغيرهما، والسؤال المطروح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مبدأ العشرة من حين خروجه أو من حين التمام‌؟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نفاسٌ واحدٌ، فمقتضى أدلّة التحديد كون ابتداء العَشَرة من حين خروج الجزء الأوّل، فيحكم بما زاد عليها بالاستحاضيّة وإنْ كان الدّم مقارناً لخروج بعض أجزاء الطفل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نصوص التحديد كالصريح في أنّ المبدء من حين خروج الطفل بتمامه، لاحظ قول الإمام الباقر عليه السلام في خبر مالك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لها منذ يوم وضعت بقدر أيّام عدّة حيضها، ثمّ تستظهر بيومٍ‌، فلا بأس بعد أن يغشاها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الالتزام بكون الدّم الخارج مقارناً للولادة وعقيبها بلا فصل استحاضة، ممّا يقطع بفساده، فالمراد من أنّ أكثر النِّفاس عشرة؛ أنّ النِّفاس لا يزيد على العشرة من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هو الثاني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نقت في الأثناء دون العَشَرة، فهو أيضاً نفاسٌ‌، بناءً على أنّ النقاء </w:t>
      </w:r>
    </w:p>
    <w:p>
      <w:pPr>
        <w:pStyle w:val="BookText"/>
        <w:rPr/>
      </w:pPr>
      <w:r>
        <w:rPr>
          <w:rFonts w:ascii="Amiri" w:hAnsi="Amiri" w:eastAsia="Amiri" w:cs="Amiri"/>
          <w:color w:val="111111"/>
          <w:sz w:val="28"/>
          <w:sz w:val="28"/>
          <w:szCs w:val="28"/>
          <w:rtl w:val="true"/>
          <w:lang w:bidi="ar-SA"/>
        </w:rPr>
        <w:t>المتخلّل بين أجزاء النِّفاس الواحد نفاسٌ‌، لعموم ما دلَّ على أنّ أقلّ الطُهر عشرة أيّام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 بما كان بين نفاسين، لا يمنع عن حجيّته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حكم ما لو خرج الطفل قطعة قطعة، فإنّه يُحكم بكون المجموع ممّا رأته من خروج القطعة الأولى إلى مُضيّ عشرة أيّام من حين خروج القطعة الأخيرة نفاساً واحداً وإنْ طال إلى شهرٍ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دلَّ على أنّ أكثر النِّفاس عشرة، لما تقدّم من أنّ مبدء العشرة هو تمام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النِّفاس بتعدّد القطع، فيكون الولد المنقطع قطعاً مُلحقاً بالتوأمين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الولادة التي جُعلت موضوعاً للنِّفاس، ويتعدّد النِّفاس بتعدّدها، تشمل ولادة الناقص، فولادة الأجزاء المتعدّدة ولادات متعدّدة لا ولادة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هذه الموارد نظر العرف، ولا ريب أنّهم يرون ولادة المجموع ولادة واحدة، نعم دعوى صدق الولادة فيما خرج معظم الأجزاء كماعن جماعة قريبة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95" w:name="pg11796_113583"/>
    </w:p>
    <w:p>
      <w:pPr>
        <w:pStyle w:val="Heading6"/>
        <w:numPr>
          <w:ilvl w:val="5"/>
          <w:numId w:val="1"/>
        </w:numPr>
        <w:rPr/>
      </w:pPr>
      <w:bookmarkStart w:id="296" w:name="__RefHeading___Toc10361952_73709187"/>
      <w:bookmarkStart w:id="297" w:name="_Toc111"/>
      <w:bookmarkEnd w:id="295"/>
      <w:bookmarkEnd w:id="296"/>
      <w:r>
        <w:rPr>
          <w:rtl w:val="true"/>
        </w:rPr>
        <w:t>الدَّم المُستَمرّ إلى شهرٍ أو أزيد</w:t>
      </w:r>
      <w:bookmarkEnd w:id="297"/>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الدّم على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ذات عادة في الحيض، أخذت بعادتها، سواءٌ أكانت عادتها عشرة أو أقلّ‌، لما تضمّن رجوع ذات العادة إلى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من أنّها مع تجاوز الدّم عن العشرة لا ترجع إلى عادتها، بل تجعل العشرة نفاساً، غير 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أنّ أكثر النِّفاس عَشَرة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يونس المتقدّم</w:t>
      </w:r>
      <w:r>
        <w:rPr>
          <w:rStyle w:val="FootnoteAnchor"/>
          <w:rtl w:val="true"/>
        </w:rPr>
        <w:footnoteReference w:id="837"/>
      </w:r>
      <w:r>
        <w:rPr>
          <w:rFonts w:ascii="Amiri" w:hAnsi="Amiri" w:eastAsia="Amiri" w:cs="Amiri"/>
          <w:color w:val="111111"/>
          <w:sz w:val="28"/>
          <w:sz w:val="28"/>
          <w:szCs w:val="28"/>
          <w:rtl w:val="true"/>
          <w:lang w:bidi="ar-SA"/>
        </w:rPr>
        <w:t>، المتضمّن للاستظهار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لأنّه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المراد بذلك، ليس هو الحكم بكون النِّفاس عَشَرة فعلاً، بل المراد به ما اُريد من ما دلَّ على أنّ أكثر الحيض عشرة، فلا يعارض نصوص العادة فراجع،</w:t>
      </w:r>
      <w:r>
        <w:rPr>
          <w:rStyle w:val="FootnoteAnchor"/>
          <w:rtl w:val="true"/>
        </w:rPr>
        <w:footnoteReference w:id="838"/>
      </w:r>
      <w:r>
        <w:rPr>
          <w:rFonts w:ascii="Amiri" w:hAnsi="Amiri" w:eastAsia="Amiri" w:cs="Amiri"/>
          <w:color w:val="111111"/>
          <w:sz w:val="28"/>
          <w:sz w:val="28"/>
          <w:szCs w:val="28"/>
          <w:rtl w:val="true"/>
          <w:lang w:bidi="ar-SA"/>
        </w:rPr>
        <w:t>والخبر لا يدلّ على ذلك، إلّامع كون أيّام الاستظهار من أيّام النِّفاس، وهو كما ترى خلاف ظاهر نصوص الاستظهار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بعد مُضيّ مقدار عادتها العدديّة، تعمل عمل المستحاضة، ويكون الدّم محكوماً بالاستحاضة، كما هو المصرّح به في نصوص العادة، وإنْ كان في أيّام العادة الوقتيّة، ولا ترجع إلى إطلاق ما دلَّ على طريقيّة العادة، لما دلَّ على اعتبار الفصل بين النِّفاس والحيض المتأخّر بأقلّ الطُهر، وهو عمومُ ما دلَّ على أنّ أقلّ الطهر </w:t>
      </w:r>
    </w:p>
    <w:p>
      <w:pPr>
        <w:pStyle w:val="BookText"/>
        <w:rPr/>
      </w:pPr>
      <w:r>
        <w:rPr>
          <w:rFonts w:ascii="Amiri" w:hAnsi="Amiri" w:eastAsia="Amiri" w:cs="Amiri"/>
          <w:color w:val="111111"/>
          <w:sz w:val="28"/>
          <w:sz w:val="28"/>
          <w:szCs w:val="28"/>
          <w:rtl w:val="true"/>
          <w:lang w:bidi="ar-SA"/>
        </w:rPr>
        <w:t>عشرة، بناءً على عدم اختصاصه بما بين الحيضين، كما هو الأقوى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 في بعض صوره إطلاقُ ما دلَّ على أنّ الدّم المتجاوز بعد مُضيّ أكثر النِّفاس استحاضة، وهي نصوص العادة، فإنّ مقتضاها عدم جواز اتّصال الحيض بالنفاس، هذا مع عدم فصل أقلّ الطهر، وإلّا فيحكم بأنّه حيضٌ إنْ كان في العادة، لإطلاق ما دلَّ على أنّ العادة طريق إلى تحقّق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تكن ذات عادة، فتجعل نفاسها عَشَرة أيّام، لما تقدّم في أكثر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أنّ المبتدئة ترجع إلى التمييز، ثمّ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ثبوت هذه الأحكام للحائض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مختصٌّ بها، ولا يشمل النّفساء، وعموم المساواة قد مرّ 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إذا ما ابتلت بأيّام كثيرة مكثت مثل أيّامها الّتي كانت تجلس قبل ذلك، واستظهرت مثل ثلثي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تعرف أيّام نفاسها، فابتلت، جلستْ بمثل أيّام اُمّها أو اُختها أو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من أنّ الرواية ضعيفة السند 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كلام في أنّ بعدها إلى عشرة أيّام استحاضة، للنصوص ولما دلَّ على أنّ أقلّ الطهر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مُضيّ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يُحكم بأنّه استحاضة ما لم ينقطع الدّم‌؟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أنّها ترجع إلى التمييز بعد عشرة الاستحاضة‌؟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ترجع إليه بعد مُضيّ شهر؟</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نصوص المقام الدالّة على أنّها تعمل عمل المستحاضة بعد أيّام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تلك الإطلاقات، إثبات الاستحاضة في مقابل نفي النِّفاس، فلا تنافي الحكم بالحيضيّة إذا وجدت أمارة الحيض كالتمييز، كما صرّح بذلك الشيخ الأعظم رحمه الله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ثبت الإطلاق لها من هذه الجهة، وقع التعارض بينها وبين ما دلَّ على الرجوع إلى التمييز، والنسبة عمومٌ من وجه فيتساقطان، فترجع إلى الأصل، وهي أصالة عدم الحيض وبقاء الاستحاضة، لكن قد عرفت عدم 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أنّ اللّه تعالى حَدَّ للنساء في كلّ شهرٍ مرّة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لو تمّت دلالته، فإنّما يدلّ على عدم اجتماع الحيضين في شهرٍ واحد، لا عدم اجتماع حيضٍ ونفاس، وعموم المساواة 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لبناء الأصحاب مختصٌّ بمورده، وهي المستحاضة الفاقدة للعادة والتمييز، مع أنّ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هو في مقابل الزائد على الشهر، لا في مقابل تعدّد الحيض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الثاني، لإطلاق نصوص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شمولها للمقام ممّا لم يُعلم الحيض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صورة اشتباه الحيض بالاستحاضة، وهو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غير النفساء في أوّل رؤية الدّم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غير معتبرة بنظر العرف في الحكم، فهى مُلغاة</w:t>
      </w:r>
      <w:r>
        <w:rPr>
          <w:rFonts w:eastAsia="Amiri" w:cs="Amiri" w:ascii="Amiri" w:hAnsi="Amiri"/>
          <w:color w:val="111111"/>
          <w:sz w:val="28"/>
          <w:szCs w:val="28"/>
          <w:rtl w:val="true"/>
          <w:lang w:bidi="ar-SA"/>
        </w:rPr>
        <w:t>.</w:t>
      </w:r>
      <w:bookmarkStart w:id="298" w:name="pg11796_113587"/>
    </w:p>
    <w:p>
      <w:pPr>
        <w:pStyle w:val="Heading6"/>
        <w:numPr>
          <w:ilvl w:val="5"/>
          <w:numId w:val="1"/>
        </w:numPr>
        <w:rPr/>
      </w:pPr>
      <w:bookmarkStart w:id="299" w:name="__RefHeading___Toc10361954_73709187"/>
      <w:bookmarkStart w:id="300" w:name="_Toc112"/>
      <w:bookmarkEnd w:id="298"/>
      <w:bookmarkEnd w:id="299"/>
      <w:r>
        <w:rPr>
          <w:rtl w:val="true"/>
        </w:rPr>
        <w:t>في انقطاع الدَّم على العاشر أو قبلها</w:t>
      </w:r>
      <w:bookmarkEnd w:id="30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انقطاع الدّم في نهاية الحَدّ أو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دمها على العاشر أو قبلها، فكلّ ما رأته نفاسٌ بلا خلاف، سواءٌ علمت بكونه نفاساً أو شكّت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الإمكان المتسالم عليها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رأت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البعض الأوّل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البعض الآخر، كما لو رأت الدّم في اليوم العاشر،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بعد الاعتراف بأنّ الحكم بأنّه نفاس مقطوع به في كلام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محلُّ إشكالٍ‌، لعدم العلم باستناد هذا الدّم إلى الولادة، وعدم ثبوت الإضافة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الإمكان، الّتي قام الإجماع على جريانها في المقام، هو الحكم بكونه نفاساً، مع أنّ هذا الإشكال لا يختصّ بهذا المورد، بل جارٍ في كلّ دم انفصل عن الولادة، ولم تُثبت الإضافة إليها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فيختصّ النِّفاس بما يصاحب خروج الولد، أو يكون بعده بلا فصل، وهو بعيدٌ غاية البُعد عن ظواهر الأخبار المتقدّمة،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فإنّ الظاهر منها أنّ الدّم المرئي في أيّام العادة نفاسٌ من غير فرقٍ بين أن تُرى في جميع أيّام العادة أو بعضها، فتدبّر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ما لو كان في الطرفين، وأنّ ما عن غير واحدٍ نفي الخلاف في كونه نفاساً هو الأوفق بالقواعد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لا خلاف في أنّ الطهر المُتخلّل بين الدّمين محكومٌ بالنفاس، لإطلاق ما دلَّ على أنّ أقلّ الطهر عشرة، وللإجماع المُدّعى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التردّد 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ذات العادة وغيرها،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بغير ذات العادة التي عادتها أقلّ من العشرة، وأمّا هي فما صادفها نفاسٌ دون ما زاد عليها، فلو كانت عادتها سبعة فرأت الدّم في اليوم الثامن أو التاسع أو العاشر، لا يُحكم بأنّه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للأمر بالرجوع إلى العادة التي لم ترَ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صدق دم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مختصّة بصورة الرؤية فيها وما بعدها، ولا تشمل ما لو لم ترَ إلّا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المرجع فيه قاعدة الإمكان المُجمع عليها في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لم تر الدّم في العشرة، ورأت بعدها، فلا نفاس لها، لما عن غير واحدٍ من دعوى الإجماع على أنّ مبدء العشرة الّتي لا يكون الدّم بعدها نفاساً من حين الولادة، ويشير إليه خبر مالك المتقدّم، فراجع</w:t>
      </w:r>
      <w:r>
        <w:rPr>
          <w:rFonts w:eastAsia="Amiri" w:cs="Amiri" w:ascii="Amiri" w:hAnsi="Amiri"/>
          <w:color w:val="111111"/>
          <w:sz w:val="28"/>
          <w:szCs w:val="28"/>
          <w:rtl w:val="true"/>
          <w:lang w:bidi="ar-SA"/>
        </w:rPr>
        <w:t>.</w:t>
      </w:r>
      <w:r>
        <w:rPr>
          <w:rStyle w:val="FootnoteAnchor"/>
          <w:rtl w:val="true"/>
        </w:rPr>
        <w:footnoteReference w:id="84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1" w:name="pg11796_113589"/>
    </w:p>
    <w:p>
      <w:pPr>
        <w:pStyle w:val="Heading6"/>
        <w:numPr>
          <w:ilvl w:val="5"/>
          <w:numId w:val="1"/>
        </w:numPr>
        <w:rPr/>
      </w:pPr>
      <w:bookmarkStart w:id="302" w:name="__RefHeading___Toc10361956_73709187"/>
      <w:bookmarkStart w:id="303" w:name="_Toc113"/>
      <w:bookmarkEnd w:id="301"/>
      <w:bookmarkEnd w:id="302"/>
      <w:r>
        <w:rPr>
          <w:rtl w:val="true"/>
        </w:rPr>
        <w:t>الدّم المنفصل عن الولادة</w:t>
      </w:r>
      <w:bookmarkEnd w:id="303"/>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العادة إذا رأت بعض العادة، وتجاوز العَشَرة، كما لو رأت الدّم يوم الخامس من الولادة، وكانت عادتها خمسة، أتمّتها بما بعد العادة إلى العَشَرة دون ما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ما دلَّ على رجوع ذات العادة إلى عادتها، إذ الظاهر منها العادة العدديّة، وظاهر ما دلَّ على الرجوع إليها، جعلُ مَبدئها من حين رؤية الدّم لا الولادة،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مبدئها من حين الولادة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الإجماع على أنّ مبدء العَشَرة التي هي أكثر النِّفاس من حين الولادة، وعليه فإذا لم يمكن التكملة على وجه التمام، كما لو رأت الدّم يوم الخامس، وكانت عادتها سبعة وعبر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هذا الفرض خارجاً عن مورد النصوص‌؟</w:t>
      </w:r>
    </w:p>
    <w:p>
      <w:pPr>
        <w:pStyle w:val="BookText"/>
        <w:rPr/>
      </w:pPr>
      <w:r>
        <w:rPr>
          <w:rFonts w:ascii="Amiri" w:hAnsi="Amiri" w:eastAsia="Amiri" w:cs="Amiri"/>
          <w:color w:val="111111"/>
          <w:sz w:val="28"/>
          <w:sz w:val="28"/>
          <w:szCs w:val="28"/>
          <w:rtl w:val="true"/>
          <w:lang w:bidi="ar-SA"/>
        </w:rPr>
        <w:t>أو تخصّص العادة بالأيّام التي في العشرة‌؟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وعلى الأوّل أيضاً لا يبعد الحكم بنفاسيّة الدّم إلى العشرة، لقاعدة الإمكان، وبذلك كلّه يظهر حكم ما لو لم ترَ الدّم في العادة، ورأت بعدها وتجاوز العشرة، فإنّه يُحكم بكونه نفاساً إلى العشرة ما لم يزد عن عادتها، كما عن الأكثر لقاعدة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نصوص العادة، كون الدّم المتجاوز عنها إذا لم ينقطع على العشرة، ليس بنفاس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مختصّة بما رأته في العادة وتجاوزها وعبَر العشرة، لا فيما إذا لم تره </w:t>
      </w:r>
    </w:p>
    <w:p>
      <w:pPr>
        <w:pStyle w:val="BookText"/>
        <w:rPr/>
      </w:pPr>
      <w:r>
        <w:rPr>
          <w:rFonts w:ascii="Amiri" w:hAnsi="Amiri" w:eastAsia="Amiri" w:cs="Amiri"/>
          <w:color w:val="111111"/>
          <w:sz w:val="28"/>
          <w:sz w:val="28"/>
          <w:szCs w:val="28"/>
          <w:rtl w:val="true"/>
          <w:lang w:bidi="ar-SA"/>
        </w:rPr>
        <w:t>إلّا بعد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من عدم البناء على نفاسيّته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بمهمّات مباحث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04" w:name="pg11796_113591"/>
    </w:p>
    <w:p>
      <w:pPr>
        <w:pStyle w:val="BookText"/>
        <w:rPr/>
      </w:pPr>
      <w:bookmarkEnd w:id="304"/>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الأموات، ومباحثه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الإحتضار، ويجبُ فيه استقبال الميّت إلى القبلة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0361958_73709187"/>
      <w:bookmarkStart w:id="306" w:name="_Toc114"/>
      <w:bookmarkEnd w:id="305"/>
      <w:r>
        <w:rPr>
          <w:rtl w:val="true"/>
        </w:rPr>
        <w:t>الفصل الخامس في غُسل الأموات</w:t>
      </w:r>
      <w:bookmarkEnd w:id="306"/>
    </w:p>
    <w:p>
      <w:pPr>
        <w:pStyle w:val="Heading5"/>
        <w:numPr>
          <w:ilvl w:val="4"/>
          <w:numId w:val="1"/>
        </w:numPr>
        <w:rPr/>
      </w:pPr>
      <w:bookmarkStart w:id="307" w:name="__RefHeading___Toc10361960_73709187"/>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والكلام في هذا الفصل إنّما هو في الحقيقة للبحث عن غُسل الأموات، ولكن جرت سيرة الأصحاب تجميعاً للبحوث وحفظاً عن تفرّقها على التعرّض لباقي أحكامها، من التكفين والصَّلاة عليها وغيرهما، وعليه فما في بعض نُسخ المتن من جعل العنوان حكم الأموات أولى من سائر النسخ المعنونة بغسل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مباحث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0361962_73709187"/>
      <w:bookmarkStart w:id="310" w:name="_Toc116"/>
      <w:bookmarkEnd w:id="309"/>
      <w:r>
        <w:rPr>
          <w:rtl w:val="true"/>
        </w:rPr>
        <w:t>البحث الأوّل</w:t>
      </w:r>
      <w:r>
        <w:rPr>
          <w:rtl w:val="true"/>
        </w:rPr>
        <w:t xml:space="preserve">: </w:t>
      </w:r>
      <w:r>
        <w:rPr>
          <w:rtl w:val="true"/>
        </w:rPr>
        <w:t>الاحتضار</w:t>
      </w:r>
      <w:bookmarkEnd w:id="310"/>
    </w:p>
    <w:p>
      <w:pPr>
        <w:pStyle w:val="Heading6"/>
        <w:numPr>
          <w:ilvl w:val="5"/>
          <w:numId w:val="1"/>
        </w:numPr>
        <w:rPr/>
      </w:pPr>
      <w:bookmarkStart w:id="311" w:name="__RefHeading___Toc10361964_73709187"/>
      <w:bookmarkStart w:id="312" w:name="_Toc117"/>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 اللّه بالقول الصادق لديه، بمحمّد وآله الطاهرين، صلوات اللّه عليهم أجمعين، سُمّي بما لاستحضاره عقله كما في الحديث</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عند زهاق روحه، وحدوث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تحقّق الموت متوجِّهاً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وعن المرتضى</w:t>
      </w:r>
      <w:r>
        <w:rPr>
          <w:rStyle w:val="FootnoteAnchor"/>
          <w:rtl w:val="true"/>
        </w:rPr>
        <w:footnoteReference w:id="856"/>
      </w:r>
      <w:r>
        <w:rPr>
          <w:rFonts w:ascii="Amiri" w:hAnsi="Amiri" w:eastAsia="Amiri" w:cs="Amiri"/>
          <w:color w:val="111111"/>
          <w:sz w:val="28"/>
          <w:sz w:val="28"/>
          <w:szCs w:val="28"/>
          <w:rtl w:val="true"/>
          <w:lang w:bidi="ar-SA"/>
        </w:rPr>
        <w:t xml:space="preserve">وشيخ الطائفة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862"/>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توجيه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ولد عبد المطّلب وهو في السوق، وقد وُجِّه بغير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وأقبل اللّه عزّ و جلّ عليه بوجهه، ولم يزل كذلك حتّى يُقبض</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865"/>
      </w:r>
      <w:r>
        <w:rPr>
          <w:rFonts w:ascii="Amiri" w:hAnsi="Amiri" w:eastAsia="Amiri" w:cs="Amiri"/>
          <w:color w:val="111111"/>
          <w:sz w:val="28"/>
          <w:sz w:val="28"/>
          <w:szCs w:val="28"/>
          <w:rtl w:val="true"/>
          <w:lang w:bidi="ar-SA"/>
        </w:rPr>
        <w:t>روايته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الرواية كالقرينة الدالّة على الفضيلة، 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أمرٌ في واقعةٍ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الشيخ الأعظم رحمه الله</w:t>
      </w:r>
      <w:r>
        <w:rPr>
          <w:rStyle w:val="FootnoteAnchor"/>
          <w:rtl w:val="true"/>
        </w:rPr>
        <w:footnoteReference w:id="867"/>
      </w:r>
      <w:r>
        <w:rPr>
          <w:rFonts w:ascii="Amiri" w:hAnsi="Amiri" w:eastAsia="Amiri" w:cs="Amiri"/>
          <w:color w:val="111111"/>
          <w:sz w:val="28"/>
          <w:sz w:val="28"/>
          <w:szCs w:val="28"/>
          <w:rtl w:val="true"/>
          <w:lang w:bidi="ar-SA"/>
        </w:rPr>
        <w:t>على المناقشة الأُولى‌، وادّعى ظهور الخبر في الاستحباب بقرينة التعليل، وتبعه بعض من تأخّر عنه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تعليل الحكم بشيءٍ إنّما يكون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يُعلّله بما يترتّب عليه من المثوبة الاُخرويّة التي تكون متأخّرة عن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يُعلّله بما يترتّب عليه من المصالح التي تكون علل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التعليل على النحو الأوّل، فهو يوجب ظهور الأمر في الاستحباب، لأنّ ترتّب الثواب على الفعل يعدّ من خواصّ المستحبّات، وأمّا في الواجبات فيترتّب على تركها أيضاً العقاب، والتعليل به أولى من التعليل بترتّب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على النحو الثاني، فهو لا يصلح قرينةً لصرف ظهور الأمر في الوجوب، لإشتراك ذلك بين الواجبات والمستحبّات، فإنّه في الواجبات أيضاً تترتّب المصالح على الفعل، ولا يكون تركها ممّا يترتّب عليه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الثاني دون الأوّل، كما لا يخفى‌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بترتّب هذه الفائدة العُظمى على هذا الفعل اليسير في هذا المضيق، ممّا يؤكّد ظهور الأمر في الوجوب، وأمّا الثانية فلأنّه من البديهي عدم دَخْل خصوصيّة المورد في الحكم، وإلّا فلو احتُمِل دَخل مثل هذه الخصوصيّات، ويتوقّف لأجله في الاستدلال لانسدّ باب الاستدلال في معظم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بعضٌ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ضعيفٌ بالإرسال، والمسند في طريقة الحسين بن علوان، وهو عامّيٌ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أعاظم المحقّقين رحمهم الله</w:t>
      </w:r>
      <w:r>
        <w:rPr>
          <w:rStyle w:val="FootnoteAnchor"/>
          <w:rtl w:val="true"/>
        </w:rPr>
        <w:footnoteReference w:id="86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دأبنا الاعتناء بضعف السند في مثل هذه الرواية المشهورة المقبولة، المعتضدة بجملةٍ المعاضدات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عُلم استناد الأصحاب إلى هذا الخبر، كان ما ذكره متيناً جدّاً، ولكنّه غير معلوم، ولعلّهم استندوا إلى غيره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جابر لضعف السند 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يُجاب عنه، بأنّ المُرْسِل في أوّل كتابه ضَمِن أنْ لا يروي فيه إلّا ما يعتمد عليه ويَعمل به، فالمُرْسَلُ معتبرٌ سنداً، ودلالته تامّة، فلا توقّف في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الموثّق المرويّ عن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حجّةٌ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الاستدلال به يتمّ لو كان السؤال عن حُكم الميّت، وهو غير معلوم، لجواز أن يكون السؤال عن كيفيّة الاستقبال، وعلى هذا التقدير لاينعقد للجواب ظهورٌ في الوجوب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كون السؤال عن حكم الميّت، لا كيفيّة توجيهه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الظاهر من المشتقّ التلبّس بالمبدأ فعلاً، فالسؤال إنّما يكون عن حكم الميّت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رفع اليد عن هذا الظهور بقرينة الجواب، إذ التوجيه إلى القبلة ليس من أحكام الميّت بعد الموت، فالمراد منه المُشرِف على الموت، 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المعهود من المسلمين في جميع الأعصار توجيه الميّت إليها حال الاحتضار لا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أنّه قد أطبق العلماء على أنّ زمان التوجيه قبل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والمرسل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المتدبّر في الخبر مع القرائن الداخليّة والخارجيّة لايرتابُ في أنّ المراد هو المُشرِف على الموت لا الميّت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 فيكون مستقبل باطن قدميه ووجهه إلى القبلة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بعد نقله الخبر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هذه الرواية من حيث السند بإبراهيم بن هاشم، حيث لم ينصّ علمائنا على توثيقه، وبأنّ راويها وهو سليمان بن خالد لم يثبت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توثيق علمائنا لإبراهيم بن هاشم، إنّما هو لجلالة شأنه وعظم منزلته، كما يشهد لذلك كونه أوّل من نشر حديث الكوفيّين بقم، ولولا كونه معتَمَداً عند القمّيين الذين هم من أكابر المُحدِّثين، لما قَبِلوا رواياته سيّما مع ما عُلم من تشديد القميّين أمر العدالة، حتّى أخرجوا من قم مَن كان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العلّامة رحمه الله</w:t>
      </w:r>
      <w:r>
        <w:rPr>
          <w:rStyle w:val="FootnoteAnchor"/>
          <w:rtl w:val="true"/>
        </w:rPr>
        <w:footnoteReference w:id="874"/>
      </w:r>
      <w:r>
        <w:rPr>
          <w:rFonts w:ascii="Amiri" w:hAnsi="Amiri" w:eastAsia="Amiri" w:cs="Amiri"/>
          <w:color w:val="111111"/>
          <w:sz w:val="28"/>
          <w:sz w:val="28"/>
          <w:szCs w:val="28"/>
          <w:rtl w:val="true"/>
          <w:lang w:bidi="ar-SA"/>
        </w:rPr>
        <w:t>بأنّه تُقبل رواياته، وتصحيحه جملةٍ من طُرق الصدوق المشتملة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يشهد بوثاقته وعظم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في هذا الخبر إنّما روى عنه عبد اللّه ابن المغيرة وهو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اتّفقوا على عَدّ رواياته من الصِّحاح، مع أنّ جماعة نصّوا عليتوثيقه،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 وأيّوب ابن نوح والشهيد الثاني في محكيّ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صحيحة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أورده عليها من حيث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منها أنّ التسجية تجاه القبلة إنّما تكون بعد الموت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متينٌ جدّاً، إذ المراد بالتسجية التغطية، وهي إنّما تكون بعد الموت، وحملها على التوجيه إلى القبلة خلاف الظاهر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يبقى مورد للنزاع في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أشرف على الموت أم لا، وإنْ كان الأظهر بعد ملاحظة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عن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الأعظم رحمه الله</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 حمل الميّت فيه على المُشرف على الموت، لعدم تعلّق الموت بالميّت، وعليه فيتعيّن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الحقيقي، لا على أنّه إذا شَرُف على الموت، لعدم تعلّق الإشراف على الموت بالمُشرِف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التصرّف في هذه القضيّة وما شابهها، ليس بحمل الميّت على المُشرِف على الموت، بل بحمل الوصف على كونه مرآةً للذّات، وعليه فلا مانع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إذا أشرف على الموت،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وجوبه مستنداً إلى الخبرين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فروع ينبغي التعرّض لها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13" w:name="pg11796_113598"/>
    </w:p>
    <w:p>
      <w:pPr>
        <w:pStyle w:val="BookText"/>
        <w:rPr/>
      </w:pPr>
      <w:bookmarkEnd w:id="313"/>
      <w:r>
        <w:rPr>
          <w:rFonts w:ascii="Amiri" w:hAnsi="Amiri" w:eastAsia="Amiri" w:cs="Amiri"/>
          <w:color w:val="111111"/>
          <w:sz w:val="28"/>
          <w:sz w:val="28"/>
          <w:szCs w:val="28"/>
          <w:rtl w:val="true"/>
          <w:lang w:bidi="ar-SA"/>
        </w:rPr>
        <w:t>بأنْ يُلقى على ظهره، ويُجعَل وجهه وباطن رجليه إليها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0361966_73709187"/>
      <w:bookmarkStart w:id="315" w:name="_Toc118"/>
      <w:bookmarkEnd w:id="314"/>
      <w:r>
        <w:rPr>
          <w:rtl w:val="true"/>
        </w:rPr>
        <w:t>بيان كيفيّة التوجيه</w:t>
      </w:r>
      <w:bookmarkEnd w:id="315"/>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يُلقى على ظهره، ويُجعَل وجهه وباطن رجليه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استقرار السيرة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ذُريح</w:t>
      </w:r>
      <w:r>
        <w:rPr>
          <w:rStyle w:val="FootnoteAnchor"/>
          <w:rtl w:val="true"/>
        </w:rPr>
        <w:footnoteReference w:id="882"/>
      </w:r>
      <w:r>
        <w:rPr>
          <w:rFonts w:ascii="Amiri" w:hAnsi="Amiri" w:eastAsia="Amiri" w:cs="Amiri"/>
          <w:color w:val="111111"/>
          <w:sz w:val="28"/>
          <w:sz w:val="28"/>
          <w:szCs w:val="28"/>
          <w:rtl w:val="true"/>
          <w:lang w:bidi="ar-SA"/>
        </w:rPr>
        <w:t>، وخبر إبراهيم الشعيري</w:t>
      </w:r>
      <w:r>
        <w:rPr>
          <w:rStyle w:val="FootnoteAnchor"/>
          <w:rtl w:val="true"/>
        </w:rPr>
        <w:footnoteReference w:id="883"/>
      </w:r>
      <w:r>
        <w:rPr>
          <w:rFonts w:ascii="Amiri" w:hAnsi="Amiri" w:eastAsia="Amiri" w:cs="Amiri"/>
          <w:color w:val="111111"/>
          <w:sz w:val="28"/>
          <w:sz w:val="28"/>
          <w:szCs w:val="28"/>
          <w:rtl w:val="true"/>
          <w:lang w:bidi="ar-SA"/>
        </w:rPr>
        <w:t>، وغير واحدٍ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النصوص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تعلّق الوجوب بالمحتضر نفسه أيضاً مع التمكّن منه، بل قد يُدّعى اختصاص الوجوب به حينئذٍ، لانصراف الأمر </w:t>
      </w:r>
    </w:p>
    <w:p>
      <w:pPr>
        <w:pStyle w:val="BookText"/>
        <w:rPr/>
      </w:pPr>
      <w:r>
        <w:rPr>
          <w:rFonts w:ascii="Amiri" w:hAnsi="Amiri" w:eastAsia="Amiri" w:cs="Amiri"/>
          <w:color w:val="111111"/>
          <w:sz w:val="28"/>
          <w:sz w:val="28"/>
          <w:szCs w:val="28"/>
          <w:rtl w:val="true"/>
          <w:lang w:bidi="ar-SA"/>
        </w:rPr>
        <w:t>للغير في الأخبار السابقة إلى الغالب من العجز من الاستقبال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ظاهر النصوص بدواً، وإنْ كان يقتضي خلاف ذلك، إلّاأنّ الظاهر بعد ملاحظة مناسبة الحكم والموضوع، والقرائن الداخليّة والخارجيّة، كون التوجّه في الخارج مطلوباً بنفسه، بلا دخلٍ لخصوصيّة المباشر، كما يظهر لمن تدبّر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على المحتضر نفسه إنْ تمكّن منه، بل لايبعد تقدّمه على غيره في التكليف، لكونه أولى بنفسه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اختصاص هذا الحكم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المخالف،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لعدم وجوب توجيهه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قيل من إنّه ورد أنّه يلزم له بمذهبه، وهو لا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إلى القبلة تهيئةً للميّت للرّحمة، كما يشهد له المُرسل، والمخالف لا يصلحُ لذلك، وبه يظهر مدرك الاختصاص بالمسلم، وعدم الشمول للكافر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التوجيه إلى القبلة كسائر أحكام الميّت فرضٌ كفايةً‌، كما هو المشهور، بل ادّعى عليه الإجماع</w:t>
      </w:r>
      <w:r>
        <w:rPr>
          <w:rStyle w:val="FootnoteAnchor"/>
          <w:rtl w:val="true"/>
        </w:rPr>
        <w:footnoteReference w:id="886"/>
      </w:r>
      <w:r>
        <w:rPr>
          <w:rFonts w:ascii="Amiri" w:hAnsi="Amiri" w:eastAsia="Amiri" w:cs="Amiri"/>
          <w:color w:val="111111"/>
          <w:sz w:val="28"/>
          <w:sz w:val="28"/>
          <w:szCs w:val="28"/>
          <w:rtl w:val="true"/>
          <w:lang w:bidi="ar-SA"/>
        </w:rPr>
        <w:t>، إذ هو الظاهر من توجيه الخطاب إلى عامّة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بالإتيان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النصوص، إرادة الشارع تحقّق هذا العمل في الخارج، من دون نظر له إلى مباشرٍ خاصّ‌، ولازم ذلك كونه واجباً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من أنّ ظاهر النصوص، عدم كون وجوبه كفائيّاً على عامّة المسلمين، بل متعلّقٌ بأهل الميّت، فيُحمل إطلاقها على ما دلّت عليه أخبار الغُسل والصَّلاة وغيرهما من كون المكلّف بذلك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ليس في شيءٍ من نصوص الباب ما يكون مفاده ما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يُستدلّ على الاختصاص بالولي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أولى النّاس بالميّت أولى النّاس بميراثه</w:t>
      </w:r>
      <w:r>
        <w:rPr>
          <w:rStyle w:val="FootnoteAnchor"/>
          <w:rtl w:val="true"/>
        </w:rPr>
        <w:footnoteReference w:id="888"/>
      </w:r>
      <w:r>
        <w:rPr>
          <w:rFonts w:ascii="Amiri" w:hAnsi="Amiri" w:eastAsia="Amiri" w:cs="Amiri"/>
          <w:color w:val="111111"/>
          <w:sz w:val="28"/>
          <w:sz w:val="28"/>
          <w:szCs w:val="28"/>
          <w:rtl w:val="true"/>
          <w:lang w:bidi="ar-SA"/>
        </w:rPr>
        <w:t>، بدعوى شموله للمقام، كما يقتضيه عموم بعض معاقد الإجماعات، حيث جُعل موضوعها جميع أحكام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ظاهرٌ في المتلبّس، فالظاهر منه منع إرادة نحو التغسيل والصَّلاة ونحوهما، لا الاستقبال والتلقين وشبههما من الأحكام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الاستثناء الواقع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خصوص الميراث، كما يشهد له الاستدلال به في كثيرٍ من النصوص على منع الأقارب الأجانب في الإرث، فالأولويّة المذكورة في الآية الشريفة أجنبيّة عن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محلّ الكلام،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تحريك الميّت بتوجيهه نحو القبلة تصرّفٌ فيه، لا دليل على جوازه بدون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لازم ذلك عدم التصرّف فيه إلّامع الاستيذان منه نفسه، أنّه بعد إذن المالك الأصلي وهو الخالق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 إذن غيره، هذا كلّه مضافاً إلى أنّ الميّت قبل موته لا ولاية لأحدٍ عليه، وهي إنّما تثبت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إذن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الأقوى بناءً على الوجوب، سقوطه بالموت، فلا يجب استمراره مستقبلاً، ولا استقباله ابتداءً إنْ لم يكن؛ للأصل، مع صدق الامتثال، وإشعار التعليل في المُرسل المتقدّم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إلى ظاهر الأخبار، ولعلّه لأنّه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قلناه سابقاً من دلالتها على المُشرف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المرسل بل صريحه، وظاهر الموثّق، وإنْ كان ذلك، إلّاأنّ ظاهر صحيح سليمان كما عرفت وجوب الاستقبال بعد الموت، وهو لا ينافي الخبرين المتقدّمين،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إطلاقه حصول الامتثال في أقلّ زمانٍ بعد الموت، فوجوبه قبل أن يُنقل جسده عن محلّه يحتاج إلى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ظهر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من أنّ ظاهر مصحّح سليمان وجوب الاستقبال إلى ما بعد الغُسل،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الوجوب بعد الموت، وشُكّ في سقوطه بعد ذلك، قبل انتقال جسده أو غُسله، لزم استصحاب بقاء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هذا الشرح غير مرّةٍ أنّ عدم جريان الاستصحاب في الأحكام،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عدم جريان الاستصحاب فيما بعد رفع الجنازة، لعدم اعتبار الاستقبال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قوله عليه السلام في المصحّح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اعتبار الاستقبال فيما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إبقائه كذلك إلى ما بعد الموت في أقلّ زمان، إنْ لم يكن إجماعٌ على عدم وجوبه بعد الموت، وإلّا فيحمل الصحيح على الاستحباب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حمله عليه، من جهة أنّه يدلّ على لزوم التسجية تجاه القبلة، حيث أنّ التسجية مستحبّة، فكذلك توجيهه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تعدّد المطلوب، ولذا لا يكون رجحان أحدهما مقيّداً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حال الغُسل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حينه فسيأتي حكمه في آداب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بعد الغُسل، فالأولى وضعه بنحو ما يوضع في قبره، ويشهد له خبر</w:t>
      </w:r>
      <w:r>
        <w:rPr>
          <w:rStyle w:val="FootnoteAnchor"/>
          <w:rtl w:val="true"/>
        </w:rPr>
        <w:footnoteReference w:id="893"/>
      </w:r>
      <w:r>
        <w:rPr>
          <w:rFonts w:ascii="Amiri" w:hAnsi="Amiri" w:eastAsia="Amiri" w:cs="Amiri"/>
          <w:color w:val="111111"/>
          <w:sz w:val="28"/>
          <w:sz w:val="28"/>
          <w:szCs w:val="28"/>
          <w:rtl w:val="true"/>
          <w:lang w:bidi="ar-SA"/>
        </w:rPr>
        <w:t>يعقوب بن يقطين،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طَهُر وُضِع كما يُوضع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القبلة ولم يمكن تحصيل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يسقط وجوب الاستقبال مطلقاً كما عن بعض</w:t>
      </w:r>
      <w:r>
        <w:rPr>
          <w:rStyle w:val="FootnoteAnchor"/>
          <w:rtl w:val="true"/>
        </w:rPr>
        <w:footnoteReference w:id="89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لو اشتبهت بين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المغرب والمشرق، كما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يجب مطلقاً توجيهه إلى جميع الجهات، كما احتمله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يجب توجيهه إلى أيّ جهةٍ من الجهات،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تكليفٌ‌، لكن بما أنّه لا يمكن امتثاله في الفرض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أنّه قبلة لمَن أخطأ في تشخيص القبلة فصلّى إلى غيرها، فالتعدّي يحتاج إلى دليلٍ مفقود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فاقد القبلة يُصلّي إلى أربع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ستعرف في محلّه من أنّ وظيفته الصَّلاة إلى أيّ جهةٍ شاء، أنّ الصَّلاة إلى أربع جهات أمرٌ ممكن، بخلاف توجيه الميّت، فإنّه لا يمكن توجيهه في آنٍ واحدٍ إلى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w:t>
      </w:r>
      <w:r>
        <w:rPr>
          <w:rStyle w:val="FootnoteAnchor"/>
          <w:rtl w:val="true"/>
        </w:rPr>
        <w:footnoteReference w:id="899"/>
      </w:r>
      <w:r>
        <w:rPr>
          <w:rFonts w:ascii="Amiri" w:hAnsi="Amiri" w:eastAsia="Amiri" w:cs="Amiri"/>
          <w:color w:val="111111"/>
          <w:sz w:val="28"/>
          <w:sz w:val="28"/>
          <w:szCs w:val="28"/>
          <w:rtl w:val="true"/>
          <w:lang w:bidi="ar-SA"/>
        </w:rPr>
        <w:t>أنّ فاقد القبلة يُصلّي إلى أي جهةٍ شاء، فهي مضافاً إلى اختصاصه بالصلاة، أنّ الميّت لا محالة يكون موجَّهاً إلى جهةٍ من الجهات، فالأمر بالتوجيه إليها طلبٌ لتحصيل الحاصل،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16" w:name="pg11796_113605"/>
    </w:p>
    <w:p>
      <w:pPr>
        <w:pStyle w:val="BookText"/>
        <w:rPr/>
      </w:pPr>
      <w:bookmarkEnd w:id="316"/>
      <w:r>
        <w:rPr>
          <w:rFonts w:ascii="Amiri" w:hAnsi="Amiri" w:eastAsia="Amiri" w:cs="Amiri"/>
          <w:color w:val="111111"/>
          <w:sz w:val="28"/>
          <w:sz w:val="28"/>
          <w:szCs w:val="28"/>
          <w:rtl w:val="true"/>
          <w:lang w:bidi="ar-SA"/>
        </w:rPr>
        <w:t>ويستحبّ تلقينه الشهادتين والإقرار بالنبيّ صلى الله عليه و آله والأئمّة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0361968_73709187"/>
      <w:bookmarkStart w:id="318" w:name="_Toc119"/>
      <w:bookmarkEnd w:id="317"/>
      <w:r>
        <w:rPr>
          <w:rtl w:val="true"/>
        </w:rPr>
        <w:t>آداب الإحتضار</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 عند موته، وليّاً كان أم غيره،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تفهيمه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الشهادتين، والإقرار بالنبيّ صلى الله عليه و آله،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كاشف اللّثام</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 عِكْرمة عند موته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كان ينفعه‌؟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ما أنتم عليه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عابدَ وثنٍ وَصَف ما تصفون عند خروج نَفَسه ما طَعِمت النّار من جسده شيئاً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الميّت قبل أن يموت فلقّنه شهادة أنْ لا إله إلّااللّه وحده لا شريك له، وأنّ محمّداً عبده ورسوله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قول السيّدين في خبري ابني مسلم والبُختري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تُلقّونَ أمواتكم عند الموت لا إلّاإلّااللّه، ونحن نُلقِّن موتانا محمّدٌ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الشهادة بأنّ محمّداً رسول اللّه شهادة إجماليّة بأنّه لا إله إلّااللّه، لأنّ التوحيد من أعظم أنبائه وإخباراته، وهذا بخلاف الشهادة بالتوحيد، فإنّها ليست شهادة بالرسالة بالضرورة، ولذلك لا تكفي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المستحبّ هو التلقين بالشهادتين، والإقرار بالأئمّة عليهم السلام بأيّ نحوٍ كان، بلا اعتبار كيفيّةٍ خاصّة، والأمرُ في هذه النصوص محمولٌ على الاستحباب بالإجماع، وبعض التعليلات، والخبرين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صحيح زرارة وخبر الحضرمي المتقدّمين، استحباب تلقينه سائر الاعتقادات الحقّة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الحليمُ الكريم، لا إله إلّااللّه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لقّنها لرجلٍ من بني هاشم، فلمّا قالها،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الكريم</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من رواية كلمات الفَرَج كذلك،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خبر أبي بصير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ربّ السّماوات</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الالتزام بأنّ كلمات الفرج هي نفس الكلمات، فلا يضرّ تقديم بعض الفقرات على بعض، وأنّ الزيادات المرويّة في بعض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ليست من مقوّماتها، بل من مكمّلاتها، وأنّ الجزء لها في موارد اختلاف الألفاظ هو أحد اللّفظين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الدُّعاء بالمأثور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الخبر الذي رواه سالم بن أبي سَلَمة،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حَضَر عند موت رجلٍ‌، فقالب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 لي الكثير من معاصيك، واقبل منّي اليسير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ميّتاً، فقولوا له هذا الكلام ليقوله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حريز بن عبد اللّه،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مريضٍ وهو في النزع الشديد،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يخفّف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العظيم، ربّ العرش الكريم، من كلّ عِرقٍ نفّار، ومن شَرّ حَرّ النّار سبع مرّات، ثمّ لقّنه كلمات الفرج، ثُمَّ حوّل وجهه إلى مصلّاه الذي كان يُصلّي فيه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 العابدين عليه السلام لم يزل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فإنّك رحيم، حتّى توفّى صلوات اللّه عليه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المرسل،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 عند حضوره عند موت رجلٍ‌،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ويعفو عن الكثير، إقْبَل منّي اليسير، واعفُ عنّي الكثير، إنّك أنت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مصلّاه إذا عَسُر عليه النزع، ولم يُوجِب أذاه، كما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نزعه وموته، قُرِّب إلى مصلّاه الذي كان يُصلّي فيه</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النصوص هو رجحان ذلك إذا عَسُر عليه النزع لا مطلقاً،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وغيرها من الحكم باستحبابه مطلقاً في غير محلّه، لا سيّما وقد ورد في بعض النصوص النهي عن مسّ الميّت معلّلاً، بأنّه إنّما يزداد ضعفاً، هذا فيما إذا لم يوجب أذاه، وإلّا فلايجوز لأنّه محرمٌ‌إيذائه، والاستحباب لايصلح لمزاحمة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والصّافات، والأحزاب، وآية الكرسي، وآية السّحرة، وثلاث آياتٍ من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سليمان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أباالحسن عليه السلام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يابُنيّ فاقرأعندأخيك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حتّى 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 أَمْ مَنْ خَلَقْنا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فقضى الفتى‌، فلمّا سُجّي وخَرَجوا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إذانزل به الموت يُقرأعنده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فصِرْتَ تأمرنا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لم تُقرأ عند مكروبٍ من موتٍ إلّاعَجّل اللّه راحته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 قراءة كلتا السورتين، كما لا يخفى‌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يُقرأ عند المريض والميّت آية الكرسي،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أخرجه إلى رضىً منك ورضوان، اللّهُمَّ اغفر له ذنبه، جَلَّ ثناءُ وَجهك، ثمّ يقرأ آية 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21"/>
      </w:r>
      <w:r>
        <w:rPr>
          <w:rFonts w:ascii="Amiri" w:hAnsi="Amiri" w:eastAsia="Amiri" w:cs="Amiri"/>
          <w:color w:val="111111"/>
          <w:sz w:val="28"/>
          <w:sz w:val="28"/>
          <w:szCs w:val="28"/>
          <w:rtl w:val="true"/>
          <w:lang w:bidi="ar-SA"/>
        </w:rPr>
        <w:t xml:space="preserve">ثُمّ يقرأ ثلاث آيات من آخر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ثمّ يقرأ سورة الأحزاب</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دعوى استحباب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لهذه النصوص بإلغاء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رجحان التوسّل بها في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ومعهوديّة قراءة القرآن عند النزع لدى المتشرّعة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الوفاة فاقرأوا عنده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9" w:name="pg11796_113611"/>
    </w:p>
    <w:p>
      <w:pPr>
        <w:pStyle w:val="BookText"/>
        <w:rPr/>
      </w:pPr>
      <w:bookmarkEnd w:id="319"/>
      <w:r>
        <w:rPr>
          <w:rFonts w:ascii="Amiri" w:hAnsi="Amiri" w:eastAsia="Amiri" w:cs="Amiri"/>
          <w:color w:val="111111"/>
          <w:sz w:val="28"/>
          <w:sz w:val="28"/>
          <w:szCs w:val="28"/>
          <w:rtl w:val="true"/>
          <w:lang w:bidi="ar-SA"/>
        </w:rPr>
        <w:t>وتَغميضُ عينيه، وإطباقُ فيه، ومدِّ يديه، وإعلام المؤمنين</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0361970_73709187"/>
      <w:bookmarkStart w:id="321" w:name="_Toc120"/>
      <w:bookmarkEnd w:id="320"/>
      <w:r>
        <w:rPr>
          <w:rtl w:val="true"/>
        </w:rPr>
        <w:t>المستحبّات بعد الموت</w:t>
      </w:r>
      <w:bookmarkEnd w:id="321"/>
    </w:p>
    <w:p>
      <w:pPr>
        <w:pStyle w:val="BookText"/>
        <w:rPr/>
      </w:pPr>
      <w:r>
        <w:rPr>
          <w:rFonts w:ascii="Amiri" w:hAnsi="Amiri" w:eastAsia="Amiri" w:cs="Amiri"/>
          <w:color w:val="111111"/>
          <w:sz w:val="28"/>
          <w:sz w:val="28"/>
          <w:szCs w:val="28"/>
          <w:rtl w:val="true"/>
          <w:lang w:bidi="ar-SA"/>
        </w:rPr>
        <w:t>ويستحبّ بعد الموت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تَغْميض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لخبر أبي كَهْمس،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موتُ إسماعيل، وأبو عبد اللّه جالسٌ عنده، فلمّا حضره الموت شدَّ لحييه وغَمَضه وغطّى عليه الملحفة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بحضور الموت تحقّقه لا حال الاحتضار، للنهي عن مسّ الميّت حال النزع، ولأنّ التسجية إنّما تكون بعد الموت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إطباق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Style w:val="FootnoteAnchor"/>
          <w:rtl w:val="true"/>
        </w:rPr>
        <w:footnoteReference w:id="927"/>
      </w:r>
      <w:r>
        <w:rPr>
          <w:rFonts w:ascii="Amiri" w:hAnsi="Amiri" w:eastAsia="Amiri" w:cs="Amiri"/>
          <w:color w:val="111111"/>
          <w:sz w:val="28"/>
          <w:sz w:val="28"/>
          <w:szCs w:val="28"/>
          <w:rtl w:val="true"/>
          <w:lang w:bidi="ar-SA"/>
        </w:rPr>
        <w:t>، لتلازمه مع شَدّ لحييه الذي وردَ الأمر به في خبر أبي كهمس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جَنبيه، لاستقرار سيرة المتشرّعة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 بثوبٍ بلا خلافٍ‌،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كهمس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المتقدّم، في استقبال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إعلام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بموته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وتعجيل أمره، إلّامع الاشتباه، فيرجع إلى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القاسم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الجنازة يؤذَن بها النّاس</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تعجيل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w:t>
      </w:r>
      <w:r>
        <w:rPr>
          <w:rStyle w:val="FootnoteAnchor"/>
          <w:rtl w:val="true"/>
        </w:rPr>
        <w:footnoteReference w:id="931"/>
      </w:r>
      <w:r>
        <w:rPr>
          <w:rFonts w:ascii="Amiri" w:hAnsi="Amiri" w:eastAsia="Amiri" w:cs="Amiri"/>
          <w:color w:val="111111"/>
          <w:sz w:val="28"/>
          <w:sz w:val="28"/>
          <w:szCs w:val="28"/>
          <w:rtl w:val="true"/>
          <w:lang w:bidi="ar-SA"/>
        </w:rPr>
        <w:t xml:space="preserve">مستفيضاً كالنصوص بل هي ظاهرة في الوجوب، إلّا أنّها حُملت على الاستحباب لما عرفت من الإجماع مع الطعن في أسانيدها، فلا إشكال في الاستحباب،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بالاستحباب 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يُعجّل، بل يَحرُم لاستصحاب بقاء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للعلم بالموت، للأمر بالانتظار والاستبراء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الغريق أيُغّسل‌؟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يُستبرأ؟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ثلاثة أيّام قبل أن يُدفن، وكذلك أيضاً صاحب الصاعقة، فإنّه ربما ظنّوا أنّه مات ولم يَمُت</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التعليل عموم الحكم لكلّ مشتبهٍ‌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الغريق يُحبس حتّى يتغيّر، ويُعلم أنّه قد مات، نعم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يُغسَّل ويُكفَّن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المصعوق‌؟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صُعِق حُبس يومين ثمّ يُغسّل ويُكفَّن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ينتظر بهم إلّاأن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والمصعوق، والمبطون، والمهدوم، والمُدخّن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على بعض نصوص الباب، هو البناء على أنّ التغيّر ومضي ثلاثة أيّام من الطرق المجعولة شرعاً لاستكشاف الموت، فيرجع إليهما وإنْ لم يفد العلم، كما هو ظاهرُ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يتعيّن الالتزام بأنّ المدار على العلم، وأنّ هذه الأخبار جرت مجرى العادة من حصول العلم بعد تحقّق أحدهما،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التربُّص بهم مع الاشتباه حتّى تظهر علامات الموت، وحدّه العلم وهو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أنّه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يتغيّر</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خبر إسحاق لوجوب الصبر ثلاثة أيّام، بإحتمال بقاء الحياة، بل مُضيّ الثلاثة، الدالّ على أنّه يرتفع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الموثّق على يومين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ثمرة في النزاع في أنّ المراد بالتغيّر هو خصوص تغيّر ريحه، أو الأعمّ منه، ومن تغيّر صفته في بعض أجزائه، بحيث يصير إلى صفة لا يكون عليها الحَيّ‌، كالعلامات التي ذكرها الأطبّاء</w:t>
      </w:r>
      <w:r>
        <w:rPr>
          <w:rFonts w:eastAsia="Amiri" w:cs="Amiri" w:ascii="Amiri" w:hAnsi="Amiri"/>
          <w:color w:val="111111"/>
          <w:sz w:val="28"/>
          <w:szCs w:val="28"/>
          <w:rtl w:val="true"/>
          <w:lang w:bidi="ar-SA"/>
        </w:rPr>
        <w:t>.</w:t>
      </w:r>
      <w:bookmarkStart w:id="322" w:name="pg11796_113615"/>
    </w:p>
    <w:p>
      <w:pPr>
        <w:pStyle w:val="BookText"/>
        <w:rPr/>
      </w:pPr>
      <w:bookmarkEnd w:id="322"/>
      <w:r>
        <w:rPr>
          <w:rFonts w:ascii="Amiri" w:hAnsi="Amiri" w:eastAsia="Amiri" w:cs="Amiri"/>
          <w:color w:val="111111"/>
          <w:sz w:val="28"/>
          <w:sz w:val="28"/>
          <w:szCs w:val="28"/>
          <w:rtl w:val="true"/>
          <w:lang w:bidi="ar-SA"/>
        </w:rPr>
        <w:t>ويُكرَه أن يحضره جُنُبٌ أو حائض</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361972_73709187"/>
      <w:bookmarkStart w:id="324" w:name="_Toc121"/>
      <w:bookmarkEnd w:id="323"/>
      <w:r>
        <w:rPr>
          <w:rtl w:val="true"/>
        </w:rPr>
        <w:t>المكروهات بعد الموت</w:t>
      </w:r>
      <w:bookmarkEnd w:id="3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يحضره جُنُبٌ أو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بيننا،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وقاله أهل العلم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ولا الجُنُب عند التلقين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الصدوق إلى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والجُنُب عند التلقين، لأنّ الملائكة تتأذّى بهما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النصوص كصريح خبر عليّ بن أبي حمزة مرجوحيّة حضورهما عند الاحتضار لا بعد الموت، بل قوله عليه السلام في ذيل خبر يونس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يليا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ارتفاع المرجوحيّة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الجُعفي، عن جعفر، عن أبيه عليه السلام،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للمرأة الحائض والجُنُب الحضور عند تلقين الميّت، لأنّ الملائكة </w:t>
      </w:r>
    </w:p>
    <w:p>
      <w:pPr>
        <w:pStyle w:val="BookText"/>
        <w:rPr/>
      </w:pPr>
      <w:r>
        <w:rPr>
          <w:rFonts w:ascii="Amiri" w:hAnsi="Amiri" w:eastAsia="Amiri" w:cs="Amiri"/>
          <w:color w:val="111111"/>
          <w:sz w:val="28"/>
          <w:sz w:val="28"/>
          <w:szCs w:val="28"/>
          <w:rtl w:val="true"/>
          <w:lang w:bidi="ar-SA"/>
        </w:rPr>
        <w:t>أو يُجعل على بطنه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تتأذّى بهما، ولا يجوز لهما إدخال الميّت قبره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من التصريح بعدم العامل به، لا يدلّ على مرجوحيّة حضورهما بعد الموت قبل إدخاله القبر، فالأظهر عدم الكراهة بعده، وإنّما المكروه حضورهما عند الاحتضار، ولعلّه مراد الأصحاب وإنْ كان خلاف ظاهر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على بطنه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نُسب كراهة ذلك إلى المشهور، وليس لهم دليلٌ ظاهرٌ سوى ما عن شيخ الطائفة في تهذيبه</w:t>
      </w:r>
      <w:r>
        <w:rPr>
          <w:rStyle w:val="FootnoteAnchor"/>
          <w:rtl w:val="true"/>
        </w:rPr>
        <w:footnoteReference w:id="9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من الشيوخ مذاكرة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في المكروهات غير ثابتة، وهي تختصّ بالمستحبّات لاسيّما فيما إذا كان مستند الحكم فتوى الفقهاء، فإذاً لا دليل على الكراهة، ولعلّه لذلك أمر بجعل الحديد على بطن الفاجر، وليس مراده استحباب ذلك، بل جوازه كما هو المراد من الأمر الواقع في مورد الحظر أو توهّمه في أمثال المقام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5" w:name="pg11796_113617"/>
    </w:p>
    <w:p>
      <w:pPr>
        <w:pStyle w:val="Heading5"/>
        <w:numPr>
          <w:ilvl w:val="4"/>
          <w:numId w:val="1"/>
        </w:numPr>
        <w:rPr/>
      </w:pPr>
      <w:bookmarkStart w:id="326" w:name="__RefHeading___Toc10361974_73709187"/>
      <w:bookmarkStart w:id="327" w:name="_Toc122"/>
      <w:bookmarkEnd w:id="325"/>
      <w:bookmarkEnd w:id="326"/>
      <w:r>
        <w:rPr>
          <w:rtl w:val="true"/>
        </w:rPr>
        <w:t>البحث الثاني</w:t>
      </w:r>
      <w:r>
        <w:rPr>
          <w:rtl w:val="true"/>
        </w:rPr>
        <w:t xml:space="preserve">: </w:t>
      </w:r>
      <w:r>
        <w:rPr>
          <w:rtl w:val="true"/>
        </w:rPr>
        <w:t>الغُسل</w:t>
      </w:r>
      <w:bookmarkEnd w:id="327"/>
    </w:p>
    <w:p>
      <w:pPr>
        <w:pStyle w:val="Heading6"/>
        <w:numPr>
          <w:ilvl w:val="5"/>
          <w:numId w:val="1"/>
        </w:numPr>
        <w:rPr/>
      </w:pPr>
      <w:bookmarkStart w:id="328" w:name="__RefHeading___Toc10361976_73709187"/>
      <w:bookmarkStart w:id="329" w:name="_Toc123"/>
      <w:bookmarkEnd w:id="328"/>
      <w:r>
        <w:rPr>
          <w:rtl w:val="true"/>
        </w:rPr>
        <w:t>الثاني</w:t>
      </w:r>
      <w:r>
        <w:rPr>
          <w:rtl w:val="true"/>
        </w:rPr>
        <w:t xml:space="preserve">: </w:t>
      </w:r>
      <w:r>
        <w:rPr>
          <w:rtl w:val="true"/>
        </w:rPr>
        <w:t>الغُسل</w:t>
      </w:r>
      <w:r>
        <w:rPr>
          <w:rtl w:val="true"/>
        </w:rPr>
        <w:t>.</w:t>
      </w:r>
      <w:bookmarkEnd w:id="329"/>
    </w:p>
    <w:p>
      <w:pPr>
        <w:pStyle w:val="Heading6"/>
        <w:numPr>
          <w:ilvl w:val="5"/>
          <w:numId w:val="1"/>
        </w:numPr>
        <w:rPr/>
      </w:pPr>
      <w:bookmarkStart w:id="330" w:name="__RefHeading___Toc10361978_73709187"/>
      <w:bookmarkStart w:id="331" w:name="_Toc124"/>
      <w:bookmarkEnd w:id="330"/>
      <w:r>
        <w:rPr>
          <w:rtl w:val="true"/>
        </w:rPr>
        <w:t>تغسيل الميّت</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بلا كلام ولا ريب، بل الإجماع عليه قطعيّ‌</w:t>
      </w:r>
      <w:r>
        <w:rPr>
          <w:rStyle w:val="FootnoteAnchor"/>
          <w:rtl w:val="true"/>
        </w:rPr>
        <w:footnoteReference w:id="950"/>
      </w:r>
      <w:r>
        <w:rPr>
          <w:rFonts w:ascii="Amiri" w:hAnsi="Amiri" w:eastAsia="Amiri" w:cs="Amiri"/>
          <w:color w:val="111111"/>
          <w:sz w:val="28"/>
          <w:sz w:val="28"/>
          <w:szCs w:val="28"/>
          <w:rtl w:val="true"/>
          <w:lang w:bidi="ar-SA"/>
        </w:rPr>
        <w:t>، بل عدّه الشيخ الأعظم</w:t>
      </w:r>
      <w:r>
        <w:rPr>
          <w:rStyle w:val="FootnoteAnchor"/>
          <w:rtl w:val="true"/>
        </w:rPr>
        <w:footnoteReference w:id="951"/>
      </w:r>
      <w:r>
        <w:rPr>
          <w:rFonts w:ascii="Amiri" w:hAnsi="Amiri" w:eastAsia="Amiri" w:cs="Amiri"/>
          <w:color w:val="111111"/>
          <w:sz w:val="28"/>
          <w:sz w:val="28"/>
          <w:szCs w:val="28"/>
          <w:rtl w:val="true"/>
          <w:lang w:bidi="ar-SA"/>
        </w:rPr>
        <w:t>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 كسائر الأعمال الواجبة المتعلّقة بتجهيزه من التكفين والدفن والصَّلاة عليه كفائي،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 وإجماعاً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 وبإجماع العلماء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 وهو مذهب العلماء كافّة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تضمّن</w:t>
      </w:r>
      <w:r>
        <w:rPr>
          <w:rStyle w:val="FootnoteAnchor"/>
          <w:rtl w:val="true"/>
        </w:rPr>
        <w:footnoteReference w:id="956"/>
      </w:r>
      <w:r>
        <w:rPr>
          <w:rFonts w:ascii="Amiri" w:hAnsi="Amiri" w:eastAsia="Amiri" w:cs="Amiri"/>
          <w:color w:val="111111"/>
          <w:sz w:val="28"/>
          <w:sz w:val="28"/>
          <w:szCs w:val="28"/>
          <w:rtl w:val="true"/>
          <w:lang w:bidi="ar-SA"/>
        </w:rPr>
        <w:t>الأمر بها من دون توجيهه إلى شخصٍ معيّن، مع كون الفعل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من أنّه لا أعرف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للوجوب الكفائي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إلى أنّ النصوص المتضمّنة للأمر بتلك الأعمال، لا إطلاق لشيء منها كي يُستدلّ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الأدلّة مع ما دلَّ على أنّ أولى النّاس بها هو الوليّ من الإجماع والآية</w:t>
      </w:r>
      <w:r>
        <w:rPr>
          <w:rStyle w:val="FootnoteAnchor"/>
          <w:rtl w:val="true"/>
        </w:rPr>
        <w:footnoteReference w:id="958"/>
      </w:r>
      <w:r>
        <w:rPr>
          <w:rFonts w:ascii="Amiri" w:hAnsi="Amiri" w:eastAsia="Amiri" w:cs="Amiri"/>
          <w:color w:val="111111"/>
          <w:sz w:val="28"/>
          <w:sz w:val="28"/>
          <w:szCs w:val="28"/>
          <w:rtl w:val="true"/>
          <w:lang w:bidi="ar-SA"/>
        </w:rPr>
        <w:t>والروايات</w:t>
      </w:r>
      <w:r>
        <w:rPr>
          <w:rStyle w:val="FootnoteAnchor"/>
          <w:rtl w:val="true"/>
        </w:rPr>
        <w:footnoteReference w:id="959"/>
      </w:r>
      <w:r>
        <w:rPr>
          <w:rFonts w:ascii="Amiri" w:hAnsi="Amiri" w:eastAsia="Amiri" w:cs="Amiri"/>
          <w:color w:val="111111"/>
          <w:sz w:val="28"/>
          <w:sz w:val="28"/>
          <w:szCs w:val="28"/>
          <w:rtl w:val="true"/>
          <w:lang w:bidi="ar-SA"/>
        </w:rPr>
        <w:t>، والجمع بين الطائفتين يقتضي الالتزام بأنّ من يجب عليه، هو خصوص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الكفائي لا يُعقل إناطة صحّته برأي أحدٍ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فالأدلّة الدالّة على إناطة الصحّة بإذن الوليّ‌، تدلّ على عدم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 الإطلاق لو سُلّم في بعضها، فلا نُسلّم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التدبّر في الأحكام المتّفق عليها فتوىً ونصّاً، كسقوط إذن الوليّ مع امتناعه أو غيبته أو كونه صغيراً، وعدم جواز مباشرته بنفسه في بعض الموارد، كما في صورة كون الوليّ غير مماثلٍ للميّت مع وجود المماثل، وعدم وجوب تصدّيه في جميع الموارد، وعدم وجوب إذنه في ذلك، وغير ذلك من الأحكام، يوجبُ القطع بأنّ هذه الأفعال ممّا اُريد وجودها في الخارج من غير دخلٍ لصدورها من شخصٍ خاص في هذا الحكم، بل يحصل الامتثال بفعل واحدٍ من المكلّفين مع رعاية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مناص عن القول بكون وجوبها كفائيّاً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الناظر في النصوص المتضمّنة لواجبات ما يتعلّق بالميّته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ومسنوناته لا يشكّ في أنّ الغُسل وغيره من تجهيزات الميّت أراد الشارع وجودها في الخارج من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اُجيب عنه في محكيّ جملة من كتب الأساطين</w:t>
      </w:r>
      <w:r>
        <w:rPr>
          <w:rStyle w:val="FootnoteAnchor"/>
          <w:rtl w:val="true"/>
        </w:rPr>
        <w:footnoteReference w:id="960"/>
      </w:r>
      <w:r>
        <w:rPr>
          <w:rFonts w:ascii="Amiri" w:hAnsi="Amiri" w:eastAsia="Amiri" w:cs="Amiri"/>
          <w:color w:val="111111"/>
          <w:sz w:val="28"/>
          <w:sz w:val="28"/>
          <w:szCs w:val="28"/>
          <w:rtl w:val="true"/>
          <w:lang w:bidi="ar-SA"/>
        </w:rPr>
        <w:t xml:space="preserve">بأنّ الأولويّة إنّما تكون على سبيل الاستحباب لا الوجوب،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تبعاً للمحقّق الأردبيلي</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كون الأولويّة على سبيل الوجوب، إذ 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الذي ادّعاه جمعٌ من الأعاظم،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بناءً على أنّ تغسيل الميّت وغيره من الأعمال تكون مباشرتها من الحقوق، كما يشهد له النصوص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دلالة فيها أصلاً، كما عن المقدّس الأردبيلي رحمه الله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حذف المتعلّق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للمنع عنه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السكوني، عن أمير المؤمنين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سلطانٌ من سلطان اللّه جنازةً فهو أحقّ بالصلاة عليها إنْ قدّمه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الميّت وإلّا فهو غاصب</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صريحٌ في تعلّق الغصب بهذا الحقّ كالأموال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الرزامي، عن أبي عبداللّه عليه السلام، عن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مرسل الصدوق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يأمره الوليّ بذلك</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فالأظهر كون الأولويّة ثابتة على وجه اللّزوم،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الأدلّة أنّ الثابت للولي هو الحق، ولا يدلّ على اختصاص التكليف به، فلا تعارض بينها وبين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لو تمّ فإنّما هو في أوّل الوقت، وأمّا في آخره عند امتناع الوليّ منها، أو عدم حضوره فلا يتمّ‌، لعدم شرطيّة إذنه، بل تكون ولايته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 إذ تقييد صحّة الفعل المأمور به بأمرٍ غير اختياري لا محذور فيه، بل واقعٌ كثيراً، وإنّما الممتنع تعلّق التكليف بذلك الأمر، وقد حقّقنا في محلّه أنّ الأمر بالمقيّد بقيدٍ لا يُلازم الأمر بذلك القيد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توجيه فتوى المشهور، من كون وجوب هذه الأعمال كفائيّاً، مع اعتبار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بما أنّ إذن الوليّ خارج عن تحت قدرة غيره من أفراد المكلّفين، لابدّ من عدم كونه قيداً للواجب، إذ القيد غير الاختياري، وإنْ كان دخيلاً في حصول المصلحة، لا في اتّصاف الفعل بها، لابدَّ من أخذه مفروض الوجود، ورجوعه إلى الهيئة دون المادّة، إلّاإذا كان القيد متحقّقاً في الخارج كوجود الكعبة، فإنّه حينئذٍ لا مانع من الأمر بالفعل المقيّد به، لما ذكرناه من عدم تعلّق الخطاب المتعلّق بالمركّب به، وإنّما يكون متعلّقاً بالتقيّد به الذي هو تحت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لم يكن ذلك القيد متحقّقاً، فإنّه حينئذٍ كما أنّ وجود القيد خارجٌ عن تحت الاختيار، كذلك التقيّد به غير مقدورٍ، فلا مناص من أخذه مفروض الوجود، وعدم فعليّة الحكم قبل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فبما أنّ احتمال كون وجوب مراعاة تلك الأولويّة تعبّداً محضاً، من غير أن يكون لها مدخلٌ في صحّة الأفعال ضعيفٌ‌، وإنْ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عليها أولى النّاس بها، 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الغاصب على من باشره من دون إذن الوليّ‌، لا يدلّ على ذلك، لعدم دلالته على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إذن الوليّ ليس شرطاً في الصحّة، بل غاية ما يدلّ عليه الدليل ثبوت حقٍّ للولي، فالصلاة مثلاً بدون إذنه مستلزمةٌ للتصرّف في حقّ مَنْ له الحقّ الذي هو حرام، وحيث أنّ المنهيّ عنه خارجٌ عنها، فلا يوجب فسادها،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الأدلّة شرطيّته للصحّة، كما هو الشأن في جميع ما تضمّن الأمر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بشيء، ممّا يعتبر في المأمور به، فلابدَّ من رفع اليد عن إحدى الطائفتين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ما دلَّ على أحقّيّة الوليّ‌، والالتزام بكونها استحبابيّة، كما التزم به جماعة من القدماء والمتأخّرين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ما دلَّ على الوجوب الكفائي، والالتزام بأنّ المراد بها أنّه إنْ قام به الوليّ‌، سقط الفرض عن غيره، وكذا إنْ أذِنَ لغيره، وقام به ذلك الغير، وإلّا سقط اعتباره، كما التزم به السيّد في مداركه</w:t>
      </w:r>
      <w:r>
        <w:rPr>
          <w:rStyle w:val="FootnoteAnchor"/>
          <w:rtl w:val="true"/>
        </w:rPr>
        <w:footnoteReference w:id="97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أولويّة لرفع اليد عن أحدهما، فلابدَّ من الاحتياط بالاستيذان، وعدم التصدّي له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تشخيص الوليّ‌، لو تعدّد الوارث الفعلي الصالح للولاية،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الصَّلاة عند تعرّض المصنّف رحمه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مفصّلاً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32" w:name="pg11796_113623"/>
    </w:p>
    <w:p>
      <w:pPr>
        <w:pStyle w:val="Heading6"/>
        <w:numPr>
          <w:ilvl w:val="5"/>
          <w:numId w:val="1"/>
        </w:numPr>
        <w:rPr/>
      </w:pPr>
      <w:bookmarkStart w:id="333" w:name="__RefHeading___Toc10361980_73709187"/>
      <w:bookmarkStart w:id="334" w:name="_Toc125"/>
      <w:bookmarkEnd w:id="332"/>
      <w:bookmarkEnd w:id="333"/>
      <w:r>
        <w:rPr>
          <w:rtl w:val="true"/>
        </w:rPr>
        <w:t>امتناع الوليّ عن المباشرة والإذن</w:t>
      </w:r>
      <w:bookmarkEnd w:id="3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الوليّ من المباشرة ومن الإذن، سقط اعتبار إذنه بلا خلافٍ ولا إشكال، وتشير إليه طوائف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Style w:val="FootnoteAnchor"/>
          <w:rtl w:val="true"/>
        </w:rPr>
        <w:footnoteReference w:id="977"/>
      </w:r>
      <w:r>
        <w:rPr>
          <w:rFonts w:ascii="Amiri" w:hAnsi="Amiri" w:eastAsia="Amiri" w:cs="Amiri"/>
          <w:color w:val="111111"/>
          <w:sz w:val="28"/>
          <w:sz w:val="28"/>
          <w:szCs w:val="28"/>
          <w:rtl w:val="true"/>
          <w:lang w:bidi="ar-SA"/>
        </w:rPr>
        <w:t>الواردة في الجماعة الذين وجدوا ميّتاً قد قذفه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978"/>
      </w:r>
      <w:r>
        <w:rPr>
          <w:rFonts w:ascii="Amiri" w:hAnsi="Amiri" w:eastAsia="Amiri" w:cs="Amiri"/>
          <w:color w:val="111111"/>
          <w:sz w:val="28"/>
          <w:sz w:val="28"/>
          <w:szCs w:val="28"/>
          <w:rtl w:val="true"/>
          <w:lang w:bidi="ar-SA"/>
        </w:rPr>
        <w:t>الواردة في تغسيل الذِّمّي المُسلم، إذا لم يوجد مماثلٌ ولا ذو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Style w:val="FootnoteAnchor"/>
          <w:rtl w:val="true"/>
        </w:rPr>
        <w:footnoteReference w:id="979"/>
      </w:r>
      <w:r>
        <w:rPr>
          <w:rFonts w:ascii="Amiri" w:hAnsi="Amiri" w:eastAsia="Amiri" w:cs="Amiri"/>
          <w:color w:val="111111"/>
          <w:sz w:val="28"/>
          <w:sz w:val="28"/>
          <w:szCs w:val="28"/>
          <w:rtl w:val="true"/>
          <w:lang w:bidi="ar-SA"/>
        </w:rPr>
        <w:t>الواردة في تغسيل بعض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يجب على الحاكم إجباره إنْ أمكن، وإلّا فيأذن لغيره‌؟</w:t>
      </w:r>
    </w:p>
    <w:p>
      <w:pPr>
        <w:pStyle w:val="BookText"/>
        <w:rPr/>
      </w:pPr>
      <w:r>
        <w:rPr>
          <w:rFonts w:ascii="Amiri" w:hAnsi="Amiri" w:eastAsia="Amiri" w:cs="Amiri"/>
          <w:color w:val="111111"/>
          <w:sz w:val="28"/>
          <w:sz w:val="28"/>
          <w:szCs w:val="28"/>
          <w:rtl w:val="true"/>
          <w:lang w:bidi="ar-SA"/>
        </w:rPr>
        <w:t>أم يجوز لكلّ أحدٍ أن يتصدّى لذلك، بلا توقّفٍ على إذن أحد؟</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الحاكم وليُّ المُمتنع، فيجبُره إنْ أمكن، وإلّا فيستأذن منه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الشارع المقدّس مَنَع من وقوع الغُسل من كلّ أحدٍ مستقلّاً، فإذا امتنع الوليّ‌، يتولّى الحاكم من باب ولاية الحِسْبة، بعد العلم القطعي بأنّه لايسقط </w:t>
      </w:r>
    </w:p>
    <w:p>
      <w:pPr>
        <w:pStyle w:val="BookText"/>
        <w:rPr/>
      </w:pPr>
      <w:r>
        <w:rPr>
          <w:rFonts w:ascii="Amiri" w:hAnsi="Amiri" w:eastAsia="Amiri" w:cs="Amiri"/>
          <w:color w:val="111111"/>
          <w:sz w:val="28"/>
          <w:sz w:val="28"/>
          <w:szCs w:val="28"/>
          <w:rtl w:val="true"/>
          <w:lang w:bidi="ar-SA"/>
        </w:rPr>
        <w:t>التكليف به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الحاكم وليُّ الممتنع من أداء حقّ الغير الثابت، لا الممتنع مطلقاً ولو مع فرض سقوطه في فرض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وإنْ كانت الولاية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إرفاقاً بالمولى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بعد امتناع الوليّ‌، وسقوط ولايته واعتبار إذنه، يكون ثبوت حقّ للمولى عليه أوّل الكلام، فلا وجه للتمسّك بما دلَّ على أنّ الحاكم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عن وقوعه من كلّ أحدٍ مستقلّاً، لا دليل عليه في صورة امتناع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الأقوى هو الثاني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سياق الأدلّة أنْ ليس لغير الوليّ مزاحمة الولي، وأنّه يشترط في صحّة فعل غير الوليّ عدم مزاحمته، فإذا علم أنّه لا يريد الفعل، ولا يأذن لغيره، فليس في فعله مزاحمة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إنّما جُعلت نظراً له وإرفاقاً به وتسليةً له، وهذا يتنافى مع إجبار الحاكم أو الاستيذان منه عند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وإنْ كان عدم مزاحمة غير الوليّ إيّاه، إلّا أنّه من جهة دلالتها على ثبوت الولاية له، وأحقيّته من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جعل الولاية له كسائر موارد الولاية، إرفاقاً بالمولّى عليه أيضاً لا به خاصّة،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للصغير والمجنون ونحوهما على تصدّي هذا الأمر، لأنّهم بنقصهم كالمعدومين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قاصرون عن الولاية على أنفسهم، فكيف يمكن أنْ يجعل الشارع لهم الولاية على الغير؟</w:t>
      </w:r>
    </w:p>
    <w:p>
      <w:pPr>
        <w:pStyle w:val="BookText"/>
        <w:rPr/>
      </w:pPr>
      <w:r>
        <w:rPr>
          <w:rFonts w:ascii="Amiri" w:hAnsi="Amiri" w:eastAsia="Amiri" w:cs="Amiri"/>
          <w:color w:val="111111"/>
          <w:sz w:val="28"/>
          <w:sz w:val="28"/>
          <w:szCs w:val="28"/>
          <w:rtl w:val="true"/>
          <w:lang w:bidi="ar-SA"/>
        </w:rPr>
        <w:t>وعليه، فلو انحصر الوارث الفعلي في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تسقط الولاية رأساً؟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تنتقل إلى الطبقة المتأخّرة‌؟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إلى الحاكم‌؟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الأوّل، إذ الظاهر من الأدلّة ليس ثبوت الولاية لجميع الطبقات فعلاً، وأنّه يترجّح بعضها على بعض، كما قيل واستدلّ به للوجه الثاني، بل ظاهرها انحصارها بالطبقة السابقة، وعليه فبما أنّ الكامل في الطبقة السابقة ليس موجوداً فلا ولاية له، ولكن لا يكون وجود القاصر كالعدم حتّى تصل النوبة إلى الطبقة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في الطبقة المتأخّرة لا يكون وليّاً في الفرض، لعدم كونه وارثاً، ومجرّد عدم قابليّة من في الطبقة السابقة للولاية، لايكفي في ثبوت 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عدم الانتقال إلى الحاكم، إذ الانتقال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لما تقدّم في التنبيه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الولاية للإمام، مع فقد مَنْ سَبق، وهو نائبٌ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يتمّ في الفرض، كما لا يخفى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بتجهيزه إلى غير الوليّ‌، فالأقوال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المحكيّ عن المشهور</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نفوذ الوصيّة، وعدم تقديمه على الوليّ‌،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وعن ابن الجنيد</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العمل بالوصيّة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ولاية الحاكم فتنفذ الوصيّة على خلافها، وولاية غيره فلا تُنفذ، ومالَ إليه الشيخ الأعظم رحمه الله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محلّ الكلام، هو ما لو أوصى بالولاية لغير الوليّ‌، وإلّا فإنْ أوصى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الفعل بدون إذنه، فهي وصيّةٌ غير مشروطة، وعموم نفوذ الوصيّة مخصّص بغير الجنف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الفعل لا بشرط، فوجوبه مراع بإذن الوليّ‌، فإنْ لم يأذن سقط عنه الفعل، لعدم قدرته على الفعل المشروع، ولا أظنّ أن يكون هذا المورد محلّ الخلاف، بل محلّ الخلاف ما لو أوصى بالولاية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عدم نفوذها فيما إذا كان الوليّ غير الحاكم، لعموم أدلّة الولاية غير المعارض بعموم ما دلَّ نفوذ الوصيّة بعد تخصيصه بغير الجنف، إذ عليه تكون أدلّة الولاية حاكمة على أدلّة الوصيّة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الولاية إنّما تمنع من تصرّف الوصيّ من حيث نفسه، ولا تمنع عنه من حيث كونه كالوكيل عن الميّت، فعموم وجوب العمل بالوصيّة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نفسه ليس له الولاية على تجهيزه، بل الولاية إنّما تثبت للولي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عموم أدلّة الولاية، هو المنع من تصرّفه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إنصراف أدلّة الولاية عن صورة الوصيّة، لأنّ ولاية الوصيّ من باب ولاية الميّت على نفسه مآلاً، وأدلّة الولاية إنّما تدلّ على أولويّة الوليّ من الأجنبي لا على أولويّته من الميّت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هذه الولاية مراعاةً لحقّ الميّت، فلا تناسب إهمال حاله ومخالفة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الانصراف، إذ قد عرفت أنّ الميّت نفسه ليس له الولاية، فضلاً عن من عيّنه، وكون حِكْمة الجعل مُراعاة حقّ الميّت لو سُلّم، مع أنّك قد عرفت سابقاً أنّ حكمة ذلك مع مراعاة حقّ الوليّ لايقتضي الانصراف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نفوذها مع وجود الوليّ غير الحاكم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الوليّ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فرض ثبوت الولاية له، فلا يبعد القول بنفوذها، إذ ولاية الحاكم لو ثبتت، فإنّما هي من باب ولاية الحِسْبة، وعليه فهي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موقوفة على عدم الوليّ‌، فإذا دلّ عمومٌ على ولاية الوصيّ‌، لم يجر هنا عموم ولاية الحاكم،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ولايته إنْ ثبتت، وإنْ كانت من باب ولاية الحِسْبة، تستلزم ممنوعيّة غيره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فنفوذ الوصيّة لا يخلو من إشكال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جملةٌ من فروع الولاية، وبما أنّ تحقيق القول فيها يتوقّف على تشخيص الوليّ‌، سيأتي الكلام فيها في باب الصَّلاة</w:t>
      </w:r>
      <w:r>
        <w:rPr>
          <w:rFonts w:eastAsia="Amiri" w:cs="Amiri" w:ascii="Amiri" w:hAnsi="Amiri"/>
          <w:color w:val="111111"/>
          <w:sz w:val="28"/>
          <w:szCs w:val="28"/>
          <w:rtl w:val="true"/>
          <w:lang w:bidi="ar-SA"/>
        </w:rPr>
        <w:t>.</w:t>
      </w:r>
      <w:bookmarkStart w:id="335" w:name="pg11796_113629"/>
    </w:p>
    <w:p>
      <w:pPr>
        <w:pStyle w:val="Heading6"/>
        <w:numPr>
          <w:ilvl w:val="5"/>
          <w:numId w:val="1"/>
        </w:numPr>
        <w:rPr/>
      </w:pPr>
      <w:bookmarkStart w:id="336" w:name="__RefHeading___Toc10361982_73709187"/>
      <w:bookmarkStart w:id="337" w:name="_Toc126"/>
      <w:bookmarkEnd w:id="335"/>
      <w:bookmarkEnd w:id="336"/>
      <w:r>
        <w:rPr>
          <w:rtl w:val="true"/>
        </w:rPr>
        <w:t>وجوب تغسيل كلّ مسلمٍ‌</w:t>
      </w:r>
      <w:bookmarkEnd w:id="337"/>
    </w:p>
    <w:p>
      <w:pPr>
        <w:pStyle w:val="Heading6"/>
        <w:numPr>
          <w:ilvl w:val="5"/>
          <w:numId w:val="1"/>
        </w:numPr>
        <w:rPr/>
      </w:pPr>
      <w:bookmarkStart w:id="338" w:name="__RefHeading___Toc10361984_73709187"/>
      <w:bookmarkStart w:id="339" w:name="_Toc127"/>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ثمّ إنّ الكلام في هذا المبحث يقع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يجب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شرائط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مستحبّات الغُسل وآدابه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مكروهات الغُسل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361986_73709187"/>
      <w:bookmarkStart w:id="341" w:name="_Toc128"/>
      <w:bookmarkEnd w:id="340"/>
      <w:r>
        <w:rPr>
          <w:rtl w:val="true"/>
        </w:rPr>
        <w:t>المقام الأوّل</w:t>
      </w:r>
      <w:bookmarkEnd w:id="341"/>
    </w:p>
    <w:p>
      <w:pPr>
        <w:pStyle w:val="Heading6"/>
        <w:numPr>
          <w:ilvl w:val="5"/>
          <w:numId w:val="1"/>
        </w:numPr>
        <w:rPr/>
      </w:pPr>
      <w:bookmarkStart w:id="342" w:name="__RefHeading___Toc10361988_73709187"/>
      <w:bookmarkStart w:id="343" w:name="_Toc129"/>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فيمَن يجب تَغسيله</w:t>
      </w:r>
    </w:p>
    <w:p>
      <w:pPr>
        <w:pStyle w:val="BookText"/>
        <w:rPr/>
      </w:pPr>
      <w:r>
        <w:rPr>
          <w:rFonts w:ascii="Amiri" w:hAnsi="Amiri" w:eastAsia="Amiri" w:cs="Amiri"/>
          <w:color w:val="111111"/>
          <w:sz w:val="28"/>
          <w:sz w:val="28"/>
          <w:szCs w:val="28"/>
          <w:rtl w:val="true"/>
          <w:lang w:bidi="ar-SA"/>
        </w:rPr>
        <w:t>لا خلاف ولا كلام في وجوب تغسيل مَنْ كان إماميّاً اثنى عَشَريّاً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جملةٌ من النصوص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لاخلاف في عدم جواز تغسيل الكافر، بل عن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w:t>
      </w:r>
      <w:r>
        <w:rPr>
          <w:rStyle w:val="FootnoteAnchor"/>
          <w:rtl w:val="true"/>
        </w:rPr>
        <w:footnoteReference w:id="990"/>
      </w:r>
      <w:r>
        <w:rPr>
          <w:rFonts w:ascii="Amiri" w:hAnsi="Amiri" w:eastAsia="Amiri" w:cs="Amiri"/>
          <w:color w:val="111111"/>
          <w:sz w:val="28"/>
          <w:sz w:val="28"/>
          <w:szCs w:val="28"/>
          <w:rtl w:val="true"/>
          <w:lang w:bidi="ar-SA"/>
        </w:rPr>
        <w:t>، والمصنّف</w:t>
      </w:r>
      <w:r>
        <w:rPr>
          <w:rStyle w:val="FootnoteAnchor"/>
          <w:rtl w:val="true"/>
        </w:rPr>
        <w:footnoteReference w:id="991"/>
      </w:r>
      <w:r>
        <w:rPr>
          <w:rFonts w:ascii="Amiri" w:hAnsi="Amiri" w:eastAsia="Amiri" w:cs="Amiri"/>
          <w:color w:val="111111"/>
          <w:sz w:val="28"/>
          <w:sz w:val="28"/>
          <w:szCs w:val="28"/>
          <w:rtl w:val="true"/>
          <w:lang w:bidi="ar-SA"/>
        </w:rPr>
        <w:t>، والشهيد</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ويشهد له 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النصراني يكون في السفر، وهو مع المسلمين فيموت‌؟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ولا كرامة، ولا يدفنه، ولا يقوم على قبره وإنْ كان أباه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إذا كان الميّت مسلماً لكنّه غير اثني عشري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تغسيله، بل عن ظاهر تذكرة المصنّف</w:t>
      </w:r>
      <w:r>
        <w:rPr>
          <w:rStyle w:val="FootnoteAnchor"/>
          <w:rtl w:val="true"/>
        </w:rPr>
        <w:footnoteReference w:id="99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المفيد</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لغير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w:t>
      </w:r>
      <w:r>
        <w:rPr>
          <w:rStyle w:val="FootnoteAnchor"/>
          <w:rtl w:val="true"/>
        </w:rPr>
        <w:footnoteReference w:id="1004"/>
      </w:r>
      <w:r>
        <w:rPr>
          <w:rFonts w:ascii="Amiri" w:hAnsi="Amiri" w:eastAsia="Amiri" w:cs="Amiri"/>
          <w:color w:val="111111"/>
          <w:sz w:val="28"/>
          <w:sz w:val="28"/>
          <w:szCs w:val="28"/>
          <w:rtl w:val="true"/>
          <w:lang w:bidi="ar-SA"/>
        </w:rPr>
        <w:t>على وجوب الصَّلاة عليه، فإنّه بضميمة ما دلَّ على اشتراط الصَّلاة بالغُسل، أو بضميمة عدم الفصل بينها وبين الغسل، يدلّ عليوجوب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عُلم من سيرة المعصومين عليهم السلام من عدم الردع عن وجوب تغسيله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تقدّم ممّا يدلَّ على وجوب المعاملة مع المخالف معاملة المسلم المؤمن، فيما يتعلّق بالمعاشرة، إذ من أهمّها التعامل مع موتاهم بالتكريم والاحترام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جملةٍ من النصوص، كموثّق</w:t>
      </w:r>
      <w:r>
        <w:rPr>
          <w:rStyle w:val="FootnoteAnchor"/>
          <w:rtl w:val="true"/>
        </w:rPr>
        <w:footnoteReference w:id="1005"/>
      </w:r>
      <w:r>
        <w:rPr>
          <w:rFonts w:ascii="Amiri" w:hAnsi="Amiri" w:eastAsia="Amiri" w:cs="Amiri"/>
          <w:color w:val="111111"/>
          <w:sz w:val="28"/>
          <w:sz w:val="28"/>
          <w:szCs w:val="28"/>
          <w:rtl w:val="true"/>
          <w:lang w:bidi="ar-SA"/>
        </w:rPr>
        <w:t>سماعة،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وأكيل السَّبع، وكلّ شيء إلّاما قتل بين الصفّين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دعواه موهونة بذهاب من تقدّم إلى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معقد الإجماع، هو وجوب تغسيل كلّ مسلمٍ‌، وإفتاءُ جماعةٍ بعدم الوجوب إنّما يكون لبنائهم على كفر المخالف، وعليه فلا تقدح مخالفتهم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عليه اعتمادٌ على الإجماع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الإجماع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مدرك المُجمعين بعض ما ذكر، فليس إجماعاً تعبّديّاً كي يمكن جعله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اشتراط الصَّلاة بالغُسل، ليس في مقام تشريع وجوب الغُسل، بل إنّما يدلّ على الترتيب بين الغُسل الواجب والصَّلاة، فهو يختصُّ بموارد ثبوت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الفصل بين الغُسل والصَّلاة غير ثابت، مع أنّ وجوب الصَّلاة على المخالف محلّ تأمّلٍ‌، كما ستعرف وجهه في محلّه، وإنْ كان الأقوى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محلّ الكلام هو وجوب تغسيل المخالف كوجوب تغسيل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لا تغسيله ظاهراً مداراةً لهم، كما لو مات أحدهم في مفازةٍ لم يطّلع عليه إلّا آحاد المسلمين، بحيث لم يترتّب عليه سوى أداء التكليف فيما بين العبد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يمكن دعوى كونه مطلقاً أو عامّاً من النصوص؛ الخبران المتقدّمان، وشيءٌ منهما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واردٌ في مقام بيان أصل الجعل والتشريع، نظير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الآيات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ضعفه بالإضمار، أنّ عمومه إنّما يكون بلحاظ أسباب الموت، وأنّه لا فرق بين الأسباب، لا في مقام بيان من يجب تغسيله، ولذلك لا وجه للاستدلال به في المقام، بل الاستدلال به كالاستدلال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عمومه إنّما يكون من جهة تغاير الموتى من حيث أسباب الموت، ولا تعرّض له للتغاير بخصوصيّات اُخر غير سبب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دليل على وجوب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عدم شمول النصوص له، ما حكاه المحقّق الثاني في محكيّ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هو تغسيله غُسل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تدلّ على وجوب الغُسل الصحيح كما لا يخفى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استفادة عدم الوجوب من النصوص الواردة في بيان تعليل تغسيل الميّت، وأنّ الوجه فيه جَعل الميّت أقرب إلى رحمة اللّه، وأليق بشفاعة الملائكة</w:t>
      </w:r>
      <w:r>
        <w:rPr>
          <w:rStyle w:val="FootnoteAnchor"/>
          <w:rtl w:val="true"/>
        </w:rPr>
        <w:footnoteReference w:id="1010"/>
      </w:r>
      <w:r>
        <w:rPr>
          <w:rFonts w:ascii="IRNazanin" w:hAnsi="IRNazanin" w:eastAsia="IRNazanin"/>
          <w:color w:val="111111"/>
          <w:sz w:val="28"/>
          <w:sz w:val="28"/>
          <w:szCs w:val="28"/>
          <w:rtl w:val="true"/>
          <w:lang w:bidi="fa-IR"/>
        </w:rPr>
        <w:t>، أو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تنظيفٌ للميّت</w:t>
      </w:r>
      <w:r>
        <w:rPr>
          <w:rStyle w:val="FootnoteAnchor"/>
          <w:rtl w:val="true"/>
        </w:rPr>
        <w:footnoteReference w:id="1011"/>
      </w:r>
      <w:r>
        <w:rPr>
          <w:rFonts w:ascii="Amiri" w:hAnsi="Amiri" w:eastAsia="Amiri" w:cs="Amiri"/>
          <w:color w:val="111111"/>
          <w:sz w:val="28"/>
          <w:sz w:val="28"/>
          <w:szCs w:val="28"/>
          <w:rtl w:val="true"/>
          <w:lang w:bidi="ar-SA"/>
        </w:rPr>
        <w:t>، أو أنّه كرامة واحترام له</w:t>
      </w:r>
      <w:r>
        <w:rPr>
          <w:rStyle w:val="FootnoteAnchor"/>
          <w:rtl w:val="true"/>
        </w:rPr>
        <w:footnoteReference w:id="1012"/>
      </w:r>
      <w:r>
        <w:rPr>
          <w:rFonts w:ascii="Amiri" w:hAnsi="Amiri" w:eastAsia="Amiri" w:cs="Amiri"/>
          <w:color w:val="111111"/>
          <w:sz w:val="28"/>
          <w:sz w:val="28"/>
          <w:szCs w:val="28"/>
          <w:rtl w:val="true"/>
          <w:lang w:bidi="ar-SA"/>
        </w:rPr>
        <w:t>، أو أنّه تطهيرٌ له عن الجنابة الحاصلة</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أيّاً منها ما كان لا يليق بغير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عدم الوجوب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44" w:name="pg11796_113634"/>
    </w:p>
    <w:p>
      <w:pPr>
        <w:pStyle w:val="Heading6"/>
        <w:numPr>
          <w:ilvl w:val="5"/>
          <w:numId w:val="1"/>
        </w:numPr>
        <w:rPr/>
      </w:pPr>
      <w:bookmarkStart w:id="345" w:name="__RefHeading___Toc10361990_73709187"/>
      <w:bookmarkStart w:id="346" w:name="_Toc130"/>
      <w:bookmarkEnd w:id="344"/>
      <w:bookmarkEnd w:id="345"/>
      <w:r>
        <w:rPr>
          <w:rtl w:val="true"/>
        </w:rPr>
        <w:t>تنبيهات غُسل الميّت</w:t>
      </w:r>
      <w:bookmarkEnd w:id="346"/>
    </w:p>
    <w:p>
      <w:pPr>
        <w:pStyle w:val="Heading6"/>
        <w:numPr>
          <w:ilvl w:val="5"/>
          <w:numId w:val="1"/>
        </w:numPr>
        <w:rPr/>
      </w:pPr>
      <w:bookmarkStart w:id="347" w:name="__RefHeading___Toc10361992_73709187"/>
      <w:bookmarkStart w:id="348" w:name="_Toc13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يجب أن يكون بطريق مذهب الاثنى عشري،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البُعد عن القول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على القول بوجوب تغسيله أو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يجب أن يكون كتغسيلهم كما عن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أنّه لا يجوز تغسيله غُسل أهل الولاية، ولا نعرف لأحدٍ تصريحاً بخلافه‌؟</w:t>
      </w:r>
    </w:p>
    <w:p>
      <w:pPr>
        <w:pStyle w:val="BookText"/>
        <w:rPr/>
      </w:pPr>
      <w:r>
        <w:rPr>
          <w:rFonts w:ascii="Amiri" w:hAnsi="Amiri" w:eastAsia="Amiri" w:cs="Amiri"/>
          <w:color w:val="111111"/>
          <w:sz w:val="28"/>
          <w:sz w:val="28"/>
          <w:szCs w:val="28"/>
          <w:rtl w:val="true"/>
          <w:lang w:bidi="ar-SA"/>
        </w:rPr>
        <w:t>وجهان؛ مبنيّان على أنّ مدرك وجوب تغسيلهم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رواية أبي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إطلاق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دلَّ على وجوب الصَّلاة عليهم، فيجب تغسيله غُسلنا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وقاعدة الإلزام</w:t>
      </w:r>
      <w:r>
        <w:rPr>
          <w:rStyle w:val="FootnoteAnchor"/>
          <w:rtl w:val="true"/>
        </w:rPr>
        <w:footnoteReference w:id="1018"/>
      </w:r>
      <w:r>
        <w:rPr>
          <w:rFonts w:ascii="Amiri" w:hAnsi="Amiri" w:eastAsia="Amiri" w:cs="Amiri"/>
          <w:color w:val="111111"/>
          <w:sz w:val="28"/>
          <w:sz w:val="28"/>
          <w:szCs w:val="28"/>
          <w:rtl w:val="true"/>
          <w:lang w:bidi="ar-SA"/>
        </w:rPr>
        <w:t>، لكن شمولها للأموات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وجوب التغسيل خطابٌ للمغسّل لا للميّت، فلا دلالة فيها على تغسيله غُسلهم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المدرك هو لزوم المداراة معهم، فالواجب تغسيله غُسلهم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المميّز الذي يمكن له أن يتّبع الإسلام عن بصيرة لا يكون تابعاً لغيره، بل إنْ أسلم يُحكم بإسلامه ويُقبل ذلك منه، وإلّا فيُحكم بكفره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ما يكون شارحاً للإسلام، الشامل للصبي والبالغ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حقّقناه في محلّه من شرعيّة عبادات الصبي المتوقّفة صحّتها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لو سُلّم أنّ المراد منه قلم التكليف لا المؤاخذة، مع أنّ للمنع عنه مجالاً واسعاً، غاية ما يدلّ عليه رفع التكليف عن الصبي، وأمّا إذا كان فعل الصبي موضوعاً للحكم المتوجّه إلى البالغين، كإسلامه وكفره الموضوعين لوجوب التغسيل، وعدم مشروعيّته على البالغين، فلا يدلّ الحديث على رفعه، فهو لا يدلّ على عدم قبول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خَطاء</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فبعضها وإنْ كان مطلقاً غير مُذيّلٍ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لحمله على ما يكون مقيّداً به، كما لا يخفى، إلّا أنّه أيضاً مختصٌّ بباب الضمانات، إذ تنزيل شيءٍ منزلة آخر يتوقّف على ثبوت المنزل والمنزل عليه، فمورد هذه الروايات ما يتصوّر فيه القسمان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العمد والخطاء، كالإتلاف ونحوه، وأمّا ما لا يتصوّر فيه غير قسمٍ واحد، ولا يتصوّر فيه الخطاء كباب العقود والإيقاعات المتوقّف تحقّقها على القصد والإنشاء، فلا يكون مشمولاً لهذه النصوص، والإسلام من هذا القبيل، لتوقّف تحقّقه على القصد، فهي أيضاً لا تدلّ على عدم قبول إسلام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ظهرأنّه لو لم يُسْلِم، حُكم بكفره، وعدم مشروعيّة تغسيله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الولد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ولا كلام في تبعيّته لأبيه إذا كان مُسلماً،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ما ورد في تغسيل الصبي والصبيّة حتّى السقط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أبوه كافراً، فاستدلّ لتبعيّته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بتنقيح المناط عند أهل الشرع، حيث إنّهم يبعدون من عدم وجوب تغسيل أبويه إلى المتولّد منهما، وهو شيءٌ مركوزٌ في أذهانهم وإنْ لم يعلم وجهه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 المرويّ عن حفص،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أسلم رجلٌ من أهل الحرب، إسلامه إسلامٌ لنفسه وولده الصغار، وهم أحرارٌ، وولده ومتاعه ورقيقه له، فأمّا الولد الكبار فهم فيءٌ للمسلمين، إلّاأن يكونوا أسلموا قبل ذلك</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أولاد المشركين يموتون قبل أن يبلغوا الحنث‌؟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واللّه أعلم بما كانوا عاملين، يدخلون مداخل آبائهم</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عدم معرفة المناط، كيف يُدّعى ثبوته للولد؟ بل يمكن أن يفرّق بين الأبوين وبين الولد بكونهما مقصّرين بخلاف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أنّ إسلامه إسلامٌ لولده، وأمّا كون كفره كفراً لهم فهو يتوقّف على ثبوت المفهوم للوصف، ولا نقول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تلك النصوص أنّ حكمهم في الآخرة حكم آبائهم،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حكمٌ مخالفٌ لمذهب العدليّة غير مرتبط بقضيّة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ثابتة في هذه الأزمنة لأجل فتاوى العلماء، ولا دلالة فيها على ثبوتها في عصر الحضور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بأنّ الجمع بين الأدلّة يقتضي كون الموضوع هو المسلم، وولد الكافر وإنْ لم يكن كافراً، إلّاأنّه لا ريب في عدم كونه مسلماً، فلا يشمله ما دلَّ على مشروعيّة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إسلامه وكفره، لا يجب تغسيله، لأنّ مقتضى استصحاب عدم الإسلام الثابت 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الإسلام أمراً وجوديّاً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العدم ليس كفراً، لكونه من قبيل عدم المَلَكة، وعدم إسلام مَنْ شأنه أن يكون مسلماً ليس له حالة سابقة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يوحب تعدّد المشكوك فيه والمتيقّن، بل هما شيءٌ واحد، غاية الأمر حال كونه متيقّناً لم يكن ينطبق عليه الكفر، وفي حال كونه مشكوكاً فيه ينطبق عليه ذلك، وهذا لا يوجب تعدّد الموضوع، كي لا يكون إبقائه استصحاباً، ولو تنزّلنا عن ذلك، وسَلّمنا عدم جريانه، فالمرجع إلى أصالة البراءة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لأصالة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 الفطرة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بدعوى أنّ المراد منه أنّه في كلّ موردٍ احتمل الإسلام والكفر يُقدَّم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فلضعف سنده، وإعراض الأصحاب عنه كما في كتاب اللُّقطة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 وعدم كونه ظاهراً فيما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ترتيب آثار المُسلم على من لم يُعلم إسلامه، إلّاإذا قامت أمارة على الإسلام، كأرض المسلمين، وسُوقهم الذين عرفت سابقاً كونهما أمارتين لكون من فيهما مسلماً</w:t>
      </w:r>
      <w:r>
        <w:rPr>
          <w:rFonts w:eastAsia="Amiri" w:cs="Amiri" w:ascii="Amiri" w:hAnsi="Amiri"/>
          <w:color w:val="111111"/>
          <w:sz w:val="28"/>
          <w:szCs w:val="28"/>
          <w:rtl w:val="true"/>
          <w:lang w:bidi="ar-SA"/>
        </w:rPr>
        <w:t>.</w:t>
      </w:r>
      <w:bookmarkStart w:id="349" w:name="pg11796_113640"/>
    </w:p>
    <w:p>
      <w:pPr>
        <w:pStyle w:val="Heading6"/>
        <w:numPr>
          <w:ilvl w:val="5"/>
          <w:numId w:val="1"/>
        </w:numPr>
        <w:rPr/>
      </w:pPr>
      <w:bookmarkStart w:id="350" w:name="__RefHeading___Toc10361994_73709187"/>
      <w:bookmarkStart w:id="351" w:name="_Toc132"/>
      <w:bookmarkEnd w:id="349"/>
      <w:bookmarkEnd w:id="350"/>
      <w:r>
        <w:rPr>
          <w:rtl w:val="true"/>
        </w:rPr>
        <w:t>إذا تمَّ للسقط أربعة أشهر</w:t>
      </w:r>
      <w:bookmarkEnd w:id="351"/>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الجملة في أنّ المُسلم يجب تغسيله، ولو كان صغيراً، كما أنّه لا كلام في عدم وجوب تغسيل السِّقط إذا كان أقلّ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من الأساطين، منهم المصنّف رحمه الله</w:t>
      </w:r>
      <w:r>
        <w:rPr>
          <w:rStyle w:val="FootnoteAnchor"/>
          <w:rtl w:val="true"/>
        </w:rPr>
        <w:footnoteReference w:id="1027"/>
      </w:r>
      <w:r>
        <w:rPr>
          <w:rFonts w:ascii="Amiri" w:hAnsi="Amiri" w:eastAsia="Amiri" w:cs="Amiri"/>
          <w:color w:val="111111"/>
          <w:sz w:val="28"/>
          <w:sz w:val="28"/>
          <w:szCs w:val="28"/>
          <w:rtl w:val="true"/>
          <w:lang w:bidi="ar-SA"/>
        </w:rPr>
        <w:t>، والمحقّق</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تمّ للسّقط أربعة أشهر؛ فالمشهور بين الأصحاب وجوبه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مرفوع أحمد بن محمّد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سندهما مجبورٌ بقبول الأصحاب لهما،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33"/>
      </w:r>
      <w:r>
        <w:rPr>
          <w:rFonts w:ascii="Amiri" w:hAnsi="Amiri" w:eastAsia="Amiri" w:cs="Amiri"/>
          <w:color w:val="111111"/>
          <w:sz w:val="28"/>
          <w:sz w:val="28"/>
          <w:szCs w:val="28"/>
          <w:rtl w:val="true"/>
          <w:lang w:bidi="ar-SA"/>
        </w:rPr>
        <w:t>أنّه يعارضهما موثّق سماعة،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السِّقط إذا استوتْ خلقته، يجبُ عليه الغُسل واللّحد والكفن‌؟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ذا يجبُ عليه إذا استوى</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بضميمة ما دلَّ على عدم تحقّق الاستواء في الأربعة، كمرفوع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له ستّة أشهر، فهو تامّ‌</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الحسين بن عليّ وُلد وهو ابن ستّة أشهر، وجملةٍ‌</w:t>
      </w:r>
      <w:r>
        <w:rPr>
          <w:rStyle w:val="FootnoteAnchor"/>
          <w:rtl w:val="true"/>
        </w:rPr>
        <w:footnoteReference w:id="1036"/>
      </w:r>
      <w:r>
        <w:rPr>
          <w:rFonts w:ascii="Amiri" w:hAnsi="Amiri" w:eastAsia="Amiri" w:cs="Amiri"/>
          <w:color w:val="111111"/>
          <w:sz w:val="28"/>
          <w:sz w:val="28"/>
          <w:szCs w:val="28"/>
          <w:rtl w:val="true"/>
          <w:lang w:bidi="ar-SA"/>
        </w:rPr>
        <w:t>من النصوص الدالّة على أنّ النطفة تكون في الرَّحم أربعين يوماً، ثمّ تصير عَلَقة أربعين يوماً، ثمّ تصير مُضغةً أربعين يوماً، فإذا كُمَل أربعة أشهر بَعَث اللّه تعالى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أو اُنثى فيؤمران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الاستيذان في ذلك يقتضي عدم تماميّة الخلقة بالأربعة، وعلى ذلك فيقع التعارض بين مفهوم الموثّق والخبرين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قيل من إنّ هذا الخبر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الحسن الأوّل عليه السلام، لكن اقتصر في الجواب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مفهوم له كي يعارضهما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جهة اختلاف المتن والمرويّ عنه، تعدّد ما رواه سماعة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بأنّ الجمع العرفي بين الموثّق والخبرين، يقتضي الالتزام بأنّ المراد من الإستواء تماميّة صورته، والمراد من صيرورته تامّاً في الستّة صيرورته وَلَداً كاملاً حيّاً صالحاً للعيش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في المقام إشكالٌ آخر؛ وهو</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تحقّق الإستواء قبل أربعة أشهر، فإنّ مقتضى موثّق سماعة وجوب تغسيله، ومقتضى مفهوم الخبرين عدم الوجوب، فيقع التعارض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الخبرين وبين الموثّق، يقتضي الالتزام بوجوب التغسيل عند تحقّق كلّ واحدٍ منهما، وإنْ لم يتحقّق الآخر، وذلك لأنّ التعارض إنّما يقع بين مفهوم كلّ من الدليلين ومنطوق الآخر، ولذا لو لم يكن للآخر مفهوم، لكان هذا التعارض ثابتاً،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فبما أنّ نسبة كلّ من المنطوقين إلى مفهوم الآخر، نسبة الخاص إلى العام، فيخصّص كلٍّ من المفهومين بمنطوق الآخر، وحيثُ أنّ المفهوم ليس هو بنفسه مدلولاً للكلام مستقلّاً، بل من لوازم المنطوق، فلا مناص عن رفع اليد عن منطوق كلٍّ منهما بمقدار ما يرتفع به التعارض، فترفع اليد عن إطلاق كلٍّ منهما المقابل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 وجوب التغسيل عند تحقّق كلّ واحدٍ من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محلّه في الاُصول</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رواه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أسأله عن السِّقط كيف يُصنع به‌؟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لأخصيّتهما عنه يُقيّدانه، فيُحمل على ما دون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تغسيل السِّقط إذا تمَّ له أربعة أشهر أو استوت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كلام في أنّ السّقط الذي لا يجب تغسيله يُدفن، وتشهد له المكاتبة المتقدّمة، لكن السؤال عن أنته هل يجب لفّه في خرقةٍ أم 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المستند، وظهور خبر محمّد المتقدّم، ومن الإجماع الذي ادّعاه غَير واحدٍ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2" w:name="pg11796_113643"/>
    </w:p>
    <w:p>
      <w:pPr>
        <w:pStyle w:val="Heading6"/>
        <w:numPr>
          <w:ilvl w:val="5"/>
          <w:numId w:val="1"/>
        </w:numPr>
        <w:rPr/>
      </w:pPr>
      <w:bookmarkStart w:id="353" w:name="__RefHeading___Toc10361996_73709187"/>
      <w:bookmarkStart w:id="354" w:name="_Toc133"/>
      <w:bookmarkEnd w:id="352"/>
      <w:bookmarkEnd w:id="353"/>
      <w:r>
        <w:rPr>
          <w:rtl w:val="true"/>
        </w:rPr>
        <w:t>المقام الثاني</w:t>
      </w:r>
      <w:r>
        <w:rPr>
          <w:rtl w:val="true"/>
        </w:rPr>
        <w:t xml:space="preserve">: </w:t>
      </w:r>
      <w:r>
        <w:rPr>
          <w:rtl w:val="true"/>
        </w:rPr>
        <w:t>في الغاسل</w:t>
      </w:r>
      <w:bookmarkEnd w:id="354"/>
    </w:p>
    <w:p>
      <w:pPr>
        <w:pStyle w:val="Heading6"/>
        <w:numPr>
          <w:ilvl w:val="5"/>
          <w:numId w:val="1"/>
        </w:numPr>
        <w:rPr/>
      </w:pPr>
      <w:bookmarkStart w:id="355" w:name="__RefHeading___Toc10361998_73709187"/>
      <w:bookmarkStart w:id="356" w:name="_Toc134"/>
      <w:bookmarkEnd w:id="355"/>
      <w:r>
        <w:rPr>
          <w:rtl w:val="true"/>
        </w:rPr>
        <w:t>اعتبار المماثلة بين الغاسل والميّت</w:t>
      </w:r>
      <w:bookmarkEnd w:id="356"/>
    </w:p>
    <w:p>
      <w:pPr>
        <w:pStyle w:val="Heading6"/>
        <w:numPr>
          <w:ilvl w:val="5"/>
          <w:numId w:val="1"/>
        </w:numPr>
        <w:rPr/>
      </w:pPr>
      <w:bookmarkStart w:id="357" w:name="__RefHeading___Toc10362000_73709187"/>
      <w:bookmarkStart w:id="358" w:name="_Toc13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غير واحدٍ بأنّه تجب المماثلة بين الغاسل والميّت، إلّافي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منه،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039"/>
      </w:r>
      <w:r>
        <w:rPr>
          <w:rFonts w:ascii="Amiri" w:hAnsi="Amiri" w:eastAsia="Amiri" w:cs="Amiri"/>
          <w:color w:val="111111"/>
          <w:sz w:val="28"/>
          <w:sz w:val="28"/>
          <w:szCs w:val="28"/>
          <w:rtl w:val="true"/>
          <w:lang w:bidi="ar-SA"/>
        </w:rPr>
        <w:t>اعتبار المماثلة مطلقاً، ولا تختصّ بحال الاختيار، فلو لم يوجد المماثل سَقَط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أهل العلم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 والحلبي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 الرّجل المرأة إذا لم توجد امرأة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عدم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والأخيرين</w:t>
      </w:r>
      <w:r>
        <w:rPr>
          <w:rStyle w:val="FootnoteAnchor"/>
          <w:rtl w:val="true"/>
        </w:rPr>
        <w:footnoteReference w:id="1046"/>
      </w:r>
      <w:r>
        <w:rPr>
          <w:rFonts w:ascii="Amiri" w:hAnsi="Amiri" w:eastAsia="Amiri" w:cs="Amiri"/>
          <w:color w:val="111111"/>
          <w:sz w:val="28"/>
          <w:sz w:val="28"/>
          <w:szCs w:val="28"/>
          <w:rtl w:val="true"/>
          <w:lang w:bidi="ar-SA"/>
        </w:rPr>
        <w:t>اعتبرا تغميض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الشهيد إلى العلّامة</w:t>
      </w:r>
      <w:r>
        <w:rPr>
          <w:rStyle w:val="FootnoteAnchor"/>
          <w:rtl w:val="true"/>
        </w:rPr>
        <w:footnoteReference w:id="1047"/>
      </w:r>
      <w:r>
        <w:rPr>
          <w:rFonts w:ascii="Amiri" w:hAnsi="Amiri" w:eastAsia="Amiri" w:cs="Amiri"/>
          <w:color w:val="111111"/>
          <w:sz w:val="28"/>
          <w:sz w:val="28"/>
          <w:szCs w:val="28"/>
          <w:rtl w:val="true"/>
          <w:lang w:bidi="ar-SA"/>
        </w:rPr>
        <w:t>وجوب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مواضع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والفتاوى المحكية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ما أفتى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المرأة تموت في السفر، وليس معها ذو محرمٍ ولا نساء؟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يموتُ وليسَ معه إلّاالنساء، ليس معهن رجال‌؟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في السَّفر مع النساء، ليس معهنّ رجلٌ‌، كيف يصنعن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يلففنه لفّاً في ثيابه ويدفنه ولا يُغسّلنه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ماتتْ مع رجال‌؟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وتُدفن ولا تُغسّل</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بالتغسيل عند الضرورة من وراء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ومعه نسوة، ليس معهنّ 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يُصببن عليه الماء من خلف الثوب، ويلففنه في أكفانه من تحت الصدر، ويُدْخِلنه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تموت مع الرِّجال، ليس معهم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يصبّون الماء من خلف الثوب، ويلفونها في أكفانها، ويصلّون ويدفنون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إلّاأن لا توجد امرأة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ماتتْ مع الرِّجال، فلم يجدوا امرأةً تغسلها، غَسّلها بعض الرِّجال من وراء الثوب، ويستحبّ أن يُلفّ على يديه خرقة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تيمّم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بن علي، عن آبائه، عن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آله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وليس معها ذو محرم،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الماءَ عليها صبّاً،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وجدتم امرأةً من أهل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يمّمتموها؟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غُسل مواضع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المفضّل بن عُمر،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تكون في السفر مع الرجال، ليس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 لها ذو مُحْرمٍ ولا معهم امرأة، فتموت المرأة ما يصنع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أوجب اللّه سبحانه عليه التيمّم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يُغسّل مواضع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في سفرٍ وليسَ معها نساء، ولا ذومحرم‌؟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 موضع الوضوء، ويصلّى عليها وتُدفَن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تغسيل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فرقد،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المرأة تموت، وليس معها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يغسّلون كفّيها</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الأخبار الواردة في الباب، فإنْ كان حمل الطوائف الأخيرة على الاستحباب، وما فيها من الاختلاف على التخيير، جمعاً عرفيّاً فهو، وإلّا فيتعيّن طرحها بأجمعها عدا الطائفة الاُولى‌، لما في أكثرها من ضعف السند، وإعراض الأصحاب عنها، ومعارضتها مع الطائفة الاُولى المعمول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الطائفة الاُولى فتخصّص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صريحة في حال الضرورة، وعدم وجود المَحْرم، فكيف يمكن حملها على غير تلك الحالة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الأظهر هو الأوّل، إذ لا وجه لتوهّم عدم كون الجمع عرفيّاً، سوى اشتمال تلك الطائفة على النهي عن التغسيل، وهو ينافي الاستحباب، وهو فاسدٌ، إذ النهي لوروده مورد توهم الوجوب، لا يدلّ على أزيد من جواز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 الطائفة الثالثة من الطوائف الأخيرة، لا يمكن الجمع بينها بالالتزام بالتخيير، فإنّه يكون تخييراً بين الأقلّ والأكثر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التخيير بين الأقلّ والأكثر كما حُقّق في محلّه، لا سيّما في المستحبّات، فإنّه يلتزم فيها باختلاف مراتب الفضيلة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التغسيل، إلّاأنّ الأولى ذلك عند الضرورة من وراء الثوب ما لم يستلزم نظراً أو لمساً محرّماً</w:t>
      </w:r>
      <w:r>
        <w:rPr>
          <w:rFonts w:eastAsia="Amiri" w:cs="Amiri" w:ascii="Amiri" w:hAnsi="Amiri"/>
          <w:color w:val="111111"/>
          <w:sz w:val="28"/>
          <w:szCs w:val="28"/>
          <w:rtl w:val="true"/>
          <w:lang w:bidi="ar-SA"/>
        </w:rPr>
        <w:t>.</w:t>
      </w:r>
      <w:bookmarkStart w:id="359" w:name="pg11796_113648"/>
    </w:p>
    <w:p>
      <w:pPr>
        <w:pStyle w:val="Heading6"/>
        <w:numPr>
          <w:ilvl w:val="5"/>
          <w:numId w:val="1"/>
        </w:numPr>
        <w:rPr/>
      </w:pPr>
      <w:bookmarkStart w:id="360" w:name="__RefHeading___Toc10362002_73709187"/>
      <w:bookmarkStart w:id="361" w:name="_Toc136"/>
      <w:bookmarkEnd w:id="359"/>
      <w:bookmarkEnd w:id="360"/>
      <w:r>
        <w:rPr>
          <w:rtl w:val="true"/>
        </w:rPr>
        <w:t>إذا انحصر المماثل في الكتابي</w:t>
      </w:r>
      <w:bookmarkEnd w:id="3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فرعان يقتضي المقام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يجوز ان يُغسِّل الكتابي المُسلم، إذا لم يحضره مسلمٌ ولا مسلمة ذات رَحِم، وكذا يجوز أنْ تغسل الكتابية المسلمة إذا فقدت مسلمة أو مسلم ذو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لهذا مخالفاً من الأصحاب، سوى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وظاهر الشهيدين</w:t>
      </w:r>
      <w:r>
        <w:rPr>
          <w:rStyle w:val="FootnoteAnchor"/>
          <w:rtl w:val="true"/>
        </w:rPr>
        <w:footnoteReference w:id="1065"/>
      </w:r>
      <w:r>
        <w:rPr>
          <w:rFonts w:ascii="Amiri" w:hAnsi="Amiri" w:eastAsia="Amiri" w:cs="Amiri"/>
          <w:color w:val="111111"/>
          <w:sz w:val="28"/>
          <w:sz w:val="28"/>
          <w:szCs w:val="28"/>
          <w:rtl w:val="true"/>
          <w:lang w:bidi="ar-SA"/>
        </w:rPr>
        <w:t>، والمحقّق الثاني</w:t>
      </w:r>
      <w:r>
        <w:rPr>
          <w:rStyle w:val="FootnoteAnchor"/>
          <w:rtl w:val="true"/>
        </w:rPr>
        <w:footnoteReference w:id="1066"/>
      </w:r>
      <w:r>
        <w:rPr>
          <w:rFonts w:ascii="Amiri" w:hAnsi="Amiri" w:eastAsia="Amiri" w:cs="Amiri"/>
          <w:color w:val="111111"/>
          <w:sz w:val="28"/>
          <w:sz w:val="28"/>
          <w:szCs w:val="28"/>
          <w:rtl w:val="true"/>
          <w:lang w:bidi="ar-SA"/>
        </w:rPr>
        <w:t>، والمقدّس الأردبيلي</w:t>
      </w:r>
      <w:r>
        <w:rPr>
          <w:rStyle w:val="FootnoteAnchor"/>
          <w:rtl w:val="true"/>
        </w:rPr>
        <w:footnoteReference w:id="1067"/>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 والوحيد،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يدفن بغير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رجلٌ مسلم وليس معه رجلٌ مسلم ولا امرأة مسلمة من ذوي قرابته، ومعه رجالٌ نصارى‌، ونساء مسلمات، ليس بينه وبينهن قرابة‌؟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المرأة المسلمة تموتُ وليسَ معها امرأة مسلمة، ولا رجلٌ مسلم من ذوي قرابتها، ومعها نصرانيّة، ورجالٌ مسلمون، وليس بينها وبينهم قرابة‌؟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زيد بن علي المتقدّم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بهما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ضعيفا السند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الضعف بأنّ سند الحديث الأوّل كلّهم فطحيّون، والحديث الثاني رجاله زيديّة، وحديثهم مطروحٌ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غُسل الميّت يفتقر إلى النيّة، والكافر لا تصحّ منه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وهو أنّ هذين الخبرين يعارضان ما دلَّ على نجاسة أهل الكتاب، وتلك النصوص تُقدّم كما حُقّق في مبحث نجاسة أهل الكتاب</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الحديث الثاني وإنْ كان ضعيفاً، لأنّ في طريقه الحسين بن عُلوان، إلّاأنّ الأوّل موثّق والمختار حجيّة الموثّق كالصحيح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كونهما ضعيفين، فلا ريب في حجيّتهما لعمل الأصحاب بهما،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حيث رمى الخبرين في المقام بضعف سندهما، مع أنّ بناءه على قبول الضعيف المنجبر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الانجبار بالشهرة مخالفة ابن أبي عقيل</w:t>
      </w:r>
      <w:r>
        <w:rPr>
          <w:rStyle w:val="FootnoteAnchor"/>
          <w:rtl w:val="true"/>
        </w:rPr>
        <w:footnoteReference w:id="1076"/>
      </w:r>
      <w:r>
        <w:rPr>
          <w:rFonts w:ascii="Amiri" w:hAnsi="Amiri" w:eastAsia="Amiri" w:cs="Amiri"/>
          <w:color w:val="111111"/>
          <w:sz w:val="28"/>
          <w:sz w:val="28"/>
          <w:szCs w:val="28"/>
          <w:rtl w:val="true"/>
          <w:lang w:bidi="ar-SA"/>
        </w:rPr>
        <w:t>والجُعفيّ‌</w:t>
      </w:r>
      <w:r>
        <w:rPr>
          <w:rStyle w:val="FootnoteAnchor"/>
          <w:rtl w:val="true"/>
        </w:rPr>
        <w:footnoteReference w:id="1077"/>
      </w:r>
      <w:r>
        <w:rPr>
          <w:rFonts w:ascii="IRNazanin" w:hAnsi="IRNazanin" w:eastAsia="IRNazanin"/>
          <w:color w:val="111111"/>
          <w:sz w:val="28"/>
          <w:sz w:val="28"/>
          <w:szCs w:val="28"/>
          <w:rtl w:val="true"/>
          <w:lang w:bidi="fa-IR"/>
        </w:rPr>
        <w:t>وابن البرّاج</w:t>
      </w:r>
      <w:r>
        <w:rPr>
          <w:rStyle w:val="FootnoteAnchor"/>
          <w:rtl w:val="true"/>
        </w:rPr>
        <w:footnoteReference w:id="1078"/>
      </w:r>
      <w:r>
        <w:rPr>
          <w:rFonts w:ascii="Amiri" w:hAnsi="Amiri" w:eastAsia="Amiri" w:cs="Amiri"/>
          <w:color w:val="111111"/>
          <w:sz w:val="28"/>
          <w:sz w:val="28"/>
          <w:szCs w:val="28"/>
          <w:rtl w:val="true"/>
          <w:lang w:bidi="ar-SA"/>
        </w:rPr>
        <w:t>، وابني زُهرة</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عدم ظهور عدم الذكر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اعتبار نيّة القربة في تغسيل الميّت، كما أنّه ليس بعيداً، لأنّ عباديّته من مرتكزات المتشرّعة، ولما عن غير واحدٍ من دعوى الإجماع</w:t>
      </w:r>
      <w:r>
        <w:rPr>
          <w:rStyle w:val="FootnoteAnchor"/>
          <w:rtl w:val="true"/>
        </w:rPr>
        <w:footnoteReference w:id="108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لايتنافى مع الخبرين، إذ يمكن الالتزام بكونهما دالّين على عدم اعتبارها في الفرض، فيقيّد بهما إطلاق ما دلَّ على اعتبارها، مع أنّه يمكن تحقّق قصد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لبطلان غُسله، سوى ما دلَّ على بطلان عباداته، فتقيّد تلك الأدلّة بهذين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القول بأنّ المتولّي للنيّة هي المسلمة التي تأمر الكافر بالغُسل دون الكافر المتولّي للغُسل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الإيراد اجتهادٌ في مقابل النصّ‌،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لا يعارضان ما دلَّ على نجاسة أهل الكتاب، لإمكان أن يكون الوجه في صحّة الغُسل العفو عن هذه النجاسة، أو عدم تنجّس الماء المستعمل في الغُسل ولا بدن الميّت من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التغسيل، والخبران وإنْ اختصّا بالنَّصارى، إلّا أنّهما يتعدّيان إلى غيرهم من أهل الكتاب، لعدم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أهل الكتاب من الكفّار، فلا دليل على ثبوت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82"/>
      </w:r>
      <w:r>
        <w:rPr>
          <w:rFonts w:ascii="Amiri" w:hAnsi="Amiri" w:eastAsia="Amiri" w:cs="Amiri"/>
          <w:color w:val="111111"/>
          <w:sz w:val="28"/>
          <w:sz w:val="28"/>
          <w:szCs w:val="28"/>
          <w:rtl w:val="true"/>
          <w:lang w:bidi="ar-SA"/>
        </w:rPr>
        <w:t>أنّ الكفر ملّةٌ واحدة، فلا فرق بين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دعوى عدم الفرق، بعد كون الكتابي أقرب إلى الحقّ من غيره قطعاً، واحتمال دخل ذلك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يعتبر أن يقوم الكتابي بالغُسل قبل أن يتولّى غُسل الميّت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1083"/>
      </w:r>
      <w:r>
        <w:rPr>
          <w:rFonts w:ascii="Amiri" w:hAnsi="Amiri" w:eastAsia="Amiri" w:cs="Amiri"/>
          <w:color w:val="111111"/>
          <w:sz w:val="28"/>
          <w:sz w:val="28"/>
          <w:szCs w:val="28"/>
          <w:rtl w:val="true"/>
          <w:lang w:bidi="ar-SA"/>
        </w:rPr>
        <w:t>، ويشهد له الموثّق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فإنّ صريح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وظاهر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حضور الأجانب من المسلمين والمسلّمات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عدم اعتباره، كما يشهد له إطلاق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المحكيّ ليس بحجّة، لا سيّما ومن المحتمل كون هذا الشرط مذكوراً في معقد الإجماع، جارياً مجرى العادة، فلو فرض أنّ الكتابي علم ذلك من المسلمين سابقاً ففعله يجتزي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إعادة الغُسل لو وجد المماثل قبل الدفن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وغيرها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لم أجد فيه خلافاً بين مَن تعرّض له، نعم استشكل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لا لأنّ الغُسل صوري، لأنّه يرد عليه أنّ ظاهر النصّ كون ما يأتي به الكافر هو ما يأتي به غيره عند الاختيار، لا ماهيّة اُخرى مشابهة للغُسل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ضعف الاستدلال له، بأنّ مجرّد وجوب الشيء عند الاضطرار لا يكفي لبدليّته، إلّاإذا فُهم من دليله كما في التيمّم ونحوه،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093"/>
      </w:r>
      <w:r>
        <w:rPr>
          <w:rFonts w:ascii="Amiri" w:hAnsi="Amiri" w:eastAsia="Amiri" w:cs="Amiri"/>
          <w:color w:val="111111"/>
          <w:sz w:val="28"/>
          <w:sz w:val="28"/>
          <w:szCs w:val="28"/>
          <w:rtl w:val="true"/>
          <w:lang w:bidi="ar-SA"/>
        </w:rPr>
        <w:t>، ولا لما قيل من إنّه إنّما يكون نظير المتيمّم الواجد للماء، فكما يجب عليه الوضوء، كذلك يجب التغسيل في المقام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المقامين، فإنّ أثر التيمّم هي الطهارة لفاقد الماء ما دام يصدق ذلك، وأمّا تغسيل الكافر فأثره رفع الحَدَث مطلقاً، بل لأنّ تجدّد القدرة يكشف عن عدم الضرورة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مسّه أحدٌ بعد الغُسل المذكور، فهل يجب عليه الغُسل،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أم لا يجب‌؟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لما عرفت من أنّ ظاهر النصّ‌، كون هذا الغُسل بعينه هي الماهيّة المعهودة التي أمر بها المماثل والمحرم عند الضرورة، فمع تحقّقها يصحّ غُسله، ويترتّب عليه كلّ ما هو أثر للغُسل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62" w:name="pg11796_113654"/>
    </w:p>
    <w:p>
      <w:pPr>
        <w:pStyle w:val="Heading6"/>
        <w:numPr>
          <w:ilvl w:val="5"/>
          <w:numId w:val="1"/>
        </w:numPr>
        <w:rPr/>
      </w:pPr>
      <w:bookmarkStart w:id="363" w:name="__RefHeading___Toc10362004_73709187"/>
      <w:bookmarkStart w:id="364" w:name="_Toc137"/>
      <w:bookmarkEnd w:id="362"/>
      <w:bookmarkEnd w:id="363"/>
      <w:r>
        <w:rPr>
          <w:rtl w:val="true"/>
        </w:rPr>
        <w:t>تغسيل الخُنثى المشكل</w:t>
      </w:r>
      <w:bookmarkEnd w:id="36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لثلاث فما دون يُغسّلها الرّجل والمرأة، لما ستعرف من صحّة غُسل غير المماثل لمن يكون عمره بهذا الحَدّ فما 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زاد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له أمَة تغسله الأمَة، بناءً على جوازه لها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فإمّا أن يكون له محرمٌ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منهم المصنّف</w:t>
      </w:r>
      <w:r>
        <w:rPr>
          <w:rStyle w:val="FootnoteAnchor"/>
          <w:rtl w:val="true"/>
        </w:rPr>
        <w:footnoteReference w:id="1095"/>
      </w:r>
      <w:r>
        <w:rPr>
          <w:rFonts w:ascii="Amiri" w:hAnsi="Amiri" w:eastAsia="Amiri" w:cs="Amiri"/>
          <w:color w:val="111111"/>
          <w:sz w:val="28"/>
          <w:sz w:val="28"/>
          <w:szCs w:val="28"/>
          <w:rtl w:val="true"/>
          <w:lang w:bidi="ar-SA"/>
        </w:rPr>
        <w:t>والشهيد</w:t>
      </w:r>
      <w:r>
        <w:rPr>
          <w:rStyle w:val="FootnoteAnchor"/>
          <w:rtl w:val="true"/>
        </w:rPr>
        <w:footnoteReference w:id="1096"/>
      </w:r>
      <w:r>
        <w:rPr>
          <w:rFonts w:ascii="Amiri" w:hAnsi="Amiri" w:eastAsia="Amiri" w:cs="Amiri"/>
          <w:color w:val="111111"/>
          <w:sz w:val="28"/>
          <w:sz w:val="28"/>
          <w:szCs w:val="28"/>
          <w:rtl w:val="true"/>
          <w:lang w:bidi="ar-SA"/>
        </w:rPr>
        <w:t>والمحقّق الثاني</w:t>
      </w:r>
      <w:r>
        <w:rPr>
          <w:rStyle w:val="FootnoteAnchor"/>
          <w:rtl w:val="true"/>
        </w:rPr>
        <w:footnoteReference w:id="1097"/>
      </w:r>
      <w:r>
        <w:rPr>
          <w:rFonts w:ascii="Amiri" w:hAnsi="Amiri" w:eastAsia="Amiri" w:cs="Amiri"/>
          <w:color w:val="111111"/>
          <w:sz w:val="28"/>
          <w:sz w:val="28"/>
          <w:szCs w:val="28"/>
          <w:rtl w:val="true"/>
          <w:lang w:bidi="ar-SA"/>
        </w:rPr>
        <w:t>وغيرهم</w:t>
      </w:r>
      <w:r>
        <w:rPr>
          <w:rStyle w:val="FootnoteAnchor"/>
          <w:rtl w:val="true"/>
        </w:rPr>
        <w:footnoteReference w:id="1098"/>
      </w:r>
      <w:r>
        <w:rPr>
          <w:rFonts w:ascii="Amiri" w:hAnsi="Amiri" w:eastAsia="Amiri" w:cs="Amiri"/>
          <w:color w:val="111111"/>
          <w:sz w:val="28"/>
          <w:sz w:val="28"/>
          <w:szCs w:val="28"/>
          <w:rtl w:val="true"/>
          <w:lang w:bidi="ar-SA"/>
        </w:rPr>
        <w:t>بأنّه يغسله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 بنينا على جواز تغسيل المحرم مطلقاً ولو مع وجود المماثل، فالحكم في المقام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اشتراط تغسيل المحرم بفقد المماثل، فالجواز في المقام إنّما يكون لعدم الوقوف على المماثل، فهو موضع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عدم شمول ما دلَّ على جواز تغسيل غير المماثل عند الضرورة للمقام، لظهوره في معلوم الرجوليّة أو الاُنوثيّة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السؤال في النصوص وإنْ كان كذلك، إلّاأنّ جوابه عليه السلام عام </w:t>
      </w:r>
    </w:p>
    <w:p>
      <w:pPr>
        <w:pStyle w:val="BookText"/>
        <w:rPr/>
      </w:pPr>
      <w:r>
        <w:rPr>
          <w:rFonts w:ascii="Amiri" w:hAnsi="Amiri" w:eastAsia="Amiri" w:cs="Amiri"/>
          <w:color w:val="111111"/>
          <w:sz w:val="28"/>
          <w:sz w:val="28"/>
          <w:szCs w:val="28"/>
          <w:rtl w:val="true"/>
          <w:lang w:bidi="ar-SA"/>
        </w:rPr>
        <w:t xml:space="preserve">يشمل المقام، وليس فيه ما يوجب التقييد بصورة العلم، بل لو سُلّم اختصاص النصوص بها، فلا ريب في أنّ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الميّت معلوم الرجوليّة أو الاُنوثيّة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دخيلة في الحكم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الاشتراط بفقد المماثل، لا كلام، وأمّا بناءً على الاشتراط، فللمنع في المقام من تحقّق الضرورة المبيحة مجال واسع، إذ المماثل موجود، ويمكن حصول الغُسل منه بتغسيل كلٍّ من الرّجل والمرأة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إنّما هي بالاضطرار إلى حصول الغُسل من غير المماثل، لا عدم إمكان حصوله من المماثل، وهو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الأدلّة هو أنّ العبرة بالاضطرار إلى عدم إمكان حصوله من المماثل، وعدم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رجلٌ امرأة إلّاأن لا توجد امرأه</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01"/>
      </w:r>
      <w:r>
        <w:rPr>
          <w:rFonts w:ascii="IRNazanin" w:hAnsi="IRNazanin" w:eastAsia="IRNazanin"/>
          <w:color w:val="111111"/>
          <w:sz w:val="28"/>
          <w:sz w:val="28"/>
          <w:szCs w:val="28"/>
          <w:rtl w:val="true"/>
          <w:lang w:bidi="fa-IR"/>
        </w:rPr>
        <w:t>من أنّ حال فرض وجود المحرم حال فرض عدمه،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يكن لها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تُدفن من غير غُسلٍ؟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تغسيل كلٍّ من الرّجل والمرأة إيّاها؟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يجب إلّاغُسلٌ واحد كفايةً على الجميع‌؟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يرجع إلى القرعة‌؟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يتيمّم‌؟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يشتري لها أمَةً من تركتها أو من بيت المال فتغسلها؟</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وجوب تغسيلها، بأنّه بعدما قيّد ما دلَّ على وجوب التغسيل على كلّ أحدٍ بالمماثل، وخرج عنه غير المماثل، يكون كلُّ من الرّجل والمرأة في المقام شاكّاً في وجوبه عليه، ولا يصحّ التمسّك بالعمومات، لكونه تمسّكاً بالعام في الشبهة المصداقيّة، فيتعيّن على كلّ منهما الرجوع إلى الاُصول العمليّة، ومقتضى الأصل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02"/>
      </w:r>
      <w:r>
        <w:rPr>
          <w:rFonts w:ascii="Amiri" w:hAnsi="Amiri" w:eastAsia="Amiri" w:cs="Amiri"/>
          <w:color w:val="111111"/>
          <w:sz w:val="28"/>
          <w:sz w:val="28"/>
          <w:szCs w:val="28"/>
          <w:rtl w:val="true"/>
          <w:lang w:bidi="ar-SA"/>
        </w:rPr>
        <w:t>من أنّ المقام من قبيل واجدي المني في الثوب المشترك هو الأظهر، وستعرف ما 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بتغسيل المماثل موجّهٌ إلى كلّ واحد، ولا اختصاص له بالمماثل، لإطلاق ما دلَّ على وجوب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اعتبار المماثلة إنّما اقتضى تقييد الغُسل لا تقييد الخطاب، ولذا لو ماتت امرأةٌ يجب على الرِّجال أيضاً كالنساء السّعي في حصول غُسلها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تقييد ما دلَّ على وجوب التغسيل بما دلَّ على اعتبار المماثلة، لا محالة يتقيّد الوجوب لا الفعل خاصّة، إذ لا يُعقل أن يُكلّف الإنسان بعمل غيره الصادر عن إرادته واختياره، لخروجه عن تحت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التسبيب إلى أن يفعل، لو ثبت من باب الأمر بالمعروف أو غيره، غير وجوب التغسيل،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مناص من الالتزام بأنّ دليل اعتبار المماثلة يقيّد الخطاب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الرّجل والمرأة يعلم إجمالاً بوجوب التغسيل على تقدير المماثلة، وحرمة النظر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فلاتجري أصالة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البراءة عن وجوب التغسيل، فكلّ منهمايلزم عليه التغسيل، وبذلك يظهر أنّ الأقوى هو القول الثاني، وأنّه لابدّ وأن يكون التغسيل من وراء الثياب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المماثلة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دخلها في ماهيّة الغُسل، بل إنّما يكون لأجل أنّ عمل غير المماثل غالباً مصداق لعنوان مرجوحٍ أو ملزومٍ له من النظر واللّمس ونحوهما، فلا يعقل أن يطلبه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مانعيّة الجهات العارضة المقبّحة للفعل، من وقوع الفعل امتثالاً للأمر بالطبيعة إنّما تكون فيما إذا اتّصفت فعلاً بالقبح، فحيثما جاز الفعل، ولم يكن متّصفاً بالمنع الفعلي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غَسَل الأجنبي بزعم المماثلة فانكشف خطائه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العبادة، ففي المقام بما أنّه يجوز لكلٍّ من الرّجل والمرأة ذلك، ولا يكون الفعل متّصفاً بالقبح، فيصحّ من كلّ منهما الغُسل وإنْ لم يكن مماثلاً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اعتبار المماثلة اعتبارها بنفسها، كما هو الشأن في كلّ عنوانٍ أُخذ في لسان الدليل، ولذا مع وجود المماثل، لا يصحّ غُسل غيره، وإنْ لم ينطبق عليه شيء من الجهات المقبّحة للفعل، مع أنّه قد عرفت</w:t>
      </w:r>
      <w:r>
        <w:rPr>
          <w:rStyle w:val="FootnoteAnchor"/>
          <w:rtl w:val="true"/>
        </w:rPr>
        <w:footnoteReference w:id="1103"/>
      </w:r>
      <w:r>
        <w:rPr>
          <w:rFonts w:ascii="Amiri" w:hAnsi="Amiri" w:eastAsia="Amiri" w:cs="Amiri"/>
          <w:color w:val="111111"/>
          <w:sz w:val="28"/>
          <w:sz w:val="28"/>
          <w:szCs w:val="28"/>
          <w:rtl w:val="true"/>
          <w:lang w:bidi="ar-SA"/>
        </w:rPr>
        <w:t>أنّه لا يجوز لكلّ منهما النظر إلى الخنثى ولمسها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محلّه في كتاب الإرث من عدم ثبوت هذا الإجماع، ولا هذه الأخبار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زيد بن عليّ عليه السلام المتقدّم، الدالّ على لزوم التيمّم مع عدم المماثل، بدعوى فقده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وجوده، وإنّما المفقود العلم به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التغسيل غير الممكن في المقام إلّا بشراء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إمكانه بتكرير الغُسل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الثاني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بالخُنثى ما إذا كان ميّتٌ أو عضو ميّت مشتبهاً بين الذَّكَر والاُنثى‌، فإنّ الكلام فيه هو الكلام في الخُنثى‌</w:t>
      </w:r>
      <w:r>
        <w:rPr>
          <w:rFonts w:eastAsia="Amiri" w:cs="Amiri" w:ascii="Amiri" w:hAnsi="Amiri"/>
          <w:color w:val="111111"/>
          <w:sz w:val="28"/>
          <w:szCs w:val="28"/>
          <w:rtl w:val="true"/>
          <w:lang w:bidi="ar-SA"/>
        </w:rPr>
        <w:t>.</w:t>
      </w:r>
      <w:bookmarkStart w:id="365" w:name="pg11796_113659"/>
    </w:p>
    <w:p>
      <w:pPr>
        <w:pStyle w:val="Heading6"/>
        <w:numPr>
          <w:ilvl w:val="5"/>
          <w:numId w:val="1"/>
        </w:numPr>
        <w:rPr/>
      </w:pPr>
      <w:bookmarkStart w:id="366" w:name="__RefHeading___Toc10362006_73709187"/>
      <w:bookmarkStart w:id="367" w:name="_Toc138"/>
      <w:bookmarkEnd w:id="365"/>
      <w:bookmarkEnd w:id="366"/>
      <w:r>
        <w:rPr>
          <w:rtl w:val="true"/>
        </w:rPr>
        <w:t>الموارد التي لا تعتبر فيها المماثلة</w:t>
      </w:r>
      <w:bookmarkEnd w:id="367"/>
    </w:p>
    <w:p>
      <w:pPr>
        <w:pStyle w:val="Heading6"/>
        <w:numPr>
          <w:ilvl w:val="5"/>
          <w:numId w:val="1"/>
        </w:numPr>
        <w:rPr/>
      </w:pPr>
      <w:bookmarkStart w:id="368" w:name="__RefHeading___Toc10362008_73709187"/>
      <w:bookmarkStart w:id="369" w:name="_Toc139"/>
      <w:bookmarkEnd w:id="368"/>
      <w:r>
        <w:rPr>
          <w:rtl w:val="true"/>
        </w:rPr>
        <w:t>عدم اعتبار المماثلة في الصبيّ والصبيّة</w:t>
      </w:r>
      <w:bookmarkEnd w:id="36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الموارد التي لا تعتبر فيها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لا يزيد سنّه عن ثلاث سنين، فيجوز لكلٍّ منهما تغسيل مخالفه إجماعاً، كما عن غير واحدٍ التصريح به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الجواز بما إذا كان الصبي دون ثلاث سنين، فلو مات وله ثلاثُ سنين، فحكمه حكم الرّجل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الصبيّ مجرّداً إنْ كان ابنُ خمس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الرَّجل بنتاً أقلّ من خمس سنين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تغسيل الرّجل الصبيّة الأجنبيّة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قوّة القول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بصورة فقد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الصبي ثلاثة أقسام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ثلاث سنين، وابن أكثر، ومراهق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الأجنبيّة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من فوق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جواز تغسيل المرأة الأجنبيّة الصَّبي، والرّجل الأجنبي الصبيّة في الجملة، لإطلاقات وجوب التغسيل السَّليمة عن ما يُخصِّصها، لعدم شمول الأخبار المانعة لهما، لأنّ موضوعها المرأة والرّجل غير الشاملين لهما، ولا أقلّ من انصرافهما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وحرمة النظر إلى عورتهما لو ثبتت، حتّى مع عدم كونهما مميّزين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عدم جواز التغسيل، بل لزوم أن يُلقى على العورة خِرقةً حين الاغتسال، وأمّا غير العورة من سائر جسدهما، فالظاهر أنّه لا خلاف ولا كلام في عدم حرمة النظر، بل النصّ الصحيح</w:t>
      </w:r>
      <w:r>
        <w:rPr>
          <w:rStyle w:val="FootnoteAnchor"/>
          <w:rtl w:val="true"/>
        </w:rPr>
        <w:footnoteReference w:id="1114"/>
      </w:r>
      <w:r>
        <w:rPr>
          <w:rFonts w:ascii="IRNazanin" w:hAnsi="IRNazanin" w:eastAsia="IRNazanin"/>
          <w:color w:val="111111"/>
          <w:sz w:val="28"/>
          <w:sz w:val="28"/>
          <w:szCs w:val="28"/>
          <w:rtl w:val="true"/>
          <w:lang w:bidi="fa-IR"/>
        </w:rPr>
        <w:t>دلّ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الصبي تغسله امراة‌؟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تغسل الصبيان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الصبيّة تموت فلا تُصاب امرأة تغسلها؟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ويغسلها رجلٌ أولى النّاس بها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فدعوى</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ظهوره في عدم جواز أن يُغسِّل الرّجل الصبيّة، وإنْ كانت قريبةً‌، لظهوره في إرادة ما يختصّ بالمحارم من الأولى، إلّاأنّه لإعراض الأصحاب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يُطرح، أو يُحمل على إرادة الأولويّة لا على اعتبار المماثلة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في الجملة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تحديد الجواز، فقد عرفت أنّ المشهور تحديده بثلاث سنين فيهما، ويشهد له بالنسبة إلى الصبيّ ما رواه الكليني رحمه الله، عن أبي النمير مولى الحارث ابن المُغيرة النضري،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إلى كم تغسله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من أنّه ضعيفُ السند جدّاً، إذ ضعفه لو ثبت منجبرٌ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مستند لهم سوى دعوى‌</w:t>
      </w:r>
      <w:r>
        <w:rPr>
          <w:rStyle w:val="FootnoteAnchor"/>
          <w:rtl w:val="true"/>
        </w:rPr>
        <w:footnoteReference w:id="1119"/>
      </w:r>
      <w:r>
        <w:rPr>
          <w:rFonts w:ascii="Amiri" w:hAnsi="Amiri" w:eastAsia="Amiri" w:cs="Amiri"/>
          <w:color w:val="111111"/>
          <w:sz w:val="28"/>
          <w:sz w:val="28"/>
          <w:szCs w:val="28"/>
          <w:rtl w:val="true"/>
          <w:lang w:bidi="ar-SA"/>
        </w:rPr>
        <w:t>أولويّتها بالمنع من الصبي، بنظر العرف، فيفهم هذا الحَدّ لها من الخبر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تغسيل ابن ثلاث سنين، لأنّ الظاهر منه إرادة ذلك إلى نهاية الثلاث، فتكون الغاية ملحقة في الحكم 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اختاره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مقتضى ما تقدّم من الأصل والخبر، عدم الفرق بين وجود المماثل وفقده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اختاره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الحسن، في جامعه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تموت مع الرجال في السفر؟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ابنة أكثر من خمس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سنين أو ستّ‌، دُفِنَت ولم تُغَسَّل، وإنْ كانت بنت أقلّ من خمس سنين غُسِّلت</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يعارضه ما روي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الجارية تموت مع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أقلّ من خمس سنين أو ستّ سنين، دُفنت ولم تُغسَّل</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لاضطرابه، وقد نُقل عن ابن طاووس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وهمٌ واصله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فينطبق على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لضعفه، وإعراض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125"/>
      </w:r>
      <w:r>
        <w:rPr>
          <w:rFonts w:ascii="Amiri" w:hAnsi="Amiri" w:eastAsia="Amiri" w:cs="Amiri"/>
          <w:color w:val="111111"/>
          <w:sz w:val="28"/>
          <w:sz w:val="28"/>
          <w:szCs w:val="28"/>
          <w:rtl w:val="true"/>
          <w:lang w:bidi="ar-SA"/>
        </w:rPr>
        <w:t>، حيث استدلّ له بالرواية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مضمونها لا يوافق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ما هو المشهور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70" w:name="pg11796_113663"/>
    </w:p>
    <w:p>
      <w:pPr>
        <w:pStyle w:val="Heading6"/>
        <w:numPr>
          <w:ilvl w:val="5"/>
          <w:numId w:val="1"/>
        </w:numPr>
        <w:rPr/>
      </w:pPr>
      <w:bookmarkStart w:id="371" w:name="__RefHeading___Toc10362010_73709187"/>
      <w:bookmarkStart w:id="372" w:name="_Toc140"/>
      <w:bookmarkEnd w:id="370"/>
      <w:bookmarkEnd w:id="371"/>
      <w:r>
        <w:rPr>
          <w:rtl w:val="true"/>
        </w:rPr>
        <w:t>في تغسيل الزوجين أحدهما الآخر</w:t>
      </w:r>
      <w:bookmarkEnd w:id="372"/>
    </w:p>
    <w:p>
      <w:pPr>
        <w:pStyle w:val="Heading6"/>
        <w:numPr>
          <w:ilvl w:val="5"/>
          <w:numId w:val="1"/>
        </w:numPr>
        <w:rPr/>
      </w:pPr>
      <w:bookmarkStart w:id="373" w:name="__RefHeading___Toc10362012_73709187"/>
      <w:bookmarkStart w:id="374" w:name="_Toc141"/>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ثاني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يُغسِّل كلّ منهما الآخر على المشهور،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تغسيل الزوج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تغسيل الزوجة زوجها إلى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وراء الثوب</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يخرج في السفر، ومعه امرأته أيغسّلها؟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واُمّه واُخته ونحو هذا، يُلقي على عورتها خِرقة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في السفر، في أرضٍ ليس معه إلّاالنساء؟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تكون مع الرجال بتلك المنزلة، تُدفن ولا تُغسَّل، إلّاأن يكون زوجها معها، فإنْ كان زوجها معها غَسَّلها من فوق الدرع، ويسكب الماء عليها سَكْباً، ولا ينظر إلى عورتها، وتغسله امرأته إنْ مات، </w:t>
      </w:r>
    </w:p>
    <w:p>
      <w:pPr>
        <w:pStyle w:val="BookText"/>
        <w:rPr/>
      </w:pPr>
      <w:r>
        <w:rPr>
          <w:rFonts w:ascii="Amiri" w:hAnsi="Amiri" w:eastAsia="Amiri" w:cs="Amiri"/>
          <w:color w:val="111111"/>
          <w:sz w:val="28"/>
          <w:sz w:val="28"/>
          <w:szCs w:val="28"/>
          <w:rtl w:val="true"/>
          <w:lang w:bidi="ar-SA"/>
        </w:rPr>
        <w:t>والمرأة إنْ ماتت ليست بمنزلة الرّجل، المرأة أسوء منظراً إذا ماتت</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صحيح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وليس معه إلّاالنساء؟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لأنّها منه في عِدّة، واذا ماتت لم يُغسّلها، لأنّه ليس منها في عِدّة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مضافاً إلى أنّ الجمع بينهما وبين ما تقدّم، ممّا دلَّ على الجواز من وراء الثوب، يقتضي حملهما على تغسيله المرأة مجرّدةً‌، ويناسبه التعليل أنّه لو سُلّم التعارض يتعيّن حملهما على التقيّة،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بإطلاقات الأمر بالتغسيل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الزوج أحقّ بزوجته حتّى يضعها في قبرها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وباستصحاب جواز النظر واللّمس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وبوصيّة السجّاد عليه السلام أُمّ ولده تغسيله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وبتغسيل أمير المؤمنين عليه السلام فاطمة عليها السلام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قُيّد بما دلَّ على اعتبار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دلَّ على أحقّيّة الزوج بالزوجة، إنّما يدلّ على ولايته عليها، ولا نظر له إلى مباشرة تغسيلها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لا يكفي لإثبات الجواز، بعد إطلاق دليل اعتبار المماثلة، لاسيّما وأنّ الظاهر منه اعتبارها من حيث هي، لا من جهة مانعيّة حرمة النظر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وصيّة السجّاد عليه السلام فغير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تغسيل أمير المؤمنين عليه السلام فاطمة عليها السلام مشتملٌ على التعليل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 لا يغسّلها إلّاصدِّيق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زوجتك في الدُّنيا والآخرة</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يمنع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بالنصوص الخاصّة، فأصل الحكم في الجملة ممّا لا ريب فيه ولا كلام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75" w:name="pg11796_113666"/>
    </w:p>
    <w:p>
      <w:pPr>
        <w:pStyle w:val="Heading6"/>
        <w:numPr>
          <w:ilvl w:val="5"/>
          <w:numId w:val="1"/>
        </w:numPr>
        <w:rPr/>
      </w:pPr>
      <w:bookmarkStart w:id="376" w:name="__RefHeading___Toc10362014_73709187"/>
      <w:bookmarkStart w:id="377" w:name="_Toc142"/>
      <w:bookmarkEnd w:id="375"/>
      <w:bookmarkEnd w:id="376"/>
      <w:r>
        <w:rPr>
          <w:rtl w:val="true"/>
        </w:rPr>
        <w:t>أقول</w:t>
      </w:r>
      <w:r>
        <w:rPr>
          <w:rtl w:val="true"/>
        </w:rPr>
        <w:t xml:space="preserve">: </w:t>
      </w:r>
      <w:r>
        <w:rPr>
          <w:rtl w:val="true"/>
        </w:rPr>
        <w:t>بعد وضوح أصل الحكم في ثاني الموارد، يقع الكلام في عدّة اُمور</w:t>
      </w:r>
      <w:r>
        <w:rPr>
          <w:rtl w:val="true"/>
        </w:rPr>
        <w:t>:</w:t>
      </w:r>
      <w:bookmarkEnd w:id="377"/>
    </w:p>
    <w:p>
      <w:pPr>
        <w:pStyle w:val="Heading6"/>
        <w:numPr>
          <w:ilvl w:val="5"/>
          <w:numId w:val="1"/>
        </w:numPr>
        <w:rPr/>
      </w:pPr>
      <w:bookmarkStart w:id="378" w:name="__RefHeading___Toc10362016_73709187"/>
      <w:bookmarkStart w:id="379" w:name="_Toc143"/>
      <w:bookmarkEnd w:id="378"/>
      <w:r>
        <w:rPr>
          <w:rtl w:val="true"/>
        </w:rPr>
        <w:t>هل يعتبر فقد المماثل</w:t>
      </w:r>
      <w:bookmarkEnd w:id="37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فقد المماثل، كما عن الشيخ في التهذيبين</w:t>
      </w:r>
      <w:r>
        <w:rPr>
          <w:rStyle w:val="FootnoteAnchor"/>
          <w:rtl w:val="true"/>
        </w:rPr>
        <w:footnoteReference w:id="1138"/>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والحلبي</w:t>
      </w:r>
      <w:r>
        <w:rPr>
          <w:rStyle w:val="FootnoteAnchor"/>
          <w:rtl w:val="true"/>
        </w:rPr>
        <w:footnoteReference w:id="114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يعتبر ذلك، كما عن الشيخ في غير التهذيبين</w:t>
      </w:r>
      <w:r>
        <w:rPr>
          <w:rStyle w:val="FootnoteAnchor"/>
          <w:rtl w:val="true"/>
        </w:rPr>
        <w:footnoteReference w:id="1141"/>
      </w:r>
      <w:r>
        <w:rPr>
          <w:rFonts w:ascii="Amiri" w:hAnsi="Amiri" w:eastAsia="Amiri" w:cs="Amiri"/>
          <w:color w:val="111111"/>
          <w:sz w:val="28"/>
          <w:sz w:val="28"/>
          <w:szCs w:val="28"/>
          <w:rtl w:val="true"/>
          <w:lang w:bidi="ar-SA"/>
        </w:rPr>
        <w:t>، والإسكافي</w:t>
      </w:r>
      <w:r>
        <w:rPr>
          <w:rStyle w:val="FootnoteAnchor"/>
          <w:rtl w:val="true"/>
        </w:rPr>
        <w:footnoteReference w:id="1142"/>
      </w:r>
      <w:r>
        <w:rPr>
          <w:rFonts w:ascii="Amiri" w:hAnsi="Amiri" w:eastAsia="Amiri" w:cs="Amiri"/>
          <w:color w:val="111111"/>
          <w:sz w:val="28"/>
          <w:sz w:val="28"/>
          <w:szCs w:val="28"/>
          <w:rtl w:val="true"/>
          <w:lang w:bidi="ar-SA"/>
        </w:rPr>
        <w:t>، والجُعفي</w:t>
      </w:r>
      <w:r>
        <w:rPr>
          <w:rStyle w:val="FootnoteAnchor"/>
          <w:rtl w:val="true"/>
        </w:rPr>
        <w:footnoteReference w:id="1143"/>
      </w:r>
      <w:r>
        <w:rPr>
          <w:rFonts w:ascii="Amiri" w:hAnsi="Amiri" w:eastAsia="Amiri" w:cs="Amiri"/>
          <w:color w:val="111111"/>
          <w:sz w:val="28"/>
          <w:sz w:val="28"/>
          <w:szCs w:val="28"/>
          <w:rtl w:val="true"/>
          <w:lang w:bidi="ar-SA"/>
        </w:rPr>
        <w:t>والسيّد</w:t>
      </w:r>
      <w:r>
        <w:rPr>
          <w:rStyle w:val="FootnoteAnchor"/>
          <w:rtl w:val="true"/>
        </w:rPr>
        <w:footnoteReference w:id="1144"/>
      </w:r>
      <w:r>
        <w:rPr>
          <w:rFonts w:ascii="Amiri" w:hAnsi="Amiri" w:eastAsia="Amiri" w:cs="Amiri"/>
          <w:color w:val="111111"/>
          <w:sz w:val="28"/>
          <w:sz w:val="28"/>
          <w:szCs w:val="28"/>
          <w:rtl w:val="true"/>
          <w:lang w:bidi="ar-SA"/>
        </w:rPr>
        <w:t>، وسلّار</w:t>
      </w:r>
      <w:r>
        <w:rPr>
          <w:rStyle w:val="FootnoteAnchor"/>
          <w:rtl w:val="true"/>
        </w:rPr>
        <w:footnoteReference w:id="1145"/>
      </w:r>
      <w:r>
        <w:rPr>
          <w:rFonts w:ascii="Amiri" w:hAnsi="Amiri" w:eastAsia="Amiri" w:cs="Amiri"/>
          <w:color w:val="111111"/>
          <w:sz w:val="28"/>
          <w:sz w:val="28"/>
          <w:szCs w:val="28"/>
          <w:rtl w:val="true"/>
          <w:lang w:bidi="ar-SA"/>
        </w:rPr>
        <w:t>، والحِلّي</w:t>
      </w:r>
      <w:r>
        <w:rPr>
          <w:rStyle w:val="FootnoteAnchor"/>
          <w:rtl w:val="true"/>
        </w:rPr>
        <w:footnoteReference w:id="1146"/>
      </w:r>
      <w:r>
        <w:rPr>
          <w:rFonts w:ascii="Amiri" w:hAnsi="Amiri" w:eastAsia="Amiri" w:cs="Amiri"/>
          <w:color w:val="111111"/>
          <w:sz w:val="28"/>
          <w:sz w:val="28"/>
          <w:szCs w:val="28"/>
          <w:rtl w:val="true"/>
          <w:lang w:bidi="ar-SA"/>
        </w:rPr>
        <w:t>، والمصنّف</w:t>
      </w:r>
      <w:r>
        <w:rPr>
          <w:rStyle w:val="FootnoteAnchor"/>
          <w:rtl w:val="true"/>
        </w:rPr>
        <w:footnoteReference w:id="1147"/>
      </w:r>
      <w:r>
        <w:rPr>
          <w:rFonts w:ascii="Amiri" w:hAnsi="Amiri" w:eastAsia="Amiri" w:cs="Amiri"/>
          <w:color w:val="111111"/>
          <w:sz w:val="28"/>
          <w:sz w:val="28"/>
          <w:szCs w:val="28"/>
          <w:rtl w:val="true"/>
          <w:lang w:bidi="ar-SA"/>
        </w:rPr>
        <w:t>، والمحقّق</w:t>
      </w:r>
      <w:r>
        <w:rPr>
          <w:rStyle w:val="FootnoteAnchor"/>
          <w:rtl w:val="true"/>
        </w:rPr>
        <w:footnoteReference w:id="1148"/>
      </w:r>
      <w:r>
        <w:rPr>
          <w:rFonts w:ascii="Amiri" w:hAnsi="Amiri" w:eastAsia="Amiri" w:cs="Amiri"/>
          <w:color w:val="111111"/>
          <w:sz w:val="28"/>
          <w:sz w:val="28"/>
          <w:szCs w:val="28"/>
          <w:rtl w:val="true"/>
          <w:lang w:bidi="ar-SA"/>
        </w:rPr>
        <w:t>، والشهيدين</w:t>
      </w:r>
      <w:r>
        <w:rPr>
          <w:rStyle w:val="FootnoteAnchor"/>
          <w:rtl w:val="true"/>
        </w:rPr>
        <w:footnoteReference w:id="1149"/>
      </w:r>
      <w:r>
        <w:rPr>
          <w:rFonts w:ascii="Amiri" w:hAnsi="Amiri" w:eastAsia="Amiri" w:cs="Amiri"/>
          <w:color w:val="111111"/>
          <w:sz w:val="28"/>
          <w:sz w:val="28"/>
          <w:szCs w:val="28"/>
          <w:rtl w:val="true"/>
          <w:lang w:bidi="ar-SA"/>
        </w:rPr>
        <w:t>، والمحقّق الثاني</w:t>
      </w:r>
      <w:r>
        <w:rPr>
          <w:rStyle w:val="FootnoteAnchor"/>
          <w:rtl w:val="true"/>
        </w:rPr>
        <w:footnoteReference w:id="1150"/>
      </w:r>
      <w:r>
        <w:rPr>
          <w:rFonts w:ascii="Amiri" w:hAnsi="Amiri" w:eastAsia="Amiri" w:cs="Amiri"/>
          <w:color w:val="111111"/>
          <w:sz w:val="28"/>
          <w:sz w:val="28"/>
          <w:szCs w:val="28"/>
          <w:rtl w:val="true"/>
          <w:lang w:bidi="ar-SA"/>
        </w:rPr>
        <w:t>، والمقدّس الأردبيلي</w:t>
      </w:r>
      <w:r>
        <w:rPr>
          <w:rStyle w:val="FootnoteAnchor"/>
          <w:rtl w:val="true"/>
        </w:rPr>
        <w:footnoteReference w:id="1151"/>
      </w:r>
      <w:r>
        <w:rPr>
          <w:rFonts w:ascii="IRNazanin" w:hAnsi="IRNazanin" w:eastAsia="IRNazanin"/>
          <w:color w:val="111111"/>
          <w:sz w:val="28"/>
          <w:sz w:val="28"/>
          <w:szCs w:val="28"/>
          <w:rtl w:val="true"/>
          <w:lang w:bidi="fa-IR"/>
        </w:rPr>
        <w:t>، ومن تأخّر عنه</w:t>
      </w:r>
      <w:r>
        <w:rPr>
          <w:rStyle w:val="FootnoteAnchor"/>
          <w:rtl w:val="true"/>
        </w:rPr>
        <w:footnoteReference w:id="11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النصوص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ابن مسلم المتقدّم، المشتمل على التعليل بأنّه إنّما يمنعها أهلها تعصّباً، فإنّ المنع إنّما يكون في صورة وجود المماثل، والتعليل بما يكون من الملاحظات العرفيّة، كالصريح في عدم المانع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أيصلحُ له أن ينظر إلى امرأته حين تموت، أو يغسلها إنْ لم يكن عنده من يغسلها؟ وعن المرأة هل تنظر إلى مثل ذلك من زوجها حين يموت‌؟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يفعل ذلك أهل المرأة كراهية أن يَنظر زوجها إلى شيء يكرهونه منها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في السؤال لايمنع عن الاستدلال، بعد ظهورالتعليل في عموم الحكم، بل يُحمل على الغالب، حيث أنّ الغالب أنّ الرّجل لايُباشر تغسيل المرأة مع وجود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حمزة،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إلّاأن لا توجد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بالمرأة الأولى الزوجة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الزوج إمرأته في السَّفر، والمرأة زوجها في السَّفر، إذا لم يكن معهم رجل</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تضمّن تعليل تغسيل أمير المؤمنين عليه السلام فاطمة عليها السلام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 لا يغسلها إلّاصدِّيق</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خبر المُفضّل أنّه كان خلاف المتعارف، بحيث لم يكن يرتكبه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إلّاعند الاضطرار، ولذا ضاق صدر السائل حين سمع ذلك من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وبوقوع التقييد بذلك في جملةٍ من النصوص في كلام السائلين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اعتبار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أخصّ من المدّعى إلّاأن يتمّ بعدم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المراد بالمرأة الأولى الزوجة، بل الظاهر منها الأجنبيّة، فيُخصّص الخبر بما عدا الزوجة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ظهوره في اختصاص اعتبار ذلك بتغسيل المرأة زوجها لا العكس، لذكر القيد عند بيان حكم تغسيلها إيّاه، وعدم ذكره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مع أنّه لا يقاوم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التعليل إنّما يكون لأجل أنّ عليّاً عليه السلام لم يكن يَغسل أحداً، مماثلاً كان أم لم يكن، وإنّما كان يغسل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وأمّا ضيق صدر السائل، فلعلّه كان من جهة الملاحظات العرفيّة حيث أجابه عليه السلام بأنّه لكونها صدِّيقة لم يكن لأحدٍ تغسيلها غير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في كلام السائل، لا يصلحُ أن يقيّد به إطلاق الجواب، لأنّ المورد لا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تلك الأدلّة يقيّد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عدم اعتبار فقد المماثل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80" w:name="pg11796_113669"/>
    </w:p>
    <w:p>
      <w:pPr>
        <w:pStyle w:val="Heading6"/>
        <w:numPr>
          <w:ilvl w:val="5"/>
          <w:numId w:val="1"/>
        </w:numPr>
        <w:rPr/>
      </w:pPr>
      <w:bookmarkStart w:id="381" w:name="__RefHeading___Toc10362018_73709187"/>
      <w:bookmarkStart w:id="382" w:name="_Toc144"/>
      <w:bookmarkEnd w:id="380"/>
      <w:bookmarkEnd w:id="381"/>
      <w:r>
        <w:rPr>
          <w:rtl w:val="true"/>
        </w:rPr>
        <w:t>عدم اعتبار الغُسل من وراء الثياب</w:t>
      </w:r>
      <w:bookmarkEnd w:id="38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 الغسل من وراء الثياب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مطلقاً، وهو المحكيّ عن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والمصنّف رحمه الله في نهاية الاحكام</w:t>
      </w:r>
      <w:r>
        <w:rPr>
          <w:rStyle w:val="FootnoteAnchor"/>
          <w:rtl w:val="true"/>
        </w:rPr>
        <w:footnoteReference w:id="1160"/>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مداركه</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 وعنه أنّه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كذلك، 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جواز تغسيل الزوج المرأة دون العكس، وهو المنقول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ما دلَّ على جواز أن ينظر الرّجل إلى زوجته بعد الموت، كصحيحي عبد اللّه بن سنان، ومنصور المتقدّمين، وخبر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توفّيت أيصلح لزوجها أن ينظر إلى وجهها ورأسها؟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ما ظاهره عدم الجواز، كصحيح الحلبي، عن أبى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يغسل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لا ينظر إلى شعرها، ولا إلى شيءٍ منها، والمرأة تغسل زوجها، لأنّه إذا ماتَ كانت في عِدّة منه، وإذا ماتت هي فقد انقضت عدّتها</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لتعيّن حمله على الكراهة جمعاً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خبر منصور حرمة النظر إلى عورتها، ولا صارف لظهوره سوى توهّم دلالته على كونه شرطاً تعبّديّاً، لصحّة الغُسل،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بوجوب ستر العورة قويٌّ جدّاً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دلالة هذه النصوص على جواز تغسيلها مجرّدةً‌، هو أنّ الظاهر كون الستر بالثياب إنْ وَجَب فإنّما هو لحرمة النظر، لا لكونه من تعبّديّات الغُسل، كي تجب مراعاته، وإنْ لم يكن الغاسل بصيراً كما يشير إليه التعليل لجواز التغسيل في صحيح ابن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المتقدّم، وإطلاق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لاعتبار كونه من وراء الثياب فيها، بصحيح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يُغسّل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حملها بأجمعها على الاستحباب، بقرينة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بعضها من التعليل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أسوء منظراً حين تموت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واختلافها في بيان ما تستر به، ففي بعضها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الإقتصار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الترخيص لإدخال اليد تحت قميصها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ما دلَّ على جواز أن تنظر المرأة إلى زوجها بعد الموت، كصحيح ابن سنان المتقدّم، بالتقريب المتقدّم آنفاً، وجملة من النصوص؛ كصحيح الحلبي، عن الإمام الصادق عليه السلام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التقييد في تغسيل الزوج زوجته بكونه من وراء الثوب، وتركه في تغسيل الزوجه زوجها، لا سيّما مع التعليل بأنّه إذا ماتت المرأة في عِدّة منه، صريحٌ في جواز تغسيلها إيّاه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داود بن سرحان، عن الإمام الصادق عليه السلام</w:t>
      </w:r>
      <w:r>
        <w:rPr>
          <w:rStyle w:val="FootnoteAnchor"/>
          <w:rtl w:val="true"/>
        </w:rPr>
        <w:footnoteReference w:id="1176"/>
      </w:r>
      <w:r>
        <w:rPr>
          <w:rFonts w:ascii="Amiri" w:hAnsi="Amiri" w:eastAsia="Amiri" w:cs="Amiri"/>
          <w:color w:val="111111"/>
          <w:sz w:val="28"/>
          <w:sz w:val="28"/>
          <w:szCs w:val="28"/>
          <w:rtl w:val="true"/>
          <w:lang w:bidi="ar-SA"/>
        </w:rPr>
        <w:t>، وصحيح الكناني المتقدّم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لاعتبار كونه من وراء الثوب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زيد الشحّام،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في السفر 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نساءٍ ليس معهنّ 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امرأة فليدفن في ثيابه ولايُغسَّل، وإنْ كان له فيهن امرأة فليغسل في قيمص من غير أن تنظر إلى‌عورته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الرحمن بن أبي عبد اللّه،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وليس عنده من يغسله إلّاالنساء، هل تغسله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وذات محرمه، وتصبّ عليه النساء الماء صبّاً من فوق الثياب</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وليس عنده إلّانساء؟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وتصبّ النساء عليه الماء ولا يخلع ثوبه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فقاصر السند بأبي جميلة،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تنظر إلى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الأمر بتعسيلها إيّاه في قميص إنّما يكون لئلّا تنظر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سنداً بالإرسال أيضاً، مع احتمال أن يكون القيد لخصوص تغسيل ذات محرمه،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الدلالة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الزوجة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أن يكون المنع عن خلع ثوبه لحضور النساء، مع أنّه لو سلمت تماميّته سنداً ودلالةً‌، لا يصلح لمقاومة ما سبق، فيتعيّن حمله على الاستحباب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الحُرّة والأمَة، والدائمة والمنقطعة،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تنظّر في المطلّقة الرجعيّة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ما دلَّ على أنّها زوجة إلحاقها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انصرافه إلى غير هذا الحكم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المطلّقة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الجواز فيها، لأنّها أجنبيّة قطعاً، كما في طهارة الشيخ الأعظم رحمه الله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تغسيل زوجها، بعد انقضاء العِدّة إنْ فرض بقاء الميّت بلا تغسيل إلى ذلك الوقت، كما لو بقي الميّت مدّةً طويلة لغرض تهيئة مقدّمات نقله للدفن إلى أحد المشاهد المشرّفة، ولم يتلاش الميّت في هذه المدّة بنحو يَسقط غُسله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86"/>
      </w:r>
      <w:r>
        <w:rPr>
          <w:rFonts w:ascii="Amiri" w:hAnsi="Amiri" w:eastAsia="Amiri" w:cs="Amiri"/>
          <w:color w:val="111111"/>
          <w:sz w:val="28"/>
          <w:sz w:val="28"/>
          <w:szCs w:val="28"/>
          <w:rtl w:val="true"/>
          <w:lang w:bidi="ar-SA"/>
        </w:rPr>
        <w:t>، واستشكل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تصير أجنبيّة بانقضاء العدّة، لا سيّما إذا تزوّجت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نصوص الباب الدالّة على الجواز عن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عموم ما دلَّ على اعتبار المماثلة المقدّم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عُلّل الجواز في جملةٍ من نصوص الباب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عدّة، وهو يقتضي عدم الجواز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تصير أجنبيّة بالموت، ومع ذلك جاز لها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في عِدّة، ليس معناه بقاء عُلقة الزوجيّة،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الانصرافات الناشئة عن التشكيكات بدويّة، تزول بأدنى تأمّل، فلا تصلح أن تكون مقيّدة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بمقتضى العلّة، أنّ الحكم الثابت للزوجة بعد انقضاء العِدّة، هو الحكم الثابت للزوج من حين موت الزوجة، ولازم ذلك عدم كون الحكم المُعلّل بهذه العلّة، هو جواز التغسيل، لما عرفت من جواز تغسيل الزوج زوجته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الجواز</w:t>
      </w:r>
      <w:r>
        <w:rPr>
          <w:rFonts w:eastAsia="IRNazanin" w:cs="IRNazanin"/>
          <w:color w:val="111111"/>
          <w:sz w:val="28"/>
          <w:szCs w:val="28"/>
          <w:rtl w:val="true"/>
          <w:lang w:bidi="fa-IR"/>
        </w:rPr>
        <w:t>.</w:t>
      </w:r>
      <w:bookmarkStart w:id="383" w:name="pg11796_113675"/>
    </w:p>
    <w:p>
      <w:pPr>
        <w:pStyle w:val="Heading6"/>
        <w:numPr>
          <w:ilvl w:val="5"/>
          <w:numId w:val="1"/>
        </w:numPr>
        <w:rPr/>
      </w:pPr>
      <w:bookmarkStart w:id="384" w:name="__RefHeading___Toc10362020_73709187"/>
      <w:bookmarkStart w:id="385" w:name="_Toc145"/>
      <w:bookmarkEnd w:id="383"/>
      <w:bookmarkEnd w:id="384"/>
      <w:r>
        <w:rPr>
          <w:rtl w:val="true"/>
        </w:rPr>
        <w:t>تغسيل المحارم بعضهم بعضاً</w:t>
      </w:r>
      <w:bookmarkEnd w:id="385"/>
    </w:p>
    <w:p>
      <w:pPr>
        <w:pStyle w:val="Heading6"/>
        <w:numPr>
          <w:ilvl w:val="5"/>
          <w:numId w:val="1"/>
        </w:numPr>
        <w:rPr/>
      </w:pPr>
      <w:bookmarkStart w:id="386" w:name="__RefHeading___Toc10362022_73709187"/>
      <w:bookmarkStart w:id="387" w:name="_Toc146"/>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ثالث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موارد عدم اعتبار المماثلة هو تغسيل المحارم بعضهم بعضاً، بلا خلافٍ فيه في الجملة، بل إجماعاً كما حكاه جماعة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وقد تقدّم بعضها في الفرع السابق، كصحيحي منصور والحلبي وغيرهما، وسيأتي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فقد المماثل وعدمه‌؟</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نسب الأوّل إلى ظاهر المشهور أو صريحهم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الحسن بن علي الوشّاء،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مع النساء، غسّلته امرأته، وإنْ لم تكن امرأته معه غسّلته أولاهنّ به، وتلفّ على يدها خرقة</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دلّ على تقديم خصوص الزوجة عليها، وأنّ مرتبتها متأخّرة عن الزوجة، إلّاأنّه يتعدّى عنها إلى المماثل، إذ الزوجة إمّا أن تكون مرتبتها متأخّرة عن المماثل أو مقارنة، وعلى كلّ تقدير،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دخل خصوصيّة الزوجيّة،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اختصاصه بتغسيل المرأة الرّجل، لاينافي مع عموم الحكم، لإلغاء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الإمام الباقر عليه السلام 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إلّاأن لاتوجد امرأة</w:t>
      </w:r>
      <w:r>
        <w:rPr>
          <w:rFonts w:eastAsia="Amiri" w:cs="Amiri" w:ascii="Amiri" w:hAnsi="Amiri"/>
          <w:color w:val="111111"/>
          <w:sz w:val="28"/>
          <w:szCs w:val="28"/>
          <w:rtl w:val="true"/>
          <w:lang w:bidi="ar-SA"/>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بإطلاقه يدلّ على حكم المحارم، فلو دلّ دليل على عدم اعتبار ذلك في المحارم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وبإطلاقات الأمر بتغسيل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صحيح منصور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السفر، ومعه امرأته يغسّلها؟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واُمّه واُخته ونحو هذا، يلقى على عورتها ويغسّلها</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إشعار الاقتران بالزوجة في كثيرٍ من الأخبار، بل في 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امرأته أو ذات قرابته</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والاستصحاب يمكن الفرار عنهما بما عرفت، كما أنّ به يقيّد إطلاق ما دلَّ على وجوب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صحيح منصور، فغير ثابتٍ‌، لاحتمال أن يكون ذكر السفر في السؤال قرينة على فرض فقد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ثبت يقيّد بصحيح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الأخير، وعليه فالأظهر اعتبار فقد المماثل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88" w:name="pg11796_113678"/>
    </w:p>
    <w:p>
      <w:pPr>
        <w:pStyle w:val="Heading6"/>
        <w:numPr>
          <w:ilvl w:val="5"/>
          <w:numId w:val="1"/>
        </w:numPr>
        <w:rPr/>
      </w:pPr>
      <w:bookmarkStart w:id="389" w:name="__RefHeading___Toc10362024_73709187"/>
      <w:bookmarkStart w:id="390" w:name="_Toc147"/>
      <w:bookmarkEnd w:id="388"/>
      <w:bookmarkEnd w:id="389"/>
      <w:r>
        <w:rPr>
          <w:rtl w:val="true"/>
        </w:rPr>
        <w:t>في اشتراط التغسيل من وراء الثياب</w:t>
      </w:r>
      <w:bookmarkEnd w:id="39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كونه من وراء الثياب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يشترط ذلك</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2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بعض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حازم المتقدّم،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على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الاعتبار، إلّافي العورة، وحمله على خصوص المرأة كما ترى‌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زيد الشحّام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معهم زوجها، أو ذو رحمٍ لها، </w:t>
      </w:r>
    </w:p>
    <w:p>
      <w:pPr>
        <w:pStyle w:val="BookText"/>
        <w:rPr/>
      </w:pPr>
      <w:r>
        <w:rPr>
          <w:rFonts w:ascii="Amiri" w:hAnsi="Amiri" w:eastAsia="Amiri" w:cs="Amiri"/>
          <w:color w:val="111111"/>
          <w:sz w:val="28"/>
          <w:sz w:val="28"/>
          <w:szCs w:val="28"/>
          <w:rtl w:val="true"/>
          <w:lang w:bidi="ar-SA"/>
        </w:rPr>
        <w:t>فليغسّلها من غير أن ينظر إلى عورتها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كالنصّ في أنّ المُحرّم إنّما هو النظر إلى العورة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نرفع اليد عن ظهور جملةٍ من النصوص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عمّته وخالته في قميصه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ماتَ وليس عنده إلّانساء، تغسّله امرأة ذات محرم منه، وتصبّ النساء عليه الماء، ولا تُخلع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المرأة تموت، وليس عندها إلّارجال‌؟ وإنْ كان معها ذو مَحْرمٍ لها يغسّلها من فوق ثيابها</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 موثّق عبد الرحمن المتقدّم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وتُحمل على الاستحباب أو على صورة وجود الأجنبي، كما يشعر به موثّق مسماعة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أنّ الغرض محافظة العورة، كما عن الشهيد التصريح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ضمّ الزوجة إليها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عدم الوجوب، ولكن الاحتياط لا يُترك لذهاب المعظم إلى الوجوب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91" w:name="pg11796_113680"/>
    </w:p>
    <w:p>
      <w:pPr>
        <w:pStyle w:val="Heading6"/>
        <w:numPr>
          <w:ilvl w:val="5"/>
          <w:numId w:val="1"/>
        </w:numPr>
        <w:rPr/>
      </w:pPr>
      <w:bookmarkStart w:id="392" w:name="__RefHeading___Toc10362026_73709187"/>
      <w:bookmarkStart w:id="393" w:name="_Toc148"/>
      <w:bookmarkEnd w:id="391"/>
      <w:bookmarkEnd w:id="392"/>
      <w:r>
        <w:rPr>
          <w:rtl w:val="true"/>
        </w:rPr>
        <w:t>تغسيل المولى أمَتَه</w:t>
      </w:r>
      <w:bookmarkEnd w:id="393"/>
    </w:p>
    <w:p>
      <w:pPr>
        <w:pStyle w:val="BookText"/>
        <w:rPr/>
      </w:pPr>
      <w:r>
        <w:rPr>
          <w:rFonts w:ascii="Amiri" w:hAnsi="Amiri" w:eastAsia="Amiri" w:cs="Amiri"/>
          <w:color w:val="111111"/>
          <w:sz w:val="28"/>
          <w:sz w:val="28"/>
          <w:szCs w:val="28"/>
          <w:rtl w:val="true"/>
          <w:lang w:bidi="ar-SA"/>
        </w:rPr>
        <w:t>رابع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موارد عدم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المولى أمَتَه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ادّعاه جماعةٌ‌</w:t>
      </w:r>
      <w:r>
        <w:rPr>
          <w:rStyle w:val="FootnoteAnchor"/>
          <w:rtl w:val="true"/>
        </w:rPr>
        <w:footnoteReference w:id="1216"/>
      </w:r>
      <w:r>
        <w:rPr>
          <w:rFonts w:ascii="Amiri" w:hAnsi="Amiri" w:eastAsia="Amiri" w:cs="Amiri"/>
          <w:color w:val="111111"/>
          <w:sz w:val="28"/>
          <w:sz w:val="28"/>
          <w:szCs w:val="28"/>
          <w:rtl w:val="true"/>
          <w:lang w:bidi="ar-SA"/>
        </w:rPr>
        <w:t>، وهو العمدة في هذا الحكم، وإلّا فمقتضى إطلاق ما دلَّ على اعتبار المماثلة، المانع من الرجوع إلى عموم ما دلَّ على وجوب التغسيل، وأصالة البراءة عن شرطيّة المماثلة،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المتيقّن منه الجواز، إذا كانت ممّن يجوز نكاحها، فلا يجوز إذا لم تكن كذلك، كما إذا كانت مُزوَّجةً أو في عِدّة الغير، أو مُبعَّضة أو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تغسيل الأمَة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اختاره السيّد في مداركه</w:t>
      </w:r>
      <w:r>
        <w:rPr>
          <w:rStyle w:val="FootnoteAnchor"/>
          <w:rtl w:val="true"/>
        </w:rPr>
        <w:footnoteReference w:id="121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كذلك، وهو الذي اختاره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الجواز باُمّ الولد، وهو اختيار جمعٍ من الأصحاب،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 لإطلاق ما دلَّ على اعتبار المماثلة، المقدّم على إطلاق دليل وجوب التغسيل، وأصالة البراءة الَّذين استُدلّ بهما على الجواز</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انتفاء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بالانتقال إلى الورثة، أو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للمختار، فلا يدلّ عليه، لأنّ الانتقال بالموت ليس كالانتقال بناقلٍ شرعي، في </w:t>
      </w:r>
    </w:p>
    <w:p>
      <w:pPr>
        <w:pStyle w:val="BookText"/>
        <w:rPr/>
      </w:pPr>
      <w:r>
        <w:rPr>
          <w:rFonts w:ascii="Amiri" w:hAnsi="Amiri" w:eastAsia="Amiri" w:cs="Amiri"/>
          <w:color w:val="111111"/>
          <w:sz w:val="28"/>
          <w:sz w:val="28"/>
          <w:szCs w:val="28"/>
          <w:rtl w:val="true"/>
          <w:lang w:bidi="ar-SA"/>
        </w:rPr>
        <w:t>صيرورة جَعل الطرف الآخر أجنبيّاً عن صاحبه، مع أنّه لو فرض بقائها في مِلْكه، كما لو أوصى بأمَته ثُلثاً، وقلنا ببقاء الثلث على ملكيّة الميّت، لما كان ذلك كافيا في الجواز، لعموم دليل اعتبار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أمثال الفرض،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للجواز في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إسحاق بن عمّار،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عليهما السلام أوصى أن تغسله أُمّ ولد له فغسّلته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في نفسه، ومخالفٌ لما دلَّ على أنّ المعصوم لايُغسّله إلّا المعصوم</w:t>
      </w:r>
      <w:r>
        <w:rPr>
          <w:rStyle w:val="FootnoteAnchor"/>
          <w:rtl w:val="true"/>
        </w:rPr>
        <w:footnoteReference w:id="1222"/>
      </w:r>
      <w:r>
        <w:rPr>
          <w:rFonts w:ascii="Amiri" w:hAnsi="Amiri" w:eastAsia="Amiri" w:cs="Amiri"/>
          <w:color w:val="111111"/>
          <w:sz w:val="28"/>
          <w:sz w:val="28"/>
          <w:szCs w:val="28"/>
          <w:rtl w:val="true"/>
          <w:lang w:bidi="ar-SA"/>
        </w:rPr>
        <w:t>، فضلاً عن أنّه معارض مع ما دلَّ على أنّ الإمام الباقر عليه السلام غَسّل أباه السجاد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الأقوى هو المنع مطلقاً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4" w:name="pg11796_113682"/>
    </w:p>
    <w:p>
      <w:pPr>
        <w:pStyle w:val="Heading6"/>
        <w:numPr>
          <w:ilvl w:val="5"/>
          <w:numId w:val="1"/>
        </w:numPr>
        <w:rPr/>
      </w:pPr>
      <w:bookmarkStart w:id="395" w:name="__RefHeading___Toc10362028_73709187"/>
      <w:bookmarkStart w:id="396" w:name="_Toc149"/>
      <w:bookmarkEnd w:id="394"/>
      <w:bookmarkEnd w:id="395"/>
      <w:r>
        <w:rPr>
          <w:rtl w:val="true"/>
        </w:rPr>
        <w:t>المقام الثالث</w:t>
      </w:r>
      <w:r>
        <w:rPr>
          <w:rtl w:val="true"/>
        </w:rPr>
        <w:t xml:space="preserve">: </w:t>
      </w:r>
      <w:r>
        <w:rPr>
          <w:rtl w:val="true"/>
        </w:rPr>
        <w:t>كيفيّة التغسيل</w:t>
      </w:r>
      <w:bookmarkEnd w:id="396"/>
    </w:p>
    <w:p>
      <w:pPr>
        <w:pStyle w:val="Heading6"/>
        <w:numPr>
          <w:ilvl w:val="5"/>
          <w:numId w:val="1"/>
        </w:numPr>
        <w:rPr/>
      </w:pPr>
      <w:bookmarkStart w:id="397" w:name="__RefHeading___Toc10362030_73709187"/>
      <w:bookmarkStart w:id="398" w:name="_Toc150"/>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ويجب تغسيله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بماء السِّدر، والثانية بماء الكافُور، والثالثة بماء القَراح</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0362032_73709187"/>
      <w:bookmarkStart w:id="400" w:name="_Toc151"/>
      <w:bookmarkEnd w:id="399"/>
      <w:r>
        <w:rPr>
          <w:rtl w:val="true"/>
        </w:rPr>
        <w:t>كيفيّة التغسيل</w:t>
      </w:r>
      <w:bookmarkEnd w:id="400"/>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عن كيفيّة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تَغسيلُه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بماء السِّدر، والثانية بماء الكافُور، والثالثة بماء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سلّار</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الواحد بالقُراح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الخليطين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وسدر، ثمّ اغسله على أثر ذلك غَسلةً اُخرى بماءٍ وكافُور وذريرة إنْ كانت، واغسله الثالثة بماءِ 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لجسده 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ثوب إذا 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يكون عليه قميصٌ‌ </w:t>
      </w:r>
    </w:p>
    <w:p>
      <w:pPr>
        <w:pStyle w:val="BookText"/>
        <w:rPr/>
      </w:pPr>
      <w:r>
        <w:rPr>
          <w:rFonts w:ascii="Amiri" w:hAnsi="Amiri" w:eastAsia="Amiri" w:cs="Amiri"/>
          <w:color w:val="111111"/>
          <w:sz w:val="28"/>
          <w:sz w:val="28"/>
          <w:szCs w:val="28"/>
          <w:rtl w:val="true"/>
          <w:lang w:bidi="ar-SA"/>
        </w:rPr>
        <w:t>فغَسّله من تحته،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لمن غَسّل الميّت أن يلفّ على يده خِرفة حين يغسّله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w:t>
      </w:r>
      <w:r>
        <w:rPr>
          <w:rStyle w:val="FootnoteAnchor"/>
          <w:rtl w:val="true"/>
        </w:rPr>
        <w:footnoteReference w:id="1229"/>
      </w:r>
      <w:r>
        <w:rPr>
          <w:rFonts w:ascii="Amiri" w:hAnsi="Amiri" w:eastAsia="Amiri" w:cs="Amiri"/>
          <w:color w:val="111111"/>
          <w:sz w:val="28"/>
          <w:sz w:val="28"/>
          <w:szCs w:val="28"/>
          <w:rtl w:val="true"/>
          <w:lang w:bidi="ar-SA"/>
        </w:rPr>
        <w:t>على أنّ الميّت الجُنُب يُغسّل غُسلاً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w:t>
      </w:r>
      <w:r>
        <w:rPr>
          <w:rStyle w:val="FootnoteAnchor"/>
          <w:rtl w:val="true"/>
        </w:rPr>
        <w:footnoteReference w:id="1230"/>
      </w:r>
      <w:r>
        <w:rPr>
          <w:rFonts w:ascii="Amiri" w:hAnsi="Amiri" w:eastAsia="Amiri" w:cs="Amiri"/>
          <w:color w:val="111111"/>
          <w:sz w:val="28"/>
          <w:sz w:val="28"/>
          <w:szCs w:val="28"/>
          <w:rtl w:val="true"/>
          <w:lang w:bidi="ar-SA"/>
        </w:rPr>
        <w:t>على أنّه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إرادة الوحدة في مقابل انضمام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التداخل لا في مقابل تعدّد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ظهوره في نفسه في الثاني، تعيّن حمله على ما ذكرناه، جمعاً بينه وبين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ظاهرٌ في إرادة التشبيه من حيث الكيفيّة خاصّة، ولا نظر له إلى الكمية، مع أنّه لو سُلّم إطلاقه يتعيّن تقييده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القول الثالث، إذ الظاهر أنّه لا مدرك له سوى الوجه الثاني الذي عرفت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بعض النصوص</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ثلاث غَسَلات؛ مرّة بالسِّدر، ومرّة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فيه الكافور، ومرّةً اُخرى بالماء القَراح</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يتعيّن تقييده بما تقدّم، وعليه فلو أخلَّ بالترتيب بين الأغسال لايجتزء به، لإنتفاء المشروط بانتفاء شرطه، 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من احتمال الإجزاء لحصول الإنقاء،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كلّ من الأغسال الثلاثة،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أوّلاً غَسل الرأس والرقبة، ثمّ الطرف الأيمن، ثمّ الأيسر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الانتصار</w:t>
      </w:r>
      <w:r>
        <w:rPr>
          <w:rStyle w:val="FootnoteAnchor"/>
          <w:rtl w:val="true"/>
        </w:rPr>
        <w:footnoteReference w:id="1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فتغسل الرأس واللّحية بسدرٍ حتّى تنقيه، ثمّ تبدأ بشقّه الأيمن، ثمّ بشقّه الأيسر</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مثل ذلك في ماء الكافور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بكفّيه ورأسه ثلاث مرّات بالسِّدر، ثمّ سائر جسده، وابدأ بشقّه الأيمن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1" w:name="pg11796_113686"/>
    </w:p>
    <w:p>
      <w:pPr>
        <w:pStyle w:val="Heading6"/>
        <w:numPr>
          <w:ilvl w:val="5"/>
          <w:numId w:val="1"/>
        </w:numPr>
        <w:rPr/>
      </w:pPr>
      <w:bookmarkStart w:id="402" w:name="__RefHeading___Toc10362034_73709187"/>
      <w:bookmarkStart w:id="403" w:name="_Toc152"/>
      <w:bookmarkEnd w:id="401"/>
      <w:bookmarkEnd w:id="402"/>
      <w:r>
        <w:rPr>
          <w:rtl w:val="true"/>
        </w:rPr>
        <w:t>تنبيهات غُسل الجنابة</w:t>
      </w:r>
      <w:bookmarkEnd w:id="403"/>
    </w:p>
    <w:p>
      <w:pPr>
        <w:pStyle w:val="Heading6"/>
        <w:numPr>
          <w:ilvl w:val="5"/>
          <w:numId w:val="1"/>
        </w:numPr>
        <w:rPr/>
      </w:pPr>
      <w:bookmarkStart w:id="404" w:name="__RefHeading___Toc10362036_73709187"/>
      <w:bookmarkStart w:id="405" w:name="_Toc153"/>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362038_73709187"/>
      <w:bookmarkStart w:id="407" w:name="_Toc154"/>
      <w:bookmarkEnd w:id="406"/>
      <w:r>
        <w:rPr>
          <w:rtl w:val="true"/>
        </w:rPr>
        <w:t>في كفاية الارتماس في الأغسال الثلاثة</w:t>
      </w:r>
      <w:bookmarkEnd w:id="40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الارتماس في الأغسال الثلاثة، مع التمكّن من الترتيب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 المتأخّرين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وولده</w:t>
      </w:r>
      <w:r>
        <w:rPr>
          <w:rStyle w:val="FootnoteAnchor"/>
          <w:rtl w:val="true"/>
        </w:rPr>
        <w:footnoteReference w:id="124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وقوّى العدم كاشف اللّثام</w:t>
      </w:r>
      <w:r>
        <w:rPr>
          <w:rStyle w:val="FootnoteAnchor"/>
          <w:rtl w:val="true"/>
        </w:rPr>
        <w:footnoteReference w:id="1250"/>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أظهر، وتبعه المحقّق الهمداني رحمه الله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تشبيهه بغُسل الجنابة، وفي جملةٍ من تلك النصوص أنّه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التشبيه في العموم، بحيث يشمل ذلك، فيبقى الأصل، أي قاعدة الاشتغال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الترتيب تقيّد إطلاق ما دلَّ على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رحمه الله</w:t>
      </w:r>
      <w:r>
        <w:rPr>
          <w:rStyle w:val="FootnoteAnchor"/>
          <w:rtl w:val="true"/>
        </w:rPr>
        <w:footnoteReference w:id="1253"/>
      </w:r>
      <w:r>
        <w:rPr>
          <w:rFonts w:ascii="Amiri" w:hAnsi="Amiri" w:eastAsia="Amiri" w:cs="Amiri"/>
          <w:color w:val="111111"/>
          <w:sz w:val="28"/>
          <w:sz w:val="28"/>
          <w:szCs w:val="28"/>
          <w:rtl w:val="true"/>
          <w:lang w:bidi="ar-SA"/>
        </w:rPr>
        <w:t>عن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يتطرّق فيما دلَّ على التشبيه دون ما دلَّ على أنّ الميّت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الاكتفاء بالارتماس في مطلق غُسل الجنابة، لاختصاص دليله بغير الجُنُب الميّت،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 الخصوصيّة، مع احتمالها، لاسيّما بعد ملاحظة اعتبار خصوصيّاتٍ فيه غير معتبرة في غُسل الجُنُب الحيّ‌،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بعض الأعاظم</w:t>
      </w:r>
      <w:r>
        <w:rPr>
          <w:rStyle w:val="FootnoteAnchor"/>
          <w:rtl w:val="true"/>
        </w:rPr>
        <w:footnoteReference w:id="1254"/>
      </w:r>
      <w:r>
        <w:rPr>
          <w:rFonts w:ascii="Amiri" w:hAnsi="Amiri" w:eastAsia="Amiri" w:cs="Amiri"/>
          <w:color w:val="111111"/>
          <w:sz w:val="28"/>
          <w:sz w:val="28"/>
          <w:szCs w:val="28"/>
          <w:rtl w:val="true"/>
          <w:lang w:bidi="ar-SA"/>
        </w:rPr>
        <w:t>عن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موردها القليل، كما هو المتعارف نظير ما ورد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 المورد لا يُخصّص، مع أنّ كون مورد جميع تلك النصوص الماء القليل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الاكتفاء بالارتماس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08" w:name="pg11796_113688"/>
    </w:p>
    <w:p>
      <w:pPr>
        <w:pStyle w:val="Heading6"/>
        <w:numPr>
          <w:ilvl w:val="5"/>
          <w:numId w:val="1"/>
        </w:numPr>
        <w:rPr/>
      </w:pPr>
      <w:bookmarkStart w:id="409" w:name="__RefHeading___Toc10362040_73709187"/>
      <w:bookmarkStart w:id="410" w:name="_Toc155"/>
      <w:bookmarkEnd w:id="408"/>
      <w:bookmarkEnd w:id="409"/>
      <w:r>
        <w:rPr>
          <w:rtl w:val="true"/>
        </w:rPr>
        <w:t>في وجوب الوضوء مع الغُسل قبله أو بعده خلافٌ‌</w:t>
      </w:r>
      <w:bookmarkEnd w:id="410"/>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الوضوء مع الغُسل قبله أو بعده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1255"/>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الطائفة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الطوسي</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 به في جملةٍ من الروايات، كصحيح حريز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يبدأ بفرجه، ثمّ يتوضّأ وضوء الصَّلاة</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الغُسل كغُسل الجنابة أو عينه، فليس فيه وضوءٌ بمقتضى الاستثناء، مع أنّك عرفت إجزاء كلّ 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الظاهر من تلك النصوص، كون المراد بها عدم الاجتزاء بالأغسال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غُسل </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الواجب للصلاة، لا أنّه بنفسه شرطٌ في صحّة الغُسل ورفع الحَدَث، كما أثبتناه في مبحث الحيض، فراجع</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من أنّ عمل الطائفة على ترك العمل بها، فتأمّل، أنّه يمكن أن يكون عدم إفتائهم بالوجوب لما يأتي، فالإعراض غير ثابتٍ‌، لا سيّما بعد إفتائهم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غُسل الميّت أفيه وضوءُ الصَّلاة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يبدأ بمرافقه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من جهة الإعراض عن ذكر الوضوء، مع وقوع السؤال عنه كالنصّ في عدم الوجوب، فبه تُرفع اليد عن ظهور الأمر به في الوجوب، ويُحمل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إفتاء المشهور بالاستحباب، فلا يرد عليهم أنّه بعد طرح النصوص الآمرة به لا دليل على الاستحباب، ثمّ إنّ النصوص إنّما تضمّنت الأمر به قبل الغُسل، فالإتيان به بعده بقصد المشروعيّة تشريعٌ محرّم كما لا يخفى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11" w:name="pg11796_113690"/>
    </w:p>
    <w:p>
      <w:pPr>
        <w:pStyle w:val="Heading6"/>
        <w:numPr>
          <w:ilvl w:val="5"/>
          <w:numId w:val="1"/>
        </w:numPr>
        <w:rPr/>
      </w:pPr>
      <w:bookmarkStart w:id="412" w:name="__RefHeading___Toc10362042_73709187"/>
      <w:bookmarkStart w:id="413" w:name="_Toc156"/>
      <w:bookmarkEnd w:id="411"/>
      <w:bookmarkEnd w:id="412"/>
      <w:r>
        <w:rPr>
          <w:rtl w:val="true"/>
        </w:rPr>
        <w:t>تجب إزالة النّجاسة قَبل الغُسل</w:t>
      </w:r>
      <w:bookmarkEnd w:id="413"/>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وجوب إزالة النجاسة العَرَضيّة عن بدنه قبل الغُسل في الجملة، بل عن غير واحدٍ</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اعتبار إزالة النجاسة قبل غُسل الجنابة، فإنّه بضميمة ما دلَّ على أنّ غُسل الميّت كغُسل الجنابة، أو أنّه عينه،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عبد الملك،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اقعده واغمز بطنه غَمْزاً رفيقاً، ثمّ طهّره من غَمز البطن</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بطنه مَسْحاً رفيقاً، فإنْ خَرَج شيءٌ فانقه، ثمّ اغسل رأسه، ثمّ اضجعه على جنبه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أنّ الإنقاء غيرُ ظاهرٍ في إرادة التطهير الشرعي،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المراد تطهيره وهو لا يتحقّق إلّابها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وجبت الإزالة الحُكميّة فالعينيّة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وباعتبار طهارة ماء الغُسل، فلو لم تزل النجاسة أوّلاً لتنجّس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كلّاً من الموت والنجاسة العارضة سببٌ لوجوب غَسل البدن، فإذا تحقّق السببان وَجَب أن يتعدّد حكمهما؛ لأنّ التداخل خلاف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تحقّق الطهارة الحَدَثيّة والخَبَثيّة الذّاتيّة، مع عدم إزالة النجاسة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الأولويّة ممنوعة، مع أنّها لو ثبتتْ‌، فإنّما تقتضي الوجوب النفسي، من غير فرقٍ بين تقديم الإزالة على الغُسل وتأخيرها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مدرك اعتبار طهارة الماء في المقام، ليس إلّاالقاعدة المصطادة من النصوص، المُجمع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في مبحث غُسل الجنابة</w:t>
      </w:r>
      <w:r>
        <w:rPr>
          <w:rStyle w:val="FootnoteAnchor"/>
          <w:rtl w:val="true"/>
        </w:rPr>
        <w:footnoteReference w:id="1271"/>
      </w:r>
      <w:r>
        <w:rPr>
          <w:rFonts w:ascii="Amiri" w:hAnsi="Amiri" w:eastAsia="Amiri" w:cs="Amiri"/>
          <w:color w:val="111111"/>
          <w:sz w:val="28"/>
          <w:sz w:val="28"/>
          <w:szCs w:val="28"/>
          <w:rtl w:val="true"/>
          <w:lang w:bidi="ar-SA"/>
        </w:rPr>
        <w:t>أنّ موردها النجاسة قبل الاستعمال، فلا تشمل النجاسة الحاصلة به، مع أنّ هذا الوجه لا يقتضي اعتبار الطهارة إذا غُسل بالماء الكثير الذي لاينفعل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عدم الاجتزاء بغُسلٍ واحد لرفعهما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رفع الخَبَث في الغسل،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فمقتضى ما ذكرناه من الأدلّة، إنّما هو وجوب إزالة النجاسة عن كلّ عضوٍ قبل غُسل ذلك العضو، لا قبل الشروع في الغُسل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فاقتضائه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المقام، فلأنّ ظاهرها في بادئ النظر وإنْ كان اعتبار إزالة النجاسة قبل الغُسل، إلّاأنّ شدّة المناسبة بين تطهير الموضع مقدّمةً لغَسل نفس هذا العضو، وبعد مدخليّته في صحّة غَسل سائر الأجزاء، توجبُ ظهورها في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72"/>
      </w:r>
      <w:r>
        <w:rPr>
          <w:rFonts w:ascii="Amiri" w:hAnsi="Amiri" w:eastAsia="Amiri" w:cs="Amiri"/>
          <w:color w:val="111111"/>
          <w:sz w:val="28"/>
          <w:sz w:val="28"/>
          <w:szCs w:val="28"/>
          <w:rtl w:val="true"/>
          <w:lang w:bidi="ar-SA"/>
        </w:rPr>
        <w:t>الإجماع على وجوب التقديم على الغُسل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الجمود على ظاهر معاقد إجماعاتهم، وإنْ كان يوهم ذلك، إلّاأنّه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التدبّر فيها يظهر أنّ مرادهم ما ذكرناه، كيف وقد استدلّوا على ما ادّعوه بالوجوه المتقدّمة، التي لا يكون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التقديم على الغُسل، كما لا يخفى على من لاحظها، وهذا نظير ما ذكروه في غُسل الجنابة من وجوب إزالة النجاسة أوّلاً ثمّ الاغتسال ثانياً، وادّعوا أنّ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كفاية إزالة النجاسة عن كلّ عضوٍ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إشكالٌ معروف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بناءً على ما هو المشهور المنصور، من كون بدن الميّت نجساً، لايتصوّر تطهير بدنه قبل الغُسل، فإنّ نجس العين لا يَطْهُر، ومن هذه الجهة استظهر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الأصحاب من وجوب إزالة النجاسة وجوب إزالة العين دون الأثر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جُلُّ مَنْ تأخّر عنه، بأنّ الطهارة والنجاسة توقيفيّتان، فلا مانع من أنْ يتأثّر عين النجاسة بنجاسةٍ اُخرى‌، ويرتفع أثرها بالتطهير، فمع مساعدة الدليل نلتزم به، وقد مرّ ما يدلّ على ذلك، فراجع</w:t>
      </w:r>
      <w:r>
        <w:rPr>
          <w:rFonts w:eastAsia="Amiri" w:cs="Amiri" w:ascii="Amiri" w:hAnsi="Amiri"/>
          <w:color w:val="111111"/>
          <w:sz w:val="28"/>
          <w:szCs w:val="28"/>
          <w:rtl w:val="true"/>
          <w:lang w:bidi="ar-SA"/>
        </w:rPr>
        <w:t>.</w:t>
      </w:r>
      <w:bookmarkStart w:id="414" w:name="pg11796_113693"/>
    </w:p>
    <w:p>
      <w:pPr>
        <w:pStyle w:val="Heading6"/>
        <w:numPr>
          <w:ilvl w:val="5"/>
          <w:numId w:val="1"/>
        </w:numPr>
        <w:rPr/>
      </w:pPr>
      <w:bookmarkStart w:id="415" w:name="__RefHeading___Toc10362044_73709187"/>
      <w:bookmarkStart w:id="416" w:name="_Toc157"/>
      <w:bookmarkEnd w:id="414"/>
      <w:bookmarkEnd w:id="415"/>
      <w:r>
        <w:rPr>
          <w:rtl w:val="true"/>
        </w:rPr>
        <w:t>مقدار السِّدر والكافور</w:t>
      </w:r>
      <w:bookmarkEnd w:id="416"/>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السِّدر والكافور أنْ لا يكون في طرف الكثرة، بحيث يسلب إطلاق الماء،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 والشهيد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الميّت كيف يُغسّل‌؟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وسدرٍ، واغسل جَسَده كلّه، واغسله بماءٍ وكافور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مسكان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يُفاض عليه الماء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في الماء شيءٌ من السِّدر وشيءٌ من الكافور</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جملةٌ من الأخبار توهم منافاتها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صدق الماء المضاف، كخبر عبد اللّه الكاهلي، عن الإمام الصادق عليه السلام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التعبير بالغُسل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بغَسل رأسه برغوة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كمرسل يونس، عنهم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واعمَد إلى السِّدر فصيّره في طشت، وصبّ عليه الماء، واضربه بيديك حتّى ترفع رَغوته، واعزل الرغوة في شيءٍ‌، وصبّ الآخر في الإجانة التي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الصحيح أنّ شيئاً من هذه الطوائف لا ينافي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مطلقة شاملة للمضاف وغيره، لتضمّنها كون الماء فيه شيءٌ من السِّدر والكافور، والملابسة تكفي في الإضافة، وعليه فيقيّد إطلاقها بما تقدّم، ممّا دلَّ على اعتبار الإطلاق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ظاهرها اعتبار استعمال السِّدر أوّلاً، ثمّ إزالته بالماء أخْذاً بظهور الغُسل والسِّدر، وحيث أنّه لا قائل باعتبار ذلك، وإنْ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غَسل الرأس أوّلاً بالرغوة ثمّ يُغسّل، والنصوص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 بعضها تدلّ على عدم وجوب ذلك، فيتعيّن صرفها عن ظاهرها، وحملها على إرادة الغُسل بماءٍ مخلوطٍ بالسِّدر، فحينئذٍ تكون مطلقة تقيّد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المرسل إنّما يدلّ على أنّه يُغسّل بالماء الذي تحت الرغوة، والإرغاء لا يستلزم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وجوب غَسل الرأس بالرغوة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قوله عليه السلام بعد الأمر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واجتهد أنْ لا يدخل الماء منخريه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اعتبار غَسل الرأس أيضاً بالماء الذي كان في الإجانة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يدلّ على لزوم غَسل الرأس بالرغوة قبل الغُسل الواجب، وستعرف في المستحبّات أنّه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طرف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طرف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أن يكون بمقدار يصدق الغُسل بماء السِّدر والكافور، فلو كان الخليط بمقدار يستهلك في الماء، لا يكفي ذلك، للأمر بالغُسل بماءٍ وسدرٍ وماءٍ وكافور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صحيح ابن يقطين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في الماء شيءٌ من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سُلّم إطلاقه بنحوٍ يشمل ما لو استهلك، يقيّد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وغيرها</w:t>
      </w:r>
      <w:r>
        <w:rPr>
          <w:rStyle w:val="FootnoteAnchor"/>
          <w:rtl w:val="true"/>
        </w:rPr>
        <w:footnoteReference w:id="1286"/>
      </w:r>
      <w:r>
        <w:rPr>
          <w:rFonts w:ascii="Amiri" w:hAnsi="Amiri" w:eastAsia="Amiri" w:cs="Amiri"/>
          <w:color w:val="111111"/>
          <w:sz w:val="28"/>
          <w:sz w:val="28"/>
          <w:szCs w:val="28"/>
          <w:rtl w:val="true"/>
          <w:lang w:bidi="ar-SA"/>
        </w:rPr>
        <w:t>من الاكتفاء بالمسمّى، فيكون المراد كونه بمقدار لا يُستهلك، ويصدق المُسمّى‌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إليه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من اعتبار صدق الخلط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فالإيراد عليهم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w:t>
      </w:r>
      <w:r>
        <w:rPr>
          <w:rStyle w:val="FootnoteAnchor"/>
          <w:rtl w:val="true"/>
        </w:rPr>
        <w:footnoteReference w:id="1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تقدير ذلك قيل مقدار سبع وَرِقات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أبو عبداللّه عليه السلام أنْ أعصر بطنه ثمّ أوضيّه بالأشنان، ثمّ أغسل رأسه بالسِّدر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وبالماء القَراح، وأطرح فيه سبع وَرقات سدر</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منافاته لما دلَّ على أنّه لا يُغسّل الصدِّيق إلّاالصدِّيق، وعدم إفتاء الأصحاب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ما نحن فيه، فإنّه متضمّنٌ للأمر بطرحها في الماء القَراح،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السِّدر برطلٍ‌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برطلٍ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عليهما دليل، اللّهُمَّ إلّاأن يكون مرادهما أنّ أقلّ ما يصدق عليه الماء والسِّدر، هو ما إذا خُلِط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بهذا المقدار،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الكافور بنصف مثقال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موثّق عمّار، عن أبي عبد اللّه عليه السلام من تقديره بنصف حبّةٍ‌،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 أنّ المراد بالحبّة المثقال</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كما ورد في مرسل</w:t>
      </w:r>
      <w:r>
        <w:rPr>
          <w:rStyle w:val="FootnoteAnchor"/>
          <w:rtl w:val="true"/>
        </w:rPr>
        <w:footnoteReference w:id="1297"/>
      </w:r>
      <w:r>
        <w:rPr>
          <w:rFonts w:ascii="Amiri" w:hAnsi="Amiri" w:eastAsia="Amiri" w:cs="Amiri"/>
          <w:color w:val="111111"/>
          <w:sz w:val="28"/>
          <w:sz w:val="28"/>
          <w:szCs w:val="28"/>
          <w:rtl w:val="true"/>
          <w:lang w:bidi="ar-SA"/>
        </w:rPr>
        <w:t>يونس الأمر بإلقاء حبّات كافور، لكنّه محمولٌ على الفضل، كما أنّ ما في رواية</w:t>
      </w:r>
      <w:r>
        <w:rPr>
          <w:rStyle w:val="FootnoteAnchor"/>
          <w:rtl w:val="true"/>
        </w:rPr>
        <w:footnoteReference w:id="1298"/>
      </w:r>
      <w:r>
        <w:rPr>
          <w:rFonts w:ascii="Amiri" w:hAnsi="Amiri" w:eastAsia="Amiri" w:cs="Amiri"/>
          <w:color w:val="111111"/>
          <w:sz w:val="28"/>
          <w:sz w:val="28"/>
          <w:szCs w:val="28"/>
          <w:rtl w:val="true"/>
          <w:lang w:bidi="ar-SA"/>
        </w:rPr>
        <w:t>تغسيل الوصيّ عليه السلام النبيَّ صلى الله عليه و آله من ثلاثة مثاقيل، محمولة 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17" w:name="pg11796_113698"/>
    </w:p>
    <w:p>
      <w:pPr>
        <w:pStyle w:val="Heading6"/>
        <w:numPr>
          <w:ilvl w:val="5"/>
          <w:numId w:val="1"/>
        </w:numPr>
        <w:rPr/>
      </w:pPr>
      <w:bookmarkStart w:id="418" w:name="__RefHeading___Toc10362046_73709187"/>
      <w:bookmarkStart w:id="419" w:name="_Toc158"/>
      <w:bookmarkEnd w:id="417"/>
      <w:bookmarkEnd w:id="418"/>
      <w:r>
        <w:rPr>
          <w:rtl w:val="true"/>
        </w:rPr>
        <w:t>تعذّر السِّدر والكافور</w:t>
      </w:r>
      <w:bookmarkEnd w:id="419"/>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الكافور والسِّدر، وجب التَغسيل بالماء القَراح بلا خلافٍ أجده بين كلّ من تعرّض لذلك من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الاتّفاق عليه، ولا يشعر بعدم الوجوب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02"/>
      </w:r>
      <w:r>
        <w:rPr>
          <w:rFonts w:ascii="Amiri" w:hAnsi="Amiri" w:eastAsia="Amiri" w:cs="Amiri"/>
          <w:color w:val="111111"/>
          <w:sz w:val="28"/>
          <w:sz w:val="28"/>
          <w:szCs w:val="28"/>
          <w:rtl w:val="true"/>
          <w:lang w:bidi="ar-SA"/>
        </w:rPr>
        <w:t xml:space="preserve">من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بأس بالغسل بالماء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أنّهما أرادا بذلك الوجوب، لأنّه إذا جاز وَجَب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إنْ كان واحدٌ من الأغسال عملٌ واحدٌ، وعليه فتعذّر أحد الخليطين أو كليهما، لا يوجب سقوط وجوب الغُسل،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الأدلّة خلافه كما ستعرف في التنبيه السابع، فإذاً 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وجوب غُسلٍ واحد أو ثلاثة أغسال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w:t>
      </w:r>
      <w:r>
        <w:rPr>
          <w:rStyle w:val="FootnoteAnchor"/>
          <w:rtl w:val="true"/>
        </w:rPr>
        <w:footnoteReference w:id="1310"/>
      </w:r>
      <w:r>
        <w:rPr>
          <w:rFonts w:ascii="Amiri" w:hAnsi="Amiri" w:eastAsia="Amiri" w:cs="Amiri"/>
          <w:color w:val="111111"/>
          <w:sz w:val="28"/>
          <w:sz w:val="28"/>
          <w:szCs w:val="28"/>
          <w:rtl w:val="true"/>
          <w:lang w:bidi="ar-SA"/>
        </w:rPr>
        <w:t>، والمحقّق</w:t>
      </w:r>
      <w:r>
        <w:rPr>
          <w:rStyle w:val="FootnoteAnchor"/>
          <w:rtl w:val="true"/>
        </w:rPr>
        <w:footnoteReference w:id="1311"/>
      </w:r>
      <w:r>
        <w:rPr>
          <w:rFonts w:ascii="Amiri" w:hAnsi="Amiri" w:eastAsia="Amiri" w:cs="Amiri"/>
          <w:color w:val="111111"/>
          <w:sz w:val="28"/>
          <w:sz w:val="28"/>
          <w:szCs w:val="28"/>
          <w:rtl w:val="true"/>
          <w:lang w:bidi="ar-SA"/>
        </w:rPr>
        <w:t>، والشهيد</w:t>
      </w:r>
      <w:r>
        <w:rPr>
          <w:rStyle w:val="FootnoteAnchor"/>
          <w:rtl w:val="true"/>
        </w:rPr>
        <w:footnoteReference w:id="1312"/>
      </w:r>
      <w:r>
        <w:rPr>
          <w:rFonts w:ascii="Amiri" w:hAnsi="Amiri" w:eastAsia="Amiri" w:cs="Amiri"/>
          <w:color w:val="111111"/>
          <w:sz w:val="28"/>
          <w:sz w:val="28"/>
          <w:szCs w:val="28"/>
          <w:rtl w:val="true"/>
          <w:lang w:bidi="ar-SA"/>
        </w:rPr>
        <w:t>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 المركّب ينتفي بانتفاء أحد جزئيه، فمع تعذّر أحد الجزئين يسقط الأمر بالمركّب، فثبوت تكليفٍ آخر بالجزء الميسور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إنّما دلّت على الأمر بتغسيله بماءٍ وسدر، فالمامور به شيئان متمايزان، وإنْ امتزجا في الخارج، فلا وجه لسقوط الأمر بأحدهما لأجل تعذّر الآخر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w:t>
      </w:r>
      <w:r>
        <w:rPr>
          <w:rStyle w:val="FootnoteAnchor"/>
          <w:rtl w:val="true"/>
        </w:rPr>
        <w:footnoteReference w:id="1314"/>
      </w:r>
      <w:r>
        <w:rPr>
          <w:rFonts w:ascii="Amiri" w:hAnsi="Amiri" w:eastAsia="Amiri" w:cs="Amiri"/>
          <w:color w:val="111111"/>
          <w:sz w:val="28"/>
          <w:sz w:val="28"/>
          <w:szCs w:val="28"/>
          <w:rtl w:val="true"/>
          <w:lang w:bidi="ar-SA"/>
        </w:rPr>
        <w:t>على أنّ المُحْرِم كالمُحلّ في الغُسل وغيره، إلّاأنّه لا يقربه الكافور، فإنّه يدلّ على وجوب تغسيل المُحْرِم بالماء القَراح، بدلاً من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الكافور، وحيث أنّ المتعذّر عقلاً كالمعتذّر شرعاً، فيثبت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غير مرّةٍ في هذا الشرح، أنّه لايعتمد عليها في موارد تعذّر الجزء أو الشرط، لعدم ظهورها في إرادة عدم سقوط الميسور من الأجزاء بالمعسور منها، بل ظاهرها عدم سقوط الميسور من الأفراد بالمعسور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15"/>
      </w:r>
      <w:r>
        <w:rPr>
          <w:rFonts w:ascii="Amiri" w:hAnsi="Amiri" w:eastAsia="Amiri" w:cs="Amiri"/>
          <w:color w:val="111111"/>
          <w:sz w:val="28"/>
          <w:sz w:val="28"/>
          <w:szCs w:val="28"/>
          <w:rtl w:val="true"/>
          <w:lang w:bidi="ar-SA"/>
        </w:rPr>
        <w:t>ظهور التسالم عليها في المقام، لبنائهم على جريانها لإثبات عدم سقوط الغُسل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سقوط الغُسل بالماء القَراح، عند تعذّر الخليطين، وإنْ كان ممّا لا كلام فيه عندهم، إلّاأنّه لم يثبت استنادهم إلى القاعدة في بنائهم هذا، مع أنّ العمل بها في الماء القَراح لا يلازم العمل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اختصاصه بصورة طروّ تعذّر الخليط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لايجري في موارد تعذّر الجزء، كما حقّقناه في محلّه، وأشرنا إلى وجهه في الجزء الأوّل من هذا الشرح، في مبحث الجبائر</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به أنّ كلّاً منهما مأمورٌ به مستقلّاً، من دون أن يكون مربوطاً بالآخر، فهو بديهي البطلان، فإنّ ظاهر الأدلّة أنّ الأمر واحدٌ،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أنّهما جزءان للمأمور به، وتعذّر أحدهما لا يوجب سقوط الآخر، فهو أمرٌ ممكنٌ‌، إلّاأنّه يحتاج في مقام الإثبات إلى الدليل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التعدّي من مورد ذلك الدليل إلى بقيّة الموارد، يتوقّف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إحراز المناط، وإحراز عدم دخل الخصوصيّة فيه، وإلّا فلا وجه للتعدّي، وحيث أنّه يُحتمل ذلك في المقام، فلا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فيما لو أُحرز عدم دخل الخصوصيّة، وأنّ المناط تعذّر الكافور من حيث كونه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أحرزنا أنّ تمام المناط هو العذر، كان التعدّي في محلّه، إذ المتعذّر عقلاً كالمتعذّر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ما أورده الشيخ الأعظم رحمه الله</w:t>
      </w:r>
      <w:r>
        <w:rPr>
          <w:rStyle w:val="FootnoteAnchor"/>
          <w:rtl w:val="true"/>
        </w:rPr>
        <w:footnoteReference w:id="1317"/>
      </w:r>
      <w:r>
        <w:rPr>
          <w:rFonts w:ascii="Amiri" w:hAnsi="Amiri" w:eastAsia="Amiri" w:cs="Amiri"/>
          <w:color w:val="111111"/>
          <w:sz w:val="28"/>
          <w:sz w:val="28"/>
          <w:szCs w:val="28"/>
          <w:rtl w:val="true"/>
          <w:lang w:bidi="ar-SA"/>
        </w:rPr>
        <w:t>بأنّ المتعذّر شرعاً كالمتعذّر عقلاً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أنّه عند تعذّر الماء، يُيمّم الميّت ثلاثة تيمّمات بدلاً عن الأغسال، فإنّه يجبُ أن يُيمّم في الفرض بدل 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تنقيح القول في ذلك في التنبيه السابع فانتظر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0" w:name="pg11796_113702"/>
    </w:p>
    <w:p>
      <w:pPr>
        <w:pStyle w:val="Heading6"/>
        <w:numPr>
          <w:ilvl w:val="5"/>
          <w:numId w:val="1"/>
        </w:numPr>
        <w:rPr/>
      </w:pPr>
      <w:bookmarkStart w:id="421" w:name="__RefHeading___Toc10362048_73709187"/>
      <w:bookmarkStart w:id="422" w:name="_Toc159"/>
      <w:bookmarkEnd w:id="420"/>
      <w:bookmarkEnd w:id="421"/>
      <w:r>
        <w:rPr>
          <w:rtl w:val="true"/>
        </w:rPr>
        <w:t>إذا كان الماء بمقدار غُسلٍ واحد</w:t>
      </w:r>
      <w:bookmarkEnd w:id="422"/>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من الماء إلّابمقدار 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يكن عنده الخليطان، تعيّن صرفه في الثالث، لما عرفت في التنبيه السابق من أنّ تعذّر الخليطين موجبٌ لسقوط وجوب الغُسلين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كانا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كون الأغسال الثلاثة مجموعها عملاً واحداً، يدخل المقام في الكبرى الكليّة التي أشرنا إليها غير مرّة من أنّ موارد التنافي بين الأوامر الضمنيّة، لا تكون من باب التزاحم، بل إنّما ترجع إلى التعارض، وأنّ مركز التنافي هو إطلاق الخطابين، ومقتضى القاعدة سقوط الإطلاقين، والرجوع إلى الأصل، وهو فيما نحن فيه التخيير بعد كون أصل وجوب الصرف في الجملة ممّا لا خلاف فيه، ولا 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كلُّ غُسلٍ عَمَلاً مستقلّاً، وواجباً غير مرتبط بالآخرين، فلا محالة تقع المزاحمة بين إطلاقات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العقل بالتخيير، إذ لم تثبت أهميّة الأخير، ولم يكن السبق في الوجود من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فعلى الأوّل يتعيّن صرفه في الأخير، وعلى الثاني يتعيّن صرفه في الأوّل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المحقّق في محلّه، كون السَّبق في الوجود من المرجِّحات، وأهميّة الأخير غير ثابتة، إذ لا وجه لها سوى 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من أنّه أقوى في التطهير، وعدم احتياجه إلى جُزءٍ آخر، وهو كما ترى‌، إذ لا دليل على قوّته في التطهير، وعدم احتياجه إلى جزءٍ آخر لا يوجب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الالتزام </w:t>
      </w:r>
    </w:p>
    <w:p>
      <w:pPr>
        <w:pStyle w:val="BookText"/>
        <w:rPr/>
      </w:pPr>
      <w:r>
        <w:rPr>
          <w:rFonts w:ascii="Amiri" w:hAnsi="Amiri" w:eastAsia="Amiri" w:cs="Amiri"/>
          <w:color w:val="111111"/>
          <w:sz w:val="28"/>
          <w:sz w:val="28"/>
          <w:szCs w:val="28"/>
          <w:rtl w:val="true"/>
          <w:lang w:bidi="ar-SA"/>
        </w:rPr>
        <w:t>بلزوم صرفه في الأوّل، كما هو المحكيّ عن المحقّق</w:t>
      </w:r>
      <w:r>
        <w:rPr>
          <w:rStyle w:val="FootnoteAnchor"/>
          <w:rtl w:val="true"/>
        </w:rPr>
        <w:footnoteReference w:id="1319"/>
      </w:r>
      <w:r>
        <w:rPr>
          <w:rFonts w:ascii="Amiri" w:hAnsi="Amiri" w:eastAsia="Amiri" w:cs="Amiri"/>
          <w:color w:val="111111"/>
          <w:sz w:val="28"/>
          <w:sz w:val="28"/>
          <w:szCs w:val="28"/>
          <w:rtl w:val="true"/>
          <w:lang w:bidi="ar-SA"/>
        </w:rPr>
        <w:t>، والشهيد</w:t>
      </w:r>
      <w:r>
        <w:rPr>
          <w:rStyle w:val="FootnoteAnchor"/>
          <w:rtl w:val="true"/>
        </w:rPr>
        <w:footnoteReference w:id="1320"/>
      </w:r>
      <w:r>
        <w:rPr>
          <w:rFonts w:ascii="Amiri" w:hAnsi="Amiri" w:eastAsia="Amiri" w:cs="Amiri"/>
          <w:color w:val="111111"/>
          <w:sz w:val="28"/>
          <w:sz w:val="28"/>
          <w:szCs w:val="28"/>
          <w:rtl w:val="true"/>
          <w:lang w:bidi="ar-SA"/>
        </w:rPr>
        <w:t>الثانيين، واختاره الشيخ الأعظم رحمه الله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الاستدلال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باشتراط التأخّر في غير الأوّل، فمع الإتيان به بلا سبقه عليه لم يؤت بما هو ميسورُ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استعماله في الأخير، يوجب تفويت جهةٍ زائدة، وهي الغُسل بالخليط، مع أنّه من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سقوط التكليف عن غير غُسلٍ واحد، لا محالة يسقط الترتيب، لأنّه إضافة قائمة بالمترتّبين، فهو على جميع التقادير غير لازم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صرفه في الأوّل أيضاً تفويتُ جهةٍ زائدة معتبرة في الأخير، وهي الخلوص من الخليط، مع أنّ أكثريّة أجزاء واجبٍ من أجزاء واجبٍ آخر لا تعدّ من المرجّحات،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بهذه الصورة، ما إذا كان السِّدر أو الكافور فقط موجوداً، فإنّه في الصورة الأولى يتعيّن صرفه في الأوّل، وفي الصورة الثانية في الثاني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3" w:name="pg11796_113704"/>
    </w:p>
    <w:p>
      <w:pPr>
        <w:pStyle w:val="BookText"/>
        <w:rPr/>
      </w:pPr>
      <w:bookmarkEnd w:id="423"/>
      <w:r>
        <w:rPr>
          <w:rFonts w:ascii="Amiri" w:hAnsi="Amiri" w:eastAsia="Amiri" w:cs="Amiri"/>
          <w:color w:val="111111"/>
          <w:sz w:val="28"/>
          <w:sz w:val="28"/>
          <w:szCs w:val="28"/>
          <w:rtl w:val="true"/>
          <w:lang w:bidi="ar-SA"/>
        </w:rPr>
        <w:t>ولو خيف تَناثُر لَحْمِه أو جِلده يُمِّم</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362050_73709187"/>
      <w:bookmarkStart w:id="425" w:name="_Toc160"/>
      <w:bookmarkEnd w:id="424"/>
      <w:r>
        <w:rPr>
          <w:rtl w:val="true"/>
        </w:rPr>
        <w:t>تعذّر الماء</w:t>
      </w:r>
      <w:bookmarkEnd w:id="425"/>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الماء،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تغسيله، فيما لو صبَّ عليه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 لَحمه أو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بلا خلافٍ ظاهر بين الأصحاب</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الفقها إلّاما عن الأوزاعي</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w:t>
      </w:r>
      <w:r>
        <w:rPr>
          <w:rStyle w:val="FootnoteAnchor"/>
          <w:rtl w:val="true"/>
        </w:rPr>
        <w:footnoteReference w:id="1326"/>
      </w:r>
      <w:r>
        <w:rPr>
          <w:rFonts w:ascii="Amiri" w:hAnsi="Amiri" w:eastAsia="Amiri" w:cs="Amiri"/>
          <w:color w:val="111111"/>
          <w:sz w:val="28"/>
          <w:sz w:val="28"/>
          <w:szCs w:val="28"/>
          <w:rtl w:val="true"/>
          <w:lang w:bidi="ar-SA"/>
        </w:rPr>
        <w:t>أدلّة بدليّة التراب من الماء، وأنّ التيمّم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تختصُّ بما إذا كان الماءُ وحده مطهّراً، ولا يشمل إطلاقها صورة اشتراك الغير معه كالسِّدر والكافور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أدلّة المقام، لا سيّما بعد ملاحظة ما ورد من أنّ الميّت يُغسَّل لصيرورته جُنُباً، وأنّ غُسله غُسل الجنابة، وأنّ المطهر منحصرٌ بالماء والتراب، كقولهم في بيان الطهور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المركوز في أذهان المتشرّعة، كون المطهر في المقام هو الماء، وأنّ الخليط شرط التأثير لا جزءُ المقتضي، </w:t>
      </w:r>
    </w:p>
    <w:p>
      <w:pPr>
        <w:pStyle w:val="BookText"/>
        <w:rPr/>
      </w:pPr>
      <w:r>
        <w:rPr>
          <w:rFonts w:ascii="Amiri" w:hAnsi="Amiri" w:eastAsia="Amiri" w:cs="Amiri"/>
          <w:color w:val="111111"/>
          <w:sz w:val="28"/>
          <w:sz w:val="28"/>
          <w:szCs w:val="28"/>
          <w:rtl w:val="true"/>
          <w:lang w:bidi="ar-SA"/>
        </w:rPr>
        <w:t>فيكون نظير الترتيب وغيره من شروط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إيرادٍ آخر، وهو اختصاص أدلّة البدليّة بصورة المطهّريّة من الحَدَث، ولا تشمل مطهّريّة الماء من الخَبَث، لما عرفت من دلالة النصوص على كونه مُحْدِثاً، مع أنّه لا ريب في مطهّريّة الماء فقط في صورة فَقْد الخليطين، كما لا يخفى‌، فمع تعذّر الماء يجبُ بَدَله، فيكون التيمّم بدلاً اضطراريّاً عن الغُسل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زيد بن علي، عن آبائه عليهم السلام،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وهو مجدورٌ، فإن غَسّلناه انسلخ‌؟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بالمجدور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صحيح عبد الرحمن بن الحجّاج،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نفر كانوا في سفرٍ أحدهم جُنُبٌ‌، والثاني ميّتٌ‌، والثالث على غير وضوءٍ‌، وحَضَرت الصَّلاة ومعهم ماءٌ يكفي أحدهم، من يأخذ الماء ويغتسل به، وكيف يصنعون‌؟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ويُدفن الميّت، ويتيمّم الذي عليه وضوء</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بعدم خصوصيّة المورد، وأنّها مُلغاة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الأصحاب اعتمدوا عليه، وعبّروا بمتنه في فتاويهم، فهو ضعيفٌ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بهذا السند غير مذكور في كتب الحديث، وإنّما الموجود فيها روايته عن 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المتن 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بسندٍ صحيح،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ويُدفن الميّت 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كما ذُكر، لكنّه لإرساله ومعارضته مع الصحيح لا يُعتمد عليه، فالخبر معاضدٌ 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وجوب التيمّم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عدد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ثلاثة تيمّمات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وغيرها</w:t>
      </w:r>
      <w:r>
        <w:rPr>
          <w:rStyle w:val="FootnoteAnchor"/>
          <w:rtl w:val="true"/>
        </w:rPr>
        <w:footnoteReference w:id="1334"/>
      </w:r>
      <w:r>
        <w:rPr>
          <w:rFonts w:ascii="Amiri" w:hAnsi="Amiri" w:eastAsia="Amiri" w:cs="Amiri"/>
          <w:color w:val="111111"/>
          <w:sz w:val="28"/>
          <w:sz w:val="28"/>
          <w:szCs w:val="28"/>
          <w:rtl w:val="true"/>
          <w:lang w:bidi="ar-SA"/>
        </w:rPr>
        <w:t>وجوب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والمنسوب إلى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بتيمّمٍ واحد، وربما استشعر من بعضٍ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الأغسال يوجب تعدّد بدلها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يتمّ لو ثبت كون كلّ غُسلٍ عملاً مستقلّاً، وأمّا بناءً على ثبوت كون مجموع الأغسال بمنزلة غُسلٍ واحد صادرٍ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يُستشهد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دلَّ على أنّ غُسلَه ليس إلّاغُسل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أنّه يترتّب على مجموع الأغسال أثرٌ واحد، وتكون خصوصيّة التعدّد من خصوصيّات المورد، وإلّا فمجموعها بمنزلة غُسلٍ واحد صادرٍ من الحَيّ‌، أو الشكّ في ذلك،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وجوب ما زاد على تيمّم واحد، فيرجع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الاكتفاء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المعروف في كيفيّته أنّه يُيمّم كما ييمّم الحَيّ العاجز، وستعرف في مبحث التيمّم</w:t>
      </w:r>
      <w:r>
        <w:rPr>
          <w:rStyle w:val="FootnoteAnchor"/>
          <w:rtl w:val="true"/>
        </w:rPr>
        <w:footnoteReference w:id="1336"/>
      </w:r>
      <w:r>
        <w:rPr>
          <w:rFonts w:ascii="Amiri" w:hAnsi="Amiri" w:eastAsia="Amiri" w:cs="Amiri"/>
          <w:color w:val="111111"/>
          <w:sz w:val="28"/>
          <w:sz w:val="28"/>
          <w:szCs w:val="28"/>
          <w:rtl w:val="true"/>
          <w:lang w:bidi="ar-SA"/>
        </w:rPr>
        <w:t>أنّ الأظهر فيه أنّ النائب يضرب بيدي العليل فيمسح بهما،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إطلاق لخبر زيد، بنحوٍ يدلّ على عدم لزوم الإعادة إذا ارتفع العذر، وأدلّة البدليّة إنّما تدلّ عليها في صورة العجز المطلق، لا في مقدار من الزمان المضروب للعمل، كما ستعرف في مبحث التيمّم، 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قبل الدفن، وكذلك فيما بعده إذا اتّفق خروجه، إلّاأنْ يدلّ دليلٌ على فوريّة وجوب الدفن ثانياً، فإنّه حينئذٍ يكون بحكم الفرض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الدفن مع عدم الخروج، فلا يجب، بل لا يجوز لتماميّة أدلّة البدليّة، كما لا يخفى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26" w:name="pg11796_113708"/>
    </w:p>
    <w:p>
      <w:pPr>
        <w:pStyle w:val="Heading6"/>
        <w:numPr>
          <w:ilvl w:val="5"/>
          <w:numId w:val="1"/>
        </w:numPr>
        <w:rPr/>
      </w:pPr>
      <w:bookmarkStart w:id="427" w:name="__RefHeading___Toc10362052_73709187"/>
      <w:bookmarkStart w:id="428" w:name="_Toc161"/>
      <w:bookmarkEnd w:id="426"/>
      <w:bookmarkEnd w:id="427"/>
      <w:r>
        <w:rPr>
          <w:rtl w:val="true"/>
        </w:rPr>
        <w:t>المقام الرابع</w:t>
      </w:r>
      <w:r>
        <w:rPr>
          <w:rtl w:val="true"/>
        </w:rPr>
        <w:t xml:space="preserve">: </w:t>
      </w:r>
      <w:r>
        <w:rPr>
          <w:rtl w:val="true"/>
        </w:rPr>
        <w:t>في شروط الغسل</w:t>
      </w:r>
      <w:bookmarkEnd w:id="428"/>
    </w:p>
    <w:p>
      <w:pPr>
        <w:pStyle w:val="Heading6"/>
        <w:numPr>
          <w:ilvl w:val="5"/>
          <w:numId w:val="1"/>
        </w:numPr>
        <w:rPr/>
      </w:pPr>
      <w:bookmarkStart w:id="429" w:name="__RefHeading___Toc10362054_73709187"/>
      <w:bookmarkStart w:id="430" w:name="_Toc162"/>
      <w:bookmarkEnd w:id="429"/>
      <w:r>
        <w:rPr>
          <w:rtl w:val="true"/>
        </w:rPr>
        <w:t>اعتبار نيّة القُربة في الغُسل</w:t>
      </w:r>
      <w:bookmarkEnd w:id="430"/>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إجماعاً</w:t>
      </w:r>
      <w:r>
        <w:rPr>
          <w:rStyle w:val="FootnoteAnchor"/>
          <w:rtl w:val="true"/>
        </w:rPr>
        <w:footnoteReference w:id="1337"/>
      </w:r>
      <w:r>
        <w:rPr>
          <w:rFonts w:ascii="Amiri" w:hAnsi="Amiri" w:eastAsia="Amiri" w:cs="Amiri"/>
          <w:color w:val="111111"/>
          <w:sz w:val="28"/>
          <w:sz w:val="28"/>
          <w:szCs w:val="28"/>
          <w:rtl w:val="true"/>
          <w:lang w:bidi="ar-SA"/>
        </w:rPr>
        <w:t>لما ذكرناه في الوضوء، وتعتبر فيه نيّة القُربة، كما هو المنسوب إلى ظاهر المذهب</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في الواجبات هي التعبّديّة، حتّى يثبت خلافها، وحيث لم يثبت في المقام، فلابدَّ من البناء على كونه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أنّه كغُسل الجنابة</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تلك النصوص أنّه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الواجبات كونها توصّليّة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الواجبات إلّاقليلاً منها 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مستلزمٌ لتخصيص الأكثر، فلا يُراد منها أنّ مفاد الآية الشريفة أحد اُمور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أهل الكتاب إنّما اُمروا بعبادة اللّه تعالى لا غير، والتفرّق إنّما نَشأ من </w:t>
      </w:r>
    </w:p>
    <w:p>
      <w:pPr>
        <w:pStyle w:val="BookText"/>
        <w:rPr/>
      </w:pPr>
      <w:r>
        <w:rPr>
          <w:rFonts w:ascii="Amiri" w:hAnsi="Amiri" w:eastAsia="Amiri" w:cs="Amiri"/>
          <w:color w:val="111111"/>
          <w:sz w:val="28"/>
          <w:sz w:val="28"/>
          <w:szCs w:val="28"/>
          <w:rtl w:val="true"/>
          <w:lang w:bidi="ar-SA"/>
        </w:rPr>
        <w:t>قِبل أنفسهم، ويشهد لذلك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راجعٌ إلى أهل الكتاب المذكورين قبل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المؤمنين في مقام العبادة لم يؤمَروا إلّابعبادة اللّه تعالى‌، فهي في مقام حصر المعبود في اللّه، لا في مقام حال الأوامر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غاية الغايات هي عبادة اللّه تعالى، وهي الغرض الأصلي من التكاليف، بل من إرسال الرُّسل وإنزال الكتب، بل مِنْ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 الظاهر كون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الغرض، وليس ما بعدها متعلّقاً للأمر، فإنّه لا يتعدّى بها إلّالذلك، كما يظهر لمَن راجع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الآية أجنبيّة عمّا استدلّ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تبعيّة عنوان الفعل للقصد، فإنْ فعله للّه يقع له وإلّا فلا كما ورد في المجاهد من أنّه إنْ جاهد فالعمل له، وإنْ جاهد لطلب المال فله ما نوى‌، فهو ليس في مقام بيان أنّ الأوامر الشرعيّة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يدلّ دليلٌ على اعتبارها في مطلق غُسل الجنابة لعدم الإطلاق له، فيمكن أن يختصّ بالجُنُب غير الميّت الذي هو بنفسه مباشرٌ للغُسل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عباديّته من مرتكزات المتشرّعة، ليس إلّالعدم الفرق عندهم بين ذلك وبين بقيّة الطهارات في 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جماعةٍ من متأخّري المتأخّرين، من التردّد في اعتبارها في غير محلّه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اثنان يجبُ على كلٍّ منهما النيّة، لأنّهما بمنزلة غاسلٍواحد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غاسلاً والآخر مُعيناً، وجب على الأوّل خاصّة بلا خلاف، وإنّما الخلاف في تمييز الغاسل عن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على ما نُسب إليهم أنّ الغاسل حقيقةً هو الذي يصبّ الماء، والمُقلّب 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العكس، وهو الظاهر من النصوص،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رجلٍ مات، وليس عنده إلّا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وتصبّ النساء عليه الماء صبّاً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w:t>
      </w:r>
      <w:r>
        <w:rPr>
          <w:rStyle w:val="FootnoteAnchor"/>
          <w:rtl w:val="true"/>
        </w:rPr>
        <w:footnoteReference w:id="1345"/>
      </w:r>
      <w:r>
        <w:rPr>
          <w:rFonts w:ascii="Amiri" w:hAnsi="Amiri" w:eastAsia="Amiri" w:cs="Amiri"/>
          <w:color w:val="111111"/>
          <w:sz w:val="28"/>
          <w:sz w:val="28"/>
          <w:szCs w:val="28"/>
          <w:rtl w:val="true"/>
          <w:lang w:bidi="ar-SA"/>
        </w:rPr>
        <w:t>البصري، وحَسَن الحلبي</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لإنكار ظهورها في أنّ الذي يصبّ الماء غير الذي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شرعاً عبارة عن جريان الماء على المحلّ‌، وهو إنّما يحصل بفعل الذي يصبّ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فيما إذا كان الصادر منه هو التقليب خاصّة، فإنّه حينئذٍ يكون كالآلة، ولذا يجوز أن يكون المُقلِّب طفلاً غير مميّز بل بهيمة، بل قد يكفي تقليب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غير مشمول للنصوص المتقدّمة، فإنّ الظاهر منها هو ما إذا كان المقلّب مجرياً للماء من موضعٍ إلى موضع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كلّ عضوٍ قبل الشروع في غَسله كما تقدّم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إجماعاً ونصوصاً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الماء وظرفه ومصبّ الماء في صورة الانحصار، لما تقدّم في مبحث الوضوء، فراجع</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ولا يشترط فيه أن يكون الغُسل بعد برده، لإطلاق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48"/>
      </w:r>
      <w:r>
        <w:rPr>
          <w:rFonts w:ascii="Amiri" w:hAnsi="Amiri" w:eastAsia="Amiri" w:cs="Amiri"/>
          <w:color w:val="111111"/>
          <w:sz w:val="28"/>
          <w:sz w:val="28"/>
          <w:szCs w:val="28"/>
          <w:rtl w:val="true"/>
          <w:lang w:bidi="ar-SA"/>
        </w:rPr>
        <w:t>أنّ الحرارة من لوازم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كونها من لوازم الحياة بعد كونها ثابتة في حال الموت، لا تتنافى مع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يشترط وحدة الغاسل، بلا خلاف،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الخطاب إلى الواحد في جملةٍ من النصوص، لا يدلّ على اعتبار ذلك، بعد توجيهه إلي الجماعة في جملةٍ اُخرى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أيضاً نزع القميص، فيجوز تغسيل الميّت من وراء الثياب، كما هو المشهور</w:t>
      </w:r>
      <w:r>
        <w:rPr>
          <w:rStyle w:val="FootnoteAnchor"/>
          <w:rtl w:val="true"/>
        </w:rPr>
        <w:footnoteReference w:id="134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5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العُمّاني</w:t>
      </w:r>
      <w:r>
        <w:rPr>
          <w:rStyle w:val="FootnoteAnchor"/>
          <w:rtl w:val="true"/>
        </w:rPr>
        <w:footnoteReference w:id="1351"/>
      </w:r>
      <w:r>
        <w:rPr>
          <w:rFonts w:ascii="IRNazanin" w:hAnsi="IRNazanin" w:eastAsia="IRNazanin"/>
          <w:color w:val="111111"/>
          <w:sz w:val="28"/>
          <w:sz w:val="28"/>
          <w:szCs w:val="28"/>
          <w:rtl w:val="true"/>
          <w:lang w:bidi="fa-IR"/>
        </w:rPr>
        <w:t>وظاهر الصدوق</w:t>
      </w:r>
      <w:r>
        <w:rPr>
          <w:rStyle w:val="FootnoteAnchor"/>
          <w:rtl w:val="true"/>
        </w:rPr>
        <w:footnoteReference w:id="1352"/>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كونه من وراء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والمنسوب إلى المشهور</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التجريد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 عن ابن حمزة</w:t>
      </w:r>
      <w:r>
        <w:rPr>
          <w:rStyle w:val="FootnoteAnchor"/>
          <w:rtl w:val="true"/>
        </w:rPr>
        <w:footnoteReference w:id="1355"/>
      </w:r>
      <w:r>
        <w:rPr>
          <w:rFonts w:ascii="IRNazanin" w:hAnsi="IRNazanin" w:eastAsia="IRNazanin"/>
          <w:color w:val="111111"/>
          <w:sz w:val="28"/>
          <w:sz w:val="28"/>
          <w:szCs w:val="28"/>
          <w:rtl w:val="true"/>
          <w:lang w:bidi="fa-IR"/>
        </w:rPr>
        <w:t>وجوب النزع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يونس المرويّ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عليه قميصٌ‌، فأخرج يده من القميص، واجمع قميصه على عورته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يُغسَّل إلّافي قيمصٍ يُدخل رجلٌ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يكون عليه قميصٌ فغسّله من تحته</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على عدم وجوب النزع، بل رجحان العدم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مورد للعمل بظاهر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الكلام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يستحبّ تغسيله عرياناً مستور العورة، كما هو المشهور</w:t>
      </w:r>
      <w:r>
        <w:rPr>
          <w:rStyle w:val="FootnoteAnchor"/>
          <w:rtl w:val="true"/>
        </w:rPr>
        <w:footnoteReference w:id="136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يستحبّ تغسيله في قميصه، كما عن العُمّاني</w:t>
      </w:r>
      <w:r>
        <w:rPr>
          <w:rStyle w:val="FootnoteAnchor"/>
          <w:rtl w:val="true"/>
        </w:rPr>
        <w:footnoteReference w:id="1361"/>
      </w:r>
      <w:r>
        <w:rPr>
          <w:rFonts w:ascii="IRNazanin" w:hAnsi="IRNazanin" w:eastAsia="IRNazanin"/>
          <w:color w:val="111111"/>
          <w:sz w:val="28"/>
          <w:sz w:val="28"/>
          <w:szCs w:val="28"/>
          <w:rtl w:val="true"/>
          <w:lang w:bidi="fa-IR"/>
        </w:rPr>
        <w:t>، وظاهر الصدوق</w:t>
      </w:r>
      <w:r>
        <w:rPr>
          <w:rStyle w:val="FootnoteAnchor"/>
          <w:rtl w:val="true"/>
        </w:rPr>
        <w:footnoteReference w:id="1362"/>
      </w:r>
      <w:r>
        <w:rPr>
          <w:rFonts w:ascii="Amiri" w:hAnsi="Amiri" w:eastAsia="Amiri" w:cs="Amiri"/>
          <w:color w:val="111111"/>
          <w:sz w:val="28"/>
          <w:sz w:val="28"/>
          <w:szCs w:val="28"/>
          <w:rtl w:val="true"/>
          <w:lang w:bidi="ar-SA"/>
        </w:rPr>
        <w:t>، وبعض متأخّري المتأخّرين</w:t>
      </w:r>
      <w:r>
        <w:rPr>
          <w:rStyle w:val="FootnoteAnchor"/>
          <w:rtl w:val="true"/>
        </w:rPr>
        <w:footnoteReference w:id="1363"/>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مخيّرٌ بين الأمرين، كما عن المحقّق الثاني</w:t>
      </w:r>
      <w:r>
        <w:rPr>
          <w:rStyle w:val="FootnoteAnchor"/>
          <w:rtl w:val="true"/>
        </w:rPr>
        <w:footnoteReference w:id="136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بالمرسل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الثوب ينجس بذلك، ولا يطهر بصبّ الماء، فيتنجّس الميّت والغاسل، ولأجلهما تُحمل النصوص الآمرة بتغسيله في قميصه على إرادة عدم تغسيله مكشوف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 لا يدلّ على مسلك المشهور، إذ في ذيله بعد الأمر بجعل قميصه على عورته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وارفعه من رجليه إلى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الالتزام بكون ما فوق الرّكبة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حمله على إرادة بيان ما هو الأسهل في التغسيل، فلا ينافي استحباب تغسيله في قميصه، فلا معارض لظهور النصوص المتقدّمة في استحباب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الأقوى هو القول الثاني، كما أنّه ظهر مدرك القول الثالث وضعفه</w:t>
      </w:r>
      <w:r>
        <w:rPr>
          <w:rFonts w:eastAsia="Amiri" w:cs="Amiri" w:ascii="Amiri" w:hAnsi="Amiri"/>
          <w:color w:val="111111"/>
          <w:sz w:val="28"/>
          <w:szCs w:val="28"/>
          <w:rtl w:val="true"/>
          <w:lang w:bidi="ar-SA"/>
        </w:rPr>
        <w:t>.</w:t>
      </w:r>
      <w:bookmarkStart w:id="431" w:name="pg11796_113714"/>
    </w:p>
    <w:p>
      <w:pPr>
        <w:pStyle w:val="BookText"/>
        <w:rPr/>
      </w:pPr>
      <w:bookmarkEnd w:id="431"/>
      <w:r>
        <w:rPr>
          <w:rFonts w:ascii="Amiri" w:hAnsi="Amiri" w:eastAsia="Amiri" w:cs="Amiri"/>
          <w:color w:val="111111"/>
          <w:sz w:val="28"/>
          <w:sz w:val="28"/>
          <w:szCs w:val="28"/>
          <w:rtl w:val="true"/>
          <w:lang w:bidi="ar-SA"/>
        </w:rPr>
        <w:t>ويُستحبُّ وقوفُ الغاسل على يمينه، وغَمْز بطنه في الغَسْلَتين الأولتين، والذِّكر والإستغفار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الغُسل</w:t>
      </w:r>
    </w:p>
    <w:p>
      <w:pPr>
        <w:pStyle w:val="Heading6"/>
        <w:numPr>
          <w:ilvl w:val="5"/>
          <w:numId w:val="1"/>
        </w:numPr>
        <w:rPr/>
      </w:pPr>
      <w:bookmarkStart w:id="432" w:name="__RefHeading___Toc10362056_73709187"/>
      <w:bookmarkStart w:id="433" w:name="_Toc163"/>
      <w:bookmarkEnd w:id="432"/>
      <w:r>
        <w:rPr>
          <w:rtl w:val="true"/>
        </w:rPr>
        <w:t>المقام الخامس</w:t>
      </w:r>
      <w:r>
        <w:rPr>
          <w:rtl w:val="true"/>
        </w:rPr>
        <w:t xml:space="preserve">: </w:t>
      </w:r>
      <w:r>
        <w:rPr>
          <w:rtl w:val="true"/>
        </w:rPr>
        <w:t>في بيان آداب الغُسل</w:t>
      </w:r>
      <w:r>
        <w:rPr>
          <w:rtl w:val="true"/>
        </w:rPr>
        <w:t>.</w:t>
      </w:r>
      <w:bookmarkEnd w:id="4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وقوفُ الغاسل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مدركٍ له سوى فتوى المشهور، المعتَضد بذلك، وبما دلَّ على رجحان التيامن مطلقاً، وفي كفايته لثبوت هذا الحكم نظرٌ واضح، فالأظهر ما عن المحقّق وكاشف اللّثام من عدم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وغَمْز بطنه في الغسلتين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قبلهما حتّى يخرج من مخرجه ما يخرج، للخبر الموثّق المرويّ عن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الميّت امرأةً حاملاً، ومات ولدها في بطنها</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حُسن السعي لإخراج ما يخرج من مخرجها، إذ لا يؤمَن معه الإجهاض، فلا يشملها الموثّق، بل النبويّ تضمّن النهي عنه، وهو خبر أُمّ أنس بن مالك،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توفّيت المرأة فإنْ أرادوا أن يُغسّلوها، فليبدأوا ببطنها، فلتُمسح مسحاً رفيقاً إنْ لم تكن حُبلى، وإنْ كانت حُبلى فلا تُحرّكيها</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 والإستغفار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لمصحّح ابراهيم بن عمر،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غسّل مؤمناً وهو يقول وهو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إلّاعَفى اللّه عنه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يكون بما في خبر سعد الإسكاف، عن مولانا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بدنُ عَبدك المؤمن، خَرَجتْ روحُه منه، أو فرّقت بينهما، فَعَفوك عَفوك، إلّاغَفَر اللّه عزّ و جلّ له ذنوب سنةٍ إلّاالكبائر</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وإرسالُ الماءِ إلى حفيرةٍ‌، وتَغسيلَهُ تحت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الماء إلى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تُحفر حفيرةً عند رِجْل الميّت كي يجري إليها 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غُسّل، يُحفر له موضع المغتسل تجاه القبلة، فيكون مستقبل باطن قدميه ووجهه إلى القبلة</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وتغسيله تحت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ويدلّ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طلحة بن زيد،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كان يُستحبّ أن يجعل بين الميّت وبين السماء سترٌ إذا غُسِّل</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الميّت هل يُغسّل في الفضاء؟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سُتِر بسترٍ فهو أحبّ إليّ‌</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واستقبالُ القبلة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القبلة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المنسوب إلى المشهور</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وغيرهم في غيرها</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 بالأمر به في جملةٍ من النصوص، كحسن سليمان بن خالد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النصوص مشتملة على كثيرٍ من المستحبّات، فبقرينة السياق يُحمل هذا الأمر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يتعيّن حمله عليه،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على الإيراد الأوّل ما تكرّر منّا في هذا الشرح، من أنّ الاستحباب والوجوب إنّما ينتزعان من ترخيص الشارع في ترك المأمور به وعدمه، فإذا ورد الترخيص في ترك أحد الأمرين الّذين أمر بهما، دون أن يُرخَّص ترك الآخر، فإنّه لا سبيل إلى الالتزام باستحباب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إفتاء غير واحدٍ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على الاستحباب، بقرينة الخبر الصحيح الذي رواه علي بن يقطين،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كيفَ يُوضع على المُغتَسل‌؟ موجِّهاً وجهه نحو القبلة، أو يوضع على يمينه ووجهه نحو القبلة‌؟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بعد ملاحظة إعادة الجملة في إرادة عدم اعتبار الوضع بكيفيّة خاصّة، حتّى في صورة كون الاستقبال هو أحد أفراد المتيسّر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جميع ما أُورد على الاستدلال بالصحيح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الاستحباب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وغَسل رأسه وجَسَده برغوة السِّدر، وفَرْجه بالأشنان،</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برغوة السِّدر، وهو مذهب فقهاء أهل البيت عليهم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بالرَّغوة، وبالغ في ذلك واجتهد أن لا يدخل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وإنْكان الوجوب، إلّا أنّه للإجماع على عدمه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 برغوة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عبد اللّه عليه السلام أنْ اُوضّئه، ثمّ أغسله بالأشنان، وأغسل رأسه بالسِّدر ولحيته، ثمّ اُفيضَ على جسده منه، ثمّ أدلك به جسده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لأنّه وإنْ كان معارضاً مع ما هو أصحّ منه سنداً، المتضمّن أنّه لا يُغسّل الصدِّيق إلّاالصدِّيق، إلّاأنّه يستدلّ به في المقام لقاعدة التسامح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بالأشنان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الكاهلي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فابدأ بفرجه بماء السِّدر والحرض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الأشنان</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يُوضّأ، ويُحْشى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يُحْشى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لخبري يونس وعمّار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المستحبّات اُمورٌ لم يذكرها المصنّف رحمه الله، وقد أعرضنا عن ذكرها لإمكان الوقوف عليها، لمن راجع الأخبار في هذا الباب</w:t>
      </w:r>
      <w:r>
        <w:rPr>
          <w:rFonts w:eastAsia="Amiri" w:cs="Amiri" w:ascii="Amiri" w:hAnsi="Amiri"/>
          <w:color w:val="111111"/>
          <w:sz w:val="28"/>
          <w:szCs w:val="28"/>
          <w:rtl w:val="true"/>
          <w:lang w:bidi="ar-SA"/>
        </w:rPr>
        <w:t>.</w:t>
      </w:r>
      <w:bookmarkStart w:id="434" w:name="pg11796_113721"/>
    </w:p>
    <w:p>
      <w:pPr>
        <w:pStyle w:val="BookText"/>
        <w:rPr/>
      </w:pPr>
      <w:bookmarkEnd w:id="434"/>
      <w:r>
        <w:rPr>
          <w:rFonts w:ascii="Amiri" w:hAnsi="Amiri" w:eastAsia="Amiri" w:cs="Amiri"/>
          <w:color w:val="111111"/>
          <w:sz w:val="28"/>
          <w:sz w:val="28"/>
          <w:szCs w:val="28"/>
          <w:rtl w:val="true"/>
          <w:lang w:bidi="ar-SA"/>
        </w:rPr>
        <w:t>ويُكره إقعاده، وقَصّ أظافره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 الغُسل</w:t>
      </w:r>
    </w:p>
    <w:p>
      <w:pPr>
        <w:pStyle w:val="Heading6"/>
        <w:numPr>
          <w:ilvl w:val="5"/>
          <w:numId w:val="1"/>
        </w:numPr>
        <w:rPr/>
      </w:pPr>
      <w:bookmarkStart w:id="435" w:name="__RefHeading___Toc10362058_73709187"/>
      <w:bookmarkStart w:id="436" w:name="_Toc164"/>
      <w:bookmarkEnd w:id="435"/>
      <w:r>
        <w:rPr>
          <w:rtl w:val="true"/>
        </w:rPr>
        <w:t>المقام السادس</w:t>
      </w:r>
      <w:r>
        <w:rPr>
          <w:rtl w:val="true"/>
        </w:rPr>
        <w:t xml:space="preserve">: </w:t>
      </w:r>
      <w:r>
        <w:rPr>
          <w:rtl w:val="true"/>
        </w:rPr>
        <w:t>في المكروهات</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38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نسبته إلى علمائنا، ويشهد له خبر الكاهلي،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تُقْعِده</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كصريح ابن سعيد</w:t>
      </w:r>
      <w:r>
        <w:rPr>
          <w:rStyle w:val="FootnoteAnchor"/>
          <w:rtl w:val="true"/>
        </w:rPr>
        <w:footnoteReference w:id="1388"/>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هي الحرمة، إلّاأنّه محمولٌ على الكراهة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صحيح الفضل، عن الإمام الصادق عليه السلام، حيث سأله عن الميّت،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إقعده واغمز بطنه غَمْزاً رفيقاً</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لكونه موافقاً للعامّة على ما نقل عن جميعهم، فهو محمولٌ على التقيّة، أو على الجواز من جهة ورود الأمر مورد توهم الحظر،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 الكراهة لذلك ضعيفٌ‌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أظفاره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وتَرجيل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تسريحه وجَزّه ونتفه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مرجوحيّتهما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أنّهما من المكروهات أو المحرّمات‌؟</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393"/>
      </w:r>
      <w:r>
        <w:rPr>
          <w:rFonts w:ascii="Amiri" w:hAnsi="Amiri" w:eastAsia="Amiri" w:cs="Amiri"/>
          <w:color w:val="111111"/>
          <w:sz w:val="28"/>
          <w:sz w:val="28"/>
          <w:szCs w:val="28"/>
          <w:rtl w:val="true"/>
          <w:lang w:bidi="ar-SA"/>
        </w:rPr>
        <w:t xml:space="preserve">هو الأوّل،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علمائنا لا يجوزُ قصّ شيءٍ من شعر الميّت ولا ظُفره، ولا يُسرّح لحيته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لم يكن أقوى‌، فلا ريب في كونه أحوط، للنهي عنهما في جملةٍ من النصوص، كمرسل ابن أبي عُمير، عن بعض أصحابه،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ولا ظُفرٌ، وإنْ سقط منه شيءٌ فاجعله في كفنه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النهي محمولٌ على الكراهة، لإعراض معظم الأصحاب عن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وللتصريح بالكراهة في بعض النصوص، كخبر غياث،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أمير المؤمنين عليه السلام أن تُحلق عانة الميّت إذا غُسِّل، أو يُقلّم له ظفرٌ، أو يُجزّ له شعر</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طلحة بن زيد</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دعوى الإعراض، مع ذهاب جماعةٍ من الأساطين إلى الحرمة، ودعوى الإجماع عليها،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لم يفتِ بالحرمة، اختار كراهتهما، وهذا كاشفٌ عن استنادهم إلى هذه النصوص، غاية الأمر حملوها على الكراهة، والكراهة في النصوص أعمّ من الكراهة المصطلحة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7" w:name="pg11796_113724"/>
    </w:p>
    <w:p>
      <w:pPr>
        <w:pStyle w:val="Heading5"/>
        <w:numPr>
          <w:ilvl w:val="4"/>
          <w:numId w:val="1"/>
        </w:numPr>
        <w:rPr/>
      </w:pPr>
      <w:bookmarkStart w:id="438" w:name="__RefHeading___Toc10362060_73709187"/>
      <w:bookmarkStart w:id="439" w:name="_Toc165"/>
      <w:bookmarkEnd w:id="437"/>
      <w:bookmarkEnd w:id="438"/>
      <w:r>
        <w:rPr>
          <w:rtl w:val="true"/>
        </w:rPr>
        <w:t>البحث الثالث</w:t>
      </w:r>
      <w:r>
        <w:rPr>
          <w:rtl w:val="true"/>
        </w:rPr>
        <w:t xml:space="preserve">: </w:t>
      </w:r>
      <w:r>
        <w:rPr>
          <w:rtl w:val="true"/>
        </w:rPr>
        <w:t>التكفين</w:t>
      </w:r>
      <w:bookmarkEnd w:id="439"/>
    </w:p>
    <w:p>
      <w:pPr>
        <w:pStyle w:val="Heading6"/>
        <w:numPr>
          <w:ilvl w:val="5"/>
          <w:numId w:val="1"/>
        </w:numPr>
        <w:rPr/>
      </w:pPr>
      <w:bookmarkStart w:id="440" w:name="__RefHeading___Toc10362062_73709187"/>
      <w:bookmarkStart w:id="441" w:name="_Toc16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ويجب تكفينه في ثلاثة أثواب</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0362064_73709187"/>
      <w:bookmarkStart w:id="443" w:name="_Toc167"/>
      <w:bookmarkEnd w:id="442"/>
      <w:r>
        <w:rPr>
          <w:rtl w:val="true"/>
        </w:rPr>
        <w:t>تكفين الميّت</w:t>
      </w:r>
      <w:bookmarkEnd w:id="443"/>
    </w:p>
    <w:p>
      <w:pPr>
        <w:pStyle w:val="Heading6"/>
        <w:numPr>
          <w:ilvl w:val="5"/>
          <w:numId w:val="1"/>
        </w:numPr>
        <w:rPr/>
      </w:pPr>
      <w:bookmarkStart w:id="444" w:name="__RefHeading___Toc10362066_73709187"/>
      <w:bookmarkStart w:id="445" w:name="_Toc168"/>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تكفينه في ثلاث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غير واحدٍ من الأساطين</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الكلّ عليه سوى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يكفّن في ثلاثة أثواب، سوى العمامة والخرقة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يُكفّن به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 وإنّما 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وثوبُ حِبرة، والصحارية تكون باليمامة، وكُفِّن أبو جعفر عليه السلام في ثلاثة أثواب</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زرارة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الباقر عليه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 للميّت من الكفن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الكفن المفروض ثلاثة أثواب، أو </w:t>
      </w:r>
    </w:p>
    <w:p>
      <w:pPr>
        <w:pStyle w:val="BookText"/>
        <w:rPr/>
      </w:pPr>
      <w:r>
        <w:rPr>
          <w:rFonts w:ascii="Amiri" w:hAnsi="Amiri" w:eastAsia="Amiri" w:cs="Amiri"/>
          <w:color w:val="111111"/>
          <w:sz w:val="28"/>
          <w:sz w:val="28"/>
          <w:szCs w:val="28"/>
          <w:rtl w:val="true"/>
          <w:lang w:bidi="ar-SA"/>
        </w:rPr>
        <w:t>ثوب تامّ يواري به جسده كلّه، فما زاد فهو سُنّة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سُلّمت معقوليّة التخيير بين الأقلّ والأكثر، مع عدم المغايرة بينهما بوجهٍ‌، وعدم كون الأكثر مستحبّاً، يرد عليه أنّ الصحيح مرويٌّ بألفاظٍ مختلفة،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410"/>
      </w:r>
      <w:r>
        <w:rPr>
          <w:rFonts w:ascii="Amiri" w:hAnsi="Amiri" w:eastAsia="Amiri" w:cs="Amiri"/>
          <w:color w:val="111111"/>
          <w:sz w:val="28"/>
          <w:sz w:val="28"/>
          <w:szCs w:val="28"/>
          <w:rtl w:val="true"/>
          <w:lang w:bidi="ar-SA"/>
        </w:rPr>
        <w:t xml:space="preserve">وأكثر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xml:space="preserve">روايته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الموافق لأصل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 بخط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أكثر النسخ المعتبرة روايته مع إسقاط حرف العطف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لا مجال للاستدلال به، كما لا يخفى‌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بعد مخالفة الخبر للإجماع والنصوص الاُخر المتقدّم بعضها، وموافقته للجمهور كافّة، يُطرح أو يُحمل على التقيّة، أو على إرادة حالتي الاختيار والاضطرار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مِئْزَرٌ، وقَميصٌ‌، وإزار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لزوم ثلاث قطعات، والمشهور بين الأصحاب أنّ القطع الثلاث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مِئزرٌ، وقميصٌ‌، وإزار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وغيرهما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منها هو المشهور بين الأصحاب</w:t>
      </w:r>
      <w:r>
        <w:rPr>
          <w:rStyle w:val="FootnoteAnchor"/>
          <w:rtl w:val="true"/>
        </w:rPr>
        <w:footnoteReference w:id="141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المئزر واجبٌ عند علمائنا، وقريبٌ منه ما عن غيره</w:t>
      </w:r>
      <w:r>
        <w:rPr>
          <w:rStyle w:val="FootnoteAnchor"/>
          <w:rtl w:val="true"/>
        </w:rPr>
        <w:footnoteReference w:id="1418"/>
      </w:r>
      <w:r>
        <w:rPr>
          <w:rFonts w:ascii="Amiri" w:hAnsi="Amiri" w:eastAsia="Amiri" w:cs="Amiri"/>
          <w:color w:val="111111"/>
          <w:sz w:val="28"/>
          <w:sz w:val="28"/>
          <w:szCs w:val="28"/>
          <w:rtl w:val="true"/>
          <w:lang w:bidi="ar-SA"/>
        </w:rPr>
        <w:t>، وتوقّف المحقّق الأردبيلي</w:t>
      </w:r>
      <w:r>
        <w:rPr>
          <w:rStyle w:val="FootnoteAnchor"/>
          <w:rtl w:val="true"/>
        </w:rPr>
        <w:footnoteReference w:id="141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المئزر فقد ذكره الشيخان وأتباعهما، وجعلوه أحد الأثواب الثلاثة المفروضة، ولم أقف في الروايات على ما يعطى ذلك، بل المستفاد منها اعتبار القميص والثوبين الشاملين للجَسَد، أو الأثواب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أفتى ابن الجُنيد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عبارة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الأمين الاسترآبادي، وبالغ في الطعن على المشهور، حتّى أنّه نسبه إلى جمعٍ من المتأخّرين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معروفيّة ذلك لدى المتشرّعة،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ومغروسيّته في أذهانهم، مع شدّة اهتمامهم بهذا الأمر، وبنائهم على الاحتياط فيه مهما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كلام في اعتباره الأمن ناحية سهل، وأمره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 وعِمامةٌ يعتمّ بها، ويُلْقى فضلها على صدره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الشيخ</w:t>
      </w:r>
      <w:r>
        <w:rPr>
          <w:rStyle w:val="FootnoteAnchor"/>
          <w:rtl w:val="true"/>
        </w:rPr>
        <w:footnoteReference w:id="1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عدم وجوب الخرقة والعمامة، كما هو المتّفق عليه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القميص والإزار واللّفافة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بالإزار هو المئزر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المراد به في كثيرٍ من النصوص الواردة في الأبواب المتفرّقة، كباب الإحرام، وأحكام الحائض، وآداب الحمّام، وغيرها من مواقع استعماله، فإنّ ذلك كاشف عن إرادته منه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جمعٍ من اللّغويين به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الخبر قسيماً لما يُلفّ فيه الميّت، إذ لو كان المراد به أيضاً ما يلف فيه الميّت، كان الأولى أن يقول بلفافتين إحداهما بُردٌ، ويؤيّده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الأصحاب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الرّجل في ثلاثة أثواب، والمرأة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واللّفاقتين، فإنّ المنطق 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يشدّ في الوسط فهو المئزر</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فتبسط اللّفافة طولاً، ثمّ تذرّ عليها من الذريرة، ثمّ الإزار طولاً حتّى تغطّي الصدر والرِّجلين، ثمّ الخِرقة عرضها شبر ونصف، ثمّ القميص</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عدم إرادة ما يشمل البدن من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بالكفن‌؟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خِرقة فتشدّها على مقعدته ورجليه،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فالإزار؟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تعدّ شيئاً، إنّما تصنع لتضمّ ما هناك لكيلا يخرج منها شيء</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مضافاً إلى ما عرفت من أنّ المراد بالإزار في النصوص المئزر، يشهد لإرادته منه في الصحيح ظاهر السؤال، لأنّه لولا كون المراد بذلك لم يكن وجهٌ لتوهّم السائل كفايته عن الخرقة، إذ لا مناسبة بين الخرقة وما يُلفّ جميع البدن، كي يتوهّم عدم الاحتياج إليها معه، وحيث أنّه عليه السلام قرّره على ذلك، وأجاب بأنّ فائدة الخرقة شيءٌ لا يتأتّى بالإزار، فهو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يونس بن يعقوب، عن أبي الحسن الأوّل عليه السلام،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 أبي في ثوبين شطويين، كان يُحرْم فيهما، وفي قميصٍ من قُمُصه، وفي عمامةٍ كانت لعليّ بن الحسين عليه السلام، وفي بُرْدٍ اشتريته بأربعين ديناراً</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سيّدناالصادق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ثوبا رسول اللّه صلى الله عليه و آله اللّذان أحرم فيهما يمانيّين عبري وأظفار وفيهما كُفِّن</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أحد ثوبي الإحرام المئزر، فهما وإنْ لم يدلّا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ملازمة بين كون أحد ثوبي الإحرام المئزر، والإتّزار به حال التكفين، لجواز كونه قدر ما يصلح لأنْ يشمل لجميع الجسد، ويُستعمل في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إلّاأنّهما يصلحان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عدم دلالة ما تقدّم على المشهور، فلا أقلّ من الإجمال، وحيث أنّ الأمر دائرٌ بين الأقلّ والأكثر، فيتعيّن البناء على ذلك، لأصالة عدم وجوب الستر بالزائد عن هذا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اعتبار ثلاثة أثواب، أو ثوبين ما عدا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في وصيّته أنْ اُكفّنه بثلاثة أثواب</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أحمر، حِبرة، وثوبين أبيضين صحاريين</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بعض أصحابه، عن السيّدين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فريضة للرجال ثلاثة أثواب</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أثواب تامّ‌، لا أقلّ منه يوارى فيه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اعتبار أنْ يكون كلّ ثوب شاملاً للبدن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حُمران بن أعين،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يُكفّن بقميصٍ ولفافةٍ وبُردٍ، يجمع فيه الكفن</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إذ اللّفافة ما يلفّ جميع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تعدّ العمامة من الكفن، إنّما يعدّ ما يُلفّ به الجسد</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التكفين في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ظهور الثوب في الشامل لجميع البدن، لعدم أخذ الشمول في مفهومه، ولذا عَدّ القميص من الأثواب، واُطلق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المئزر في نصوص الإحرام من غير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 من 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الملازمة بين اللّف والشمول، بل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وبُرْدٍ يجمعُ فيه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بعدم كون اللّفافة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الشمول مأخوذ في التكفين، ولكنّه لو اُضيف إلى المتعدّد، لا ظهور له في الشمول بالإضافة إلى كلّ واحد من المتعدّد، كما لا يخفى‌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الجواب عن حَسَن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ما اختاره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فظاهر الأصحاب على ما نَسب إليهم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المئزر ما يَستر من السُّرة إلى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سترهما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سُرَّته إلى حيث يبلغ من ساقيه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لصدق المئزر عليه عرفاً، وأصالة البراءة عن اعتبار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الأفضل أن يكون من الصدر إلى القدم، لموثّق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منها هو المشهور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المتقدّم بعضها في المئزر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 وبين ثوبٍ شاملٍ‌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واستوجهه المحقّق الثاني</w:t>
      </w:r>
      <w:r>
        <w:rPr>
          <w:rStyle w:val="FootnoteAnchor"/>
          <w:rtl w:val="true"/>
        </w:rPr>
        <w:footnoteReference w:id="14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وتبعهما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ممّن تأخّر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سهل،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الثياب التي يُصلّي فيها الرّجل ويصوم، أيُكفّن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ذلك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والقميصُ أحبُّ إليَّ‌</w:t>
      </w:r>
      <w:r>
        <w:rPr>
          <w:rFonts w:eastAsia="Amiri" w:cs="Amiri" w:ascii="Amiri" w:hAnsi="Amiri"/>
          <w:color w:val="111111"/>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وروى الصدوق نحوه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العرفي بينهما وبين ما تقدّم، وإنْ كان يقتضي الالتزام بذلك، إلّا أنّه لإعراض الأصحاب عنهما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بالقميص الواصل إلى نصف السابق، لأنّه المتعارف في ذلك الزمان، كذا في طهارة الشيخ الأعظم رحمه الله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وكونه من الأثواب الثلاثة ممّا اتّفق عليه الأصحاب، وهو ما يُغطّي جميع البدن، بلا خلاف فيه، بل هو المتّفق عليه نصّاً وفتوىً‌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يكون في الطول بحيث يمكن أن يُشدّ طرفاه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يكون في العرض بحيث يُوضع أحد جانبيه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تبادر غير ذلك،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فالاكتفاء بالخياطة أظهر، وإنْ كان ذلك أحوط</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فروع يقتضي البحث عنها، وهي</w:t>
      </w:r>
      <w:r>
        <w:rPr>
          <w:rFonts w:eastAsia="Amiri" w:cs="Amiri" w:ascii="Amiri" w:hAnsi="Amiri"/>
          <w:color w:val="111111"/>
          <w:sz w:val="28"/>
          <w:szCs w:val="28"/>
          <w:rtl w:val="true"/>
          <w:lang w:bidi="ar-SA"/>
        </w:rPr>
        <w:t xml:space="preserve">: </w:t>
      </w:r>
      <w:bookmarkStart w:id="446" w:name="pg11796_113734"/>
    </w:p>
    <w:p>
      <w:pPr>
        <w:pStyle w:val="Heading6"/>
        <w:numPr>
          <w:ilvl w:val="5"/>
          <w:numId w:val="1"/>
        </w:numPr>
        <w:rPr/>
      </w:pPr>
      <w:bookmarkStart w:id="447" w:name="__RefHeading___Toc10362068_73709187"/>
      <w:bookmarkStart w:id="448" w:name="_Toc169"/>
      <w:bookmarkEnd w:id="446"/>
      <w:bookmarkEnd w:id="447"/>
      <w:r>
        <w:rPr>
          <w:rtl w:val="true"/>
        </w:rPr>
        <w:t>فروع</w:t>
      </w:r>
      <w:r>
        <w:rPr>
          <w:rtl w:val="true"/>
        </w:rPr>
        <w:t>:</w:t>
      </w:r>
      <w:bookmarkEnd w:id="448"/>
    </w:p>
    <w:p>
      <w:pPr>
        <w:pStyle w:val="Heading6"/>
        <w:numPr>
          <w:ilvl w:val="5"/>
          <w:numId w:val="1"/>
        </w:numPr>
        <w:rPr/>
      </w:pPr>
      <w:bookmarkStart w:id="449" w:name="__RefHeading___Toc10362070_73709187"/>
      <w:bookmarkStart w:id="450" w:name="_Toc170"/>
      <w:bookmarkEnd w:id="449"/>
      <w:r>
        <w:rPr>
          <w:rtl w:val="true"/>
        </w:rPr>
        <w:t>لو لم يوجد إلّاثوبٌ واحد</w:t>
      </w:r>
      <w:bookmarkEnd w:id="45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تعذّرت الأثواب الثلاثة، ولم يوجد غير ثوبٍ واحدٍ، فالمشهور بين الأصحاب</w:t>
      </w:r>
      <w:r>
        <w:rPr>
          <w:rStyle w:val="FootnoteAnchor"/>
          <w:rtl w:val="true"/>
        </w:rPr>
        <w:footnoteReference w:id="1450"/>
      </w:r>
      <w:r>
        <w:rPr>
          <w:rFonts w:ascii="Amiri" w:hAnsi="Amiri" w:eastAsia="Amiri" w:cs="Amiri"/>
          <w:color w:val="111111"/>
          <w:sz w:val="28"/>
          <w:sz w:val="28"/>
          <w:szCs w:val="28"/>
          <w:rtl w:val="true"/>
          <w:lang w:bidi="ar-SA"/>
        </w:rPr>
        <w:t xml:space="preserve">وجوب التكفين به على ما نُسب إليهم،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الضرورة تبيح دفنه بغير كفن، فببعضه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ثابتة في أمثال المقام،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الاستدلال بها بناءً على أن يكون التكفين بكلّ قطعةٍ واجباً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جارٍ في ما إذا تعذّر بعض أجزاء الواجب، كما حقّقناه في محلّه، وأشرنا إليه في مبحث الجبائر</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جواز التكفين ببعضه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وجوب الميسور، سوى الإجماع إنْ ثبت، وكان تعبّديّاً لا مستنداً إلى ما تقدّم، وطريق الاحتياط معلوم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فرض الوجوب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 الأمر بين واحد من الثلاثة، فمقتضى الجمود على القواعد، وإنْ كان هو التخيير، بناءً على ما أشرنا إليه مراراً من أنّ الأصل هو التخيير في موارد التنافي بين الأوامر الضمنيّة، لأنّها من موارد التعارض لا التزاحم، إلّاأنّه لايبعد دعوى تقدّم الإزار على القميص والمئزر، والقميص على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للإجماع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الإزار أقرب إلى الواجب من الأخيرين، والقميص أقربُ إليه من المئزر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لتطرّق الخدشة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يكن إلّامقدار سَتر العورة، تعيّن، كما صرّح به غَير واحدٍ، لما ورد في الخبر المرويّ عن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يُكفّن الميّت، ليلقى ربّه طاهر الجسد، ولئلّا تبدو عورته لمن يحمله أو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مطلوبيّة ستر العورة في نفسه، فتدبّر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51" w:name="pg11796_113736"/>
    </w:p>
    <w:p>
      <w:pPr>
        <w:pStyle w:val="Heading6"/>
        <w:numPr>
          <w:ilvl w:val="5"/>
          <w:numId w:val="1"/>
        </w:numPr>
        <w:rPr/>
      </w:pPr>
      <w:bookmarkStart w:id="452" w:name="__RefHeading___Toc10362072_73709187"/>
      <w:bookmarkStart w:id="453" w:name="_Toc171"/>
      <w:bookmarkEnd w:id="451"/>
      <w:bookmarkEnd w:id="452"/>
      <w:r>
        <w:rPr>
          <w:rtl w:val="true"/>
        </w:rPr>
        <w:t>هل يعتبر في كلّ ثوبٍ من الأثواب الثلاثة أن يكون ساتراً</w:t>
      </w:r>
      <w:bookmarkEnd w:id="45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كلّ ثوبٍ من الأثواب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وحده ساتراً لجميع ما تحته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4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يكفي حصول السّتر بالمجموع، كما عن غير واحدٍ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يعتبر ذلك أيضاً، كما عن بعض متأخّري المتأخّرين</w:t>
      </w:r>
      <w:r>
        <w:rPr>
          <w:rStyle w:val="FootnoteAnchor"/>
          <w:rtl w:val="true"/>
        </w:rPr>
        <w:footnoteReference w:id="14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أقواها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الستر بالمجموع، والشاهد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ثوبٌ يوارى فيه جسده كلّه</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يُكفّن الميّت ليلقى ربّه طاهر الجسد، ولئلّا تبدو عورته لمن يحمله لو يدفنه، ولئلّا يظهر النّاس عليبعض حاله وقُبح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كون كلّواحدٍ ساتراً لما تحته وحده، والشاهدعليه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المتبادر من إطلاق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اعتبار أن يكون الكفن ممّا يصلّى فيه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التبادر ممنوع، وما دلّ على اعتبار كونه ممّا يُصلّى فيه إنّما سيق لبيان جنس الكفن لا وصفه، مع أنّ دليله ليس إلّاالإجماع كما سيمرّ عليك، وحجيّته محلّ نظرٍ وكلام</w:t>
      </w:r>
      <w:r>
        <w:rPr>
          <w:rFonts w:eastAsia="Amiri" w:cs="Amiri" w:ascii="Amiri" w:hAnsi="Amiri"/>
          <w:color w:val="111111"/>
          <w:sz w:val="28"/>
          <w:szCs w:val="28"/>
          <w:rtl w:val="true"/>
          <w:lang w:bidi="ar-SA"/>
        </w:rPr>
        <w:t>.</w:t>
      </w:r>
      <w:bookmarkStart w:id="454" w:name="pg11796_113737"/>
    </w:p>
    <w:p>
      <w:pPr>
        <w:pStyle w:val="Heading6"/>
        <w:numPr>
          <w:ilvl w:val="5"/>
          <w:numId w:val="1"/>
        </w:numPr>
        <w:rPr/>
      </w:pPr>
      <w:bookmarkStart w:id="455" w:name="__RefHeading___Toc10362074_73709187"/>
      <w:bookmarkStart w:id="456" w:name="_Toc172"/>
      <w:bookmarkEnd w:id="454"/>
      <w:bookmarkEnd w:id="455"/>
      <w:r>
        <w:rPr>
          <w:rtl w:val="true"/>
        </w:rPr>
        <w:t>لا يجوز التكفين بالحرير</w:t>
      </w:r>
      <w:bookmarkEnd w:id="456"/>
    </w:p>
    <w:p>
      <w:pPr>
        <w:pStyle w:val="Heading6"/>
        <w:numPr>
          <w:ilvl w:val="5"/>
          <w:numId w:val="1"/>
        </w:numPr>
        <w:rPr/>
      </w:pPr>
      <w:bookmarkStart w:id="457" w:name="__RefHeading___Toc10362076_73709187"/>
      <w:bookmarkStart w:id="458" w:name="_Toc173"/>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الكفن أنْ لا يكون من الحرير المَحض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4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وغيرها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بمضمر الحسن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ثيابٍ تُعمل بالبصرة على عمل العَصب اليماني من قَزّ وقُطن، هل يصلح أن يكفّن فيها الموتى‌؟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إضماره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xml:space="preserve">من عَدّه من المقبولات، كما أنّ اشتراك الحسن بن راشد بين مولى آل المُهلّب الثقة، وبين مولى المنصور الضعيف، لايضرّ بالسّند، إذ الظاهر أنّ من في سند هذا الخبر هو الأوّل لرواية ابن عيسى عنه، وروايته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الحَسَن الثالث عليه السلام، كما أنّ دعوى أنّ ثبوت البأس أعمّ من عدم الجواز، فاسدة لظهوره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جملةٍ من النصوص من النهي عن التكفين بكسوة الكعبة، مع الإذن </w:t>
      </w:r>
    </w:p>
    <w:p>
      <w:pPr>
        <w:pStyle w:val="BookText"/>
        <w:rPr/>
      </w:pPr>
      <w:r>
        <w:rPr>
          <w:rFonts w:ascii="Amiri" w:hAnsi="Amiri" w:eastAsia="Amiri" w:cs="Amiri"/>
          <w:color w:val="111111"/>
          <w:sz w:val="28"/>
          <w:sz w:val="28"/>
          <w:szCs w:val="28"/>
          <w:rtl w:val="true"/>
          <w:lang w:bidi="ar-SA"/>
        </w:rPr>
        <w:t>في البيع وسائر التصرّفات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عبد الملك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من كسوة الكعبة، فقضى ببعضها حاجته، وبقي بعضها في يده، هل يصلح بيعه‌؟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ويهب، مالم يرده ويستنفع به، ويطلب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به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أنّه لا وجه للنهي عن التكفين بها، سوى كونها حريراً، وإلّا كان التكفين بها راجحاً للتبرّك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وبالكليّة الآتية من اعتبار كون الكفن من جنس ما يُصلّى فيه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يُكفّن الرجال في ثياب الحرير</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ثبوت البأس في الثوب غير الخالص، إذا لم يكن قطنه أكثر، ولا يشمل الحرير الخالص، لعدم شمول الموضوع المأخوذ فيه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أنّه لم يُعمل به في مورده، فلا وجه لدعوى ثبوت الحكم للحرير المحض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النهي عن التكفين بكسوة الكعبة غير معلوم، ولعلّه يكون لمنافاته الاحترام أو غيرها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عدم ثبوت تلك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ولم يكن استناد الأصحاب إليه في مقام العمل كي ينجبر ضعفه بالعمل، بل الظاهر عدم استنادهم إليه، إذ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يفرّقوا بين الرجال والنساء، والخبر مختصٌّ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مرجعاً في أمثال المقام، ممّا يقتضي إطلاق الأدلّة وأصالة البراءة عدم اعتبار المشكوك فيه، فإذاً العمدة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w:t>
      </w:r>
      <w:r>
        <w:rPr>
          <w:rFonts w:eastAsia="Amiri" w:cs="Amiri" w:ascii="Amiri" w:hAnsi="Amiri"/>
          <w:color w:val="111111"/>
          <w:sz w:val="28"/>
          <w:szCs w:val="28"/>
          <w:rtl w:val="true"/>
          <w:lang w:bidi="ar-SA"/>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كون المراد بالحُلّة الحرير، مع أنّ للمنع عنه مجالاً واسعاً، كما منعه جماعة، فمطروحٌ أو محمولٌ على التقيّة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ثمّ‌إنّه عليتقدير اعتبار ذلك، هل يختصّ بالرجال أم يعمّ‌النساء؟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جواز تكفين المرأة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مدرك الحكم هي الكليّة المذكورة، 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فاختصاصه بالرِّجال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صحّ التمسّك باستصحاب المنع في حقّ الرجال، لاختصّ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الإجماع، أو ما دلَّ على النهي عن التكفين بكسوة الكعبة، أو مضمر الحسن، أو قاعدة الاحتياط، فاختصاصه بهم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عموم المنع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59" w:name="pg11796_113740"/>
    </w:p>
    <w:p>
      <w:pPr>
        <w:pStyle w:val="Heading6"/>
        <w:numPr>
          <w:ilvl w:val="5"/>
          <w:numId w:val="1"/>
        </w:numPr>
        <w:rPr/>
      </w:pPr>
      <w:bookmarkStart w:id="460" w:name="__RefHeading___Toc10362078_73709187"/>
      <w:bookmarkStart w:id="461" w:name="_Toc174"/>
      <w:bookmarkEnd w:id="459"/>
      <w:bookmarkEnd w:id="460"/>
      <w:r>
        <w:rPr>
          <w:rtl w:val="true"/>
        </w:rPr>
        <w:t>التكفين بما لا يؤكل لحمه</w:t>
      </w:r>
      <w:bookmarkEnd w:id="4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المقام عن حكم التكفين بما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المصنّف والمحقّق</w:t>
      </w:r>
      <w:r>
        <w:rPr>
          <w:rStyle w:val="FootnoteAnchor"/>
          <w:rtl w:val="true"/>
        </w:rPr>
        <w:footnoteReference w:id="1474"/>
      </w:r>
      <w:r>
        <w:rPr>
          <w:rFonts w:ascii="Amiri" w:hAnsi="Amiri" w:eastAsia="Amiri" w:cs="Amiri"/>
          <w:color w:val="111111"/>
          <w:sz w:val="28"/>
          <w:sz w:val="28"/>
          <w:szCs w:val="28"/>
          <w:rtl w:val="true"/>
          <w:lang w:bidi="ar-SA"/>
        </w:rPr>
        <w:t>، وجماعة، حيث اقتصروا في المنع على الحرير، أنّه لا منع في مطلق ما لا تجوز فيه الصَّلاة، كأجزاء ما لا يؤكل لحمه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المشهور</w:t>
      </w:r>
      <w:r>
        <w:rPr>
          <w:rStyle w:val="FootnoteAnchor"/>
          <w:rtl w:val="true"/>
        </w:rPr>
        <w:footnoteReference w:id="1475"/>
      </w:r>
      <w:r>
        <w:rPr>
          <w:rFonts w:ascii="Amiri" w:hAnsi="Amiri" w:eastAsia="Amiri" w:cs="Amiri"/>
          <w:color w:val="111111"/>
          <w:sz w:val="28"/>
          <w:sz w:val="28"/>
          <w:szCs w:val="28"/>
          <w:rtl w:val="true"/>
          <w:lang w:bidi="ar-SA"/>
        </w:rPr>
        <w:t>ثبوت المنع في مطلق مالا تجوز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وبالقاعدة الّتي بنى عليها المصنّف</w:t>
      </w:r>
      <w:r>
        <w:rPr>
          <w:rStyle w:val="FootnoteAnchor"/>
          <w:rtl w:val="true"/>
        </w:rPr>
        <w:footnoteReference w:id="1476"/>
      </w:r>
      <w:r>
        <w:rPr>
          <w:rFonts w:ascii="Amiri" w:hAnsi="Amiri" w:eastAsia="Amiri" w:cs="Amiri"/>
          <w:color w:val="111111"/>
          <w:sz w:val="28"/>
          <w:sz w:val="28"/>
          <w:szCs w:val="28"/>
          <w:rtl w:val="true"/>
          <w:lang w:bidi="ar-SA"/>
        </w:rPr>
        <w:t>والمحقّق</w:t>
      </w:r>
      <w:r>
        <w:rPr>
          <w:rStyle w:val="FootnoteAnchor"/>
          <w:rtl w:val="true"/>
        </w:rPr>
        <w:footnoteReference w:id="1477"/>
      </w:r>
      <w:r>
        <w:rPr>
          <w:rFonts w:ascii="Amiri" w:hAnsi="Amiri" w:eastAsia="Amiri" w:cs="Amiri"/>
          <w:color w:val="111111"/>
          <w:sz w:val="28"/>
          <w:sz w:val="28"/>
          <w:szCs w:val="28"/>
          <w:rtl w:val="true"/>
          <w:lang w:bidi="ar-SA"/>
        </w:rPr>
        <w:t>والشهيدان</w:t>
      </w:r>
      <w:r>
        <w:rPr>
          <w:rStyle w:val="FootnoteAnchor"/>
          <w:rtl w:val="true"/>
        </w:rPr>
        <w:footnoteReference w:id="1478"/>
      </w:r>
      <w:r>
        <w:rPr>
          <w:rFonts w:ascii="Amiri" w:hAnsi="Amiri" w:eastAsia="Amiri" w:cs="Amiri"/>
          <w:color w:val="111111"/>
          <w:sz w:val="28"/>
          <w:sz w:val="28"/>
          <w:szCs w:val="28"/>
          <w:rtl w:val="true"/>
          <w:lang w:bidi="ar-SA"/>
        </w:rPr>
        <w:t>والمحقّق الثاني</w:t>
      </w:r>
      <w:r>
        <w:rPr>
          <w:rStyle w:val="FootnoteAnchor"/>
          <w:rtl w:val="true"/>
        </w:rPr>
        <w:footnoteReference w:id="1479"/>
      </w:r>
      <w:r>
        <w:rPr>
          <w:rFonts w:ascii="Amiri" w:hAnsi="Amiri" w:eastAsia="Amiri" w:cs="Amiri"/>
          <w:color w:val="111111"/>
          <w:sz w:val="28"/>
          <w:sz w:val="28"/>
          <w:szCs w:val="28"/>
          <w:rtl w:val="true"/>
          <w:lang w:bidi="ar-SA"/>
        </w:rPr>
        <w:t>في جملةٍ من كتبهم، من أنّه لا يجوز أن يكون الكفن ممّا لاتجوز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1480"/>
      </w:r>
      <w:r>
        <w:rPr>
          <w:rFonts w:ascii="Amiri" w:hAnsi="Amiri" w:eastAsia="Amiri" w:cs="Amiri"/>
          <w:color w:val="111111"/>
          <w:sz w:val="28"/>
          <w:sz w:val="28"/>
          <w:szCs w:val="28"/>
          <w:rtl w:val="true"/>
          <w:lang w:bidi="ar-SA"/>
        </w:rPr>
        <w:t>وابن زُهرة</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 واستشهد لها بالإجماع وبخبر محمّد بن مسلم، 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ولا تمسحوا موتاكم بالطيب إلّا الكافور، فإنّ الميّت بمنزلة المُحْرِم</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بضميمة ما دلّ على عدم جواز الإحرام بما لا تجوز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حريز </w:t>
      </w:r>
    </w:p>
    <w:p>
      <w:pPr>
        <w:pStyle w:val="BookText"/>
        <w:rPr/>
      </w:pP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يرجع إليها في أمثال المقام، لا سيّما مع وجود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التكفين بما لا تجوز فيه الصَّلاة، فالعمدة فيها الإجماع إنْ ثبت، لأنّ 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لايُستفاد منه عموم المنزلة، إلّابناءً على القول بحُرمة مسح الميّت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بالكراهة، كما هو المشهور، فيتعيّن الالتزام بكون التنزيل على وجه الاستحباب، بمعنى أنّه ينبغي أن يُنزّل الميّت منزلة المُحْرِم كي لا يلزم تخصيص المورد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كون ترك مسّ الطيب من الأركان، بخلاف كسوته، لا يوجب رفع الاستهجان،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عدم عموم المنزلة، ماورد في من مات مُحْرِماً، الظاهر في عدم كون الميّت بمنزلة المُحْرِم، لاحظ الخبر الصحيح الذي رواه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يُغطّى وجهه، ويصنع به ما يَصنَعُ بالمُحِلّ‌، غير أنّه لا يُقرّبه طيباً</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أحداً من الأصحاب لم يفهم منه عموم المنزلة، ولذا لم يَبْنِ أحدٌ على لزوم مراعاة جميع تروك الإحرام وأفعاله بالنسبة إلى الميّت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بالمنع لا دليل عليه، نعم هو أحوط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62" w:name="pg11796_113742"/>
    </w:p>
    <w:p>
      <w:pPr>
        <w:pStyle w:val="Heading6"/>
        <w:numPr>
          <w:ilvl w:val="5"/>
          <w:numId w:val="1"/>
        </w:numPr>
        <w:rPr/>
      </w:pPr>
      <w:bookmarkStart w:id="463" w:name="__RefHeading___Toc10362080_73709187"/>
      <w:bookmarkStart w:id="464" w:name="_Toc175"/>
      <w:bookmarkEnd w:id="462"/>
      <w:bookmarkEnd w:id="463"/>
      <w:r>
        <w:rPr>
          <w:rtl w:val="true"/>
        </w:rPr>
        <w:t>اعتبار طهارة الأثواب</w:t>
      </w:r>
      <w:bookmarkEnd w:id="46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طهارة الأثواب التي يكفّن بها الميّت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لاعتبارها ما دلَّ على وجوب إزالة النجاسة عن الكفن بعد التكفين، إذ لو وجبت الإزالة بعده فقبله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عدم الفرق بين ما عُفي عنه في الصَّلاة، وما لم يعف عنه، ولعلّ مَنْ فَرّق بينهما استند في هذا الحكم إلى الكليّة المتقدّمة، وهي تقتضي هذا التفصيل،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عدم جواز التكفين في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جِلْد المأكول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منهم الفاضلان</w:t>
      </w:r>
      <w:r>
        <w:rPr>
          <w:rStyle w:val="FootnoteAnchor"/>
          <w:rtl w:val="true"/>
        </w:rPr>
        <w:footnoteReference w:id="1488"/>
      </w:r>
      <w:r>
        <w:rPr>
          <w:rFonts w:ascii="Amiri" w:hAnsi="Amiri" w:eastAsia="Amiri" w:cs="Amiri"/>
          <w:color w:val="111111"/>
          <w:sz w:val="28"/>
          <w:sz w:val="28"/>
          <w:szCs w:val="28"/>
          <w:rtl w:val="true"/>
          <w:lang w:bidi="ar-SA"/>
        </w:rPr>
        <w:t>والشهيد</w:t>
      </w:r>
      <w:r>
        <w:rPr>
          <w:rStyle w:val="FootnoteAnchor"/>
          <w:rtl w:val="true"/>
        </w:rPr>
        <w:footnoteReference w:id="1489"/>
      </w:r>
      <w:r>
        <w:rPr>
          <w:rFonts w:ascii="Amiri" w:hAnsi="Amiri" w:eastAsia="Amiri" w:cs="Amiri"/>
          <w:color w:val="111111"/>
          <w:sz w:val="28"/>
          <w:sz w:val="28"/>
          <w:szCs w:val="28"/>
          <w:rtl w:val="true"/>
          <w:lang w:bidi="ar-SA"/>
        </w:rPr>
        <w:t>والمحقّق الثاني</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كلام المحقّق الأردبيلي</w:t>
      </w:r>
      <w:r>
        <w:rPr>
          <w:rStyle w:val="FootnoteAnchor"/>
          <w:rtl w:val="true"/>
        </w:rPr>
        <w:footnoteReference w:id="1491"/>
      </w:r>
      <w:r>
        <w:rPr>
          <w:rFonts w:ascii="Amiri" w:hAnsi="Amiri" w:eastAsia="Amiri" w:cs="Amiri"/>
          <w:color w:val="111111"/>
          <w:sz w:val="28"/>
          <w:sz w:val="28"/>
          <w:szCs w:val="28"/>
          <w:rtl w:val="true"/>
          <w:lang w:bidi="ar-SA"/>
        </w:rPr>
        <w:t>كون الحكم مظنّة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اشتراطهم كون الكفن من جنس ما يُصلّى فيه، وكون غير جلدٍ فكأنّ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1492"/>
      </w:r>
      <w:r>
        <w:rPr>
          <w:rFonts w:ascii="Amiri" w:hAnsi="Amiri" w:eastAsia="Amiri" w:cs="Amiri"/>
          <w:color w:val="111111"/>
          <w:sz w:val="28"/>
          <w:sz w:val="28"/>
          <w:szCs w:val="28"/>
          <w:rtl w:val="true"/>
          <w:lang w:bidi="ar-SA"/>
        </w:rPr>
        <w:t xml:space="preserve">من النصوص على اعتبار كون الكفن بالثياب غير الشاملة للجلود صرفاً أو انصرافاً، ويؤيّده الأمر بنزعه من الشهيد، مع أنّه يُجمع </w:t>
      </w:r>
    </w:p>
    <w:p>
      <w:pPr>
        <w:pStyle w:val="BookText"/>
        <w:rPr/>
      </w:pPr>
      <w:r>
        <w:rPr>
          <w:rFonts w:ascii="Amiri" w:hAnsi="Amiri" w:eastAsia="Amiri" w:cs="Amiri"/>
          <w:color w:val="111111"/>
          <w:sz w:val="28"/>
          <w:sz w:val="28"/>
          <w:szCs w:val="28"/>
          <w:rtl w:val="true"/>
          <w:lang w:bidi="ar-SA"/>
        </w:rPr>
        <w:t>ما عليه في الدفن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493"/>
      </w:r>
      <w:r>
        <w:rPr>
          <w:rFonts w:ascii="Amiri" w:hAnsi="Amiri" w:eastAsia="Amiri" w:cs="Amiri"/>
          <w:color w:val="111111"/>
          <w:sz w:val="28"/>
          <w:sz w:val="28"/>
          <w:szCs w:val="28"/>
          <w:rtl w:val="true"/>
          <w:lang w:bidi="ar-SA"/>
        </w:rPr>
        <w:t>أنّ التعليل في خبر الفضل المتقدّم، يقتضي عدم الفرق بين أفراد ما يحصل به السّتر والمواراة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يكون تعليلاً لأصل الوجوب، لا لجميع واجباته، ولذا لم يفتِ أحدٌ غير سلّار</w:t>
      </w:r>
      <w:r>
        <w:rPr>
          <w:rStyle w:val="FootnoteAnchor"/>
          <w:rtl w:val="true"/>
        </w:rPr>
        <w:footnoteReference w:id="1494"/>
      </w:r>
      <w:r>
        <w:rPr>
          <w:rFonts w:ascii="Amiri" w:hAnsi="Amiri" w:eastAsia="Amiri" w:cs="Amiri"/>
          <w:color w:val="111111"/>
          <w:sz w:val="28"/>
          <w:sz w:val="28"/>
          <w:szCs w:val="28"/>
          <w:rtl w:val="true"/>
          <w:lang w:bidi="ar-SA"/>
        </w:rPr>
        <w:t>بالاكتفاء بثوبٍ واحد ساترٍ لجميع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إذ يجب حملها على الثياب،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496"/>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من الالتزام بالجواز،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التكفين بالصُّوف ووبر ما يؤكل لحمه وشعره، كما هو المشهور</w:t>
      </w:r>
      <w:r>
        <w:rPr>
          <w:rStyle w:val="FootnoteAnchor"/>
          <w:rtl w:val="true"/>
        </w:rPr>
        <w:footnoteReference w:id="1498"/>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99"/>
      </w:r>
      <w:r>
        <w:rPr>
          <w:rFonts w:ascii="Amiri" w:hAnsi="Amiri" w:eastAsia="Amiri" w:cs="Amiri"/>
          <w:color w:val="111111"/>
          <w:sz w:val="28"/>
          <w:sz w:val="28"/>
          <w:szCs w:val="28"/>
          <w:rtl w:val="true"/>
          <w:lang w:bidi="ar-SA"/>
        </w:rPr>
        <w:t>المنع في الوبر والشعر، واستدلّ له بموثّق عمّار، عن أبي عبداللّه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يكون بُرداً، فإنْ لم يكن بُرْداً فاجعله كلّه قُطناً، فإنْ لم تجد عمامةَ قطنٍ‌،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65" w:name="pg11796_113744"/>
    </w:p>
    <w:p>
      <w:pPr>
        <w:pStyle w:val="BookText"/>
        <w:rPr/>
      </w:pPr>
      <w:bookmarkEnd w:id="465"/>
      <w:r>
        <w:rPr>
          <w:rFonts w:ascii="Amiri" w:hAnsi="Amiri" w:eastAsia="Amiri" w:cs="Amiri"/>
          <w:color w:val="111111"/>
          <w:sz w:val="28"/>
          <w:sz w:val="28"/>
          <w:szCs w:val="28"/>
          <w:rtl w:val="true"/>
          <w:lang w:bidi="ar-SA"/>
        </w:rPr>
        <w:t>فاجعل العمامة سابُريّاً</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الصدوق</w:t>
      </w:r>
      <w:r>
        <w:rPr>
          <w:rStyle w:val="FootnoteAnchor"/>
          <w:rtl w:val="true"/>
        </w:rPr>
        <w:footnoteReference w:id="1501"/>
      </w:r>
      <w:r>
        <w:rPr>
          <w:rFonts w:ascii="Amiri" w:hAnsi="Amiri" w:eastAsia="Amiri" w:cs="Amiri"/>
          <w:color w:val="111111"/>
          <w:sz w:val="28"/>
          <w:sz w:val="28"/>
          <w:szCs w:val="28"/>
          <w:rtl w:val="true"/>
          <w:lang w:bidi="ar-SA"/>
        </w:rPr>
        <w:t>من عدم جوازه في الكتّان، لخبر أبي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كان لبني إسرائيل يُكفِّنون به، والقُطن لأُمَّة محمّد صلى الله عليه و آله</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10362082_73709187"/>
      <w:bookmarkStart w:id="467" w:name="_Toc176"/>
      <w:bookmarkEnd w:id="466"/>
      <w:r>
        <w:rPr>
          <w:rtl w:val="true"/>
        </w:rPr>
        <w:t>لا يجوز التكفين بالمغصوب إجماعاً</w:t>
      </w:r>
      <w:bookmarkEnd w:id="46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التكفين بالمغصوب إجماعاً، محصّلاً ومنقولاً،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للنهي عن التصرّف في المغصوب، المقتضي لحرمته، المانعة عن اتّصافه بالوجوب، والموجبة لاختصاص دليل الوجوب بغيره، فهو ليس مصداقاً للتكفين الواجب، ولا فرق في ذلك بين كونه عباديّاً وغيره</w:t>
      </w:r>
      <w:r>
        <w:rPr>
          <w:rFonts w:eastAsia="Amiri" w:cs="Amiri" w:ascii="Amiri" w:hAnsi="Amiri"/>
          <w:color w:val="111111"/>
          <w:sz w:val="28"/>
          <w:szCs w:val="28"/>
          <w:rtl w:val="true"/>
          <w:lang w:bidi="ar-SA"/>
        </w:rPr>
        <w:t>.</w:t>
      </w:r>
      <w:bookmarkStart w:id="468" w:name="pg11796_113745"/>
    </w:p>
    <w:p>
      <w:pPr>
        <w:pStyle w:val="Heading6"/>
        <w:numPr>
          <w:ilvl w:val="5"/>
          <w:numId w:val="1"/>
        </w:numPr>
        <w:rPr/>
      </w:pPr>
      <w:bookmarkStart w:id="469" w:name="__RefHeading___Toc10362084_73709187"/>
      <w:bookmarkStart w:id="470" w:name="_Toc177"/>
      <w:bookmarkEnd w:id="468"/>
      <w:bookmarkEnd w:id="469"/>
      <w:r>
        <w:rPr>
          <w:rtl w:val="true"/>
        </w:rPr>
        <w:t>التكفين في حال الاضطرار</w:t>
      </w:r>
      <w:bookmarkEnd w:id="4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الأحكام في الفروع الآنفة جميعها مختصّة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الاضطرار فلا ريب في المنع في المغصوب، وذلك لما مرّ من أنّ وجوب التكفين ليس وجوباً مطلقاً، ولذا لا يجبُ بذل الكفن، بل يكون مشروطاً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دلّ على حرمة التصرّف في مِلْك الغير، يكون رافعاً للشرط، فلا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آخر لعدم الجواز في المغصوب، وهو أولى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كان وجوب التكفين مطلقاً في المقام، لزم اجتماع المأمور به والمنهيّ عنه، فعلى الامتناع وتقديم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المَجمع عن حيّز الأمر، ويتمحّض في 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وجوهاً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والجواز لئلّا يُدفن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ستر العورة حالة الصَّلاة، ثمّ يُنتزع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الجلد الذي تجوزُ الصَّلاة فيه وبين غيره، فأجازَ الأوّل وتوقّف في غيره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الفرق بين النَّجس وغيره، فأجاز </w:t>
      </w:r>
    </w:p>
    <w:p>
      <w:pPr>
        <w:pStyle w:val="BookText"/>
        <w:rPr/>
      </w:pPr>
      <w:r>
        <w:rPr>
          <w:rFonts w:ascii="Amiri" w:hAnsi="Amiri" w:eastAsia="Amiri" w:cs="Amiri"/>
          <w:color w:val="111111"/>
          <w:sz w:val="28"/>
          <w:sz w:val="28"/>
          <w:szCs w:val="28"/>
          <w:rtl w:val="true"/>
          <w:lang w:bidi="ar-SA"/>
        </w:rPr>
        <w:t>الأوّل ومنع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مُنع منه للنهي، فاستوجه المنع، وبين غيره ممّا مُنع منه لعدم الدليل فأجازه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وجوب السّتر بكلّ واحدٍ من هذه عند الانحصار، وتبعه المحقّق الهمداني</w:t>
      </w:r>
      <w:r>
        <w:rPr>
          <w:rStyle w:val="FootnoteAnchor"/>
          <w:rtl w:val="true"/>
        </w:rPr>
        <w:footnoteReference w:id="1509"/>
      </w:r>
      <w:r>
        <w:rPr>
          <w:rFonts w:ascii="Amiri" w:hAnsi="Amiri" w:eastAsia="Amiri" w:cs="Amiri"/>
          <w:color w:val="111111"/>
          <w:sz w:val="28"/>
          <w:sz w:val="28"/>
          <w:szCs w:val="28"/>
          <w:rtl w:val="true"/>
          <w:lang w:bidi="ar-SA"/>
        </w:rPr>
        <w:t>وجمعٌ من المتأخّرين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لهذا القول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إنصراف أدلّة المنع إلى حالة الاختيار، ففي حالة الاضطرار لا مقيّد لإطلاق ما دلَّ على وجوب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في هذا الشرح، من عدم الاعتماد على مثل هذا الانصراف، غير الناشيء عن منشاً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لأجل أنّ عمدة مدرك اعتبار هذه الاُمور هو الإجماع، الذي لا يعمّ حال الضرورة، يتعيّن الأخذ بإطلاق دليل وجوب التكفين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بالنسبة إلى بعضها، ولا يتمّ بالنسبة إلى الجميع،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غير مرّةٍ من عدم ثبوتها بنحوٍ تشمل أمثال المقام، واختصاصها بصورة تعذّر بعض أفراد المأمور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510"/>
      </w:r>
      <w:r>
        <w:rPr>
          <w:rFonts w:ascii="Amiri" w:hAnsi="Amiri" w:eastAsia="Amiri" w:cs="Amiri"/>
          <w:color w:val="111111"/>
          <w:sz w:val="28"/>
          <w:sz w:val="28"/>
          <w:szCs w:val="28"/>
          <w:rtl w:val="true"/>
          <w:lang w:bidi="ar-SA"/>
        </w:rPr>
        <w:t>من أنّ ذلك يُستفاد من أخبار علّة تكفين الميّت، ومن كون حرمته ميّتاً كحرمته حيّاً، ومن أنّ أصل ستر بدن الميّت 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علّة تكفين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ما تضمّنته علّة الحكم، لا من قبيل حِكمة التشريع، كالنصوص المتضمّنة للأمر به، تقيّد بما دلَّ على اعتبار هذه الاُمور وحرمته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أن يُكفّن فيما منع عنه الشارع المقدّس، وكون أصل ستر بدنه مطلوباً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بنحوٍ يظهر ما هو الأقوى في النظر، وضعف سائر الأقوال، وما استدلّ به لها،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الاُمور المعتبرة في الكفنِ الواجب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من جهة عدم شمول إطلاق ما دلّ على وجوب التكفين له كالجلد من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لدليلٍ آخر لا إطلاق له، بنحوٍ يشمل حال الضرورة كالحرير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لدليلٍ خارجي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التكفين لعدم شمول الإطلاقات له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يسقط الوجوب، لأنّ إطلاق دليل المقيّد مقدّم على إطلاق دليل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التكفين به، لعدم المقيّد لإطلاق الدليل في حال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511"/>
      </w:r>
      <w:r>
        <w:rPr>
          <w:rFonts w:ascii="Amiri" w:hAnsi="Amiri" w:eastAsia="Amiri" w:cs="Amiri"/>
          <w:color w:val="111111"/>
          <w:sz w:val="28"/>
          <w:sz w:val="28"/>
          <w:szCs w:val="28"/>
          <w:rtl w:val="true"/>
          <w:lang w:bidi="ar-SA"/>
        </w:rPr>
        <w:t>أنّ التكفين في تلك الاُمور جائز، لأنّه يعدّ إضاعة مالٍ من غيرإذن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الغرض الدنيوي، بل واحتمال وجود الغرض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يتمّ في ماورد النهي عنه، لكونه ظاهراً في الحرمة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في أمثال المقام ظاهرٌ في كونه إرشاداً إلى المانعيّة، فالأحوط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الضرورة التكفين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الانحصار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وجود اثنين منها أو ثلاثة، فحيثُ عرفت أنّ وجوب التكفين إنّما يكون فيما إذا كان اعتبار ذلك الأمر بدليلٍ آخر لا إطلاق له، فمقتضى إطلاق الأدلّة، هو التخيير بين التكفين بكلّ واحدٍ من الاُمور التي يجب التكفين بها عند الانحصار، وتقديم التكفين بها على التكفين بما لا يجب التكفين به عند الانحصار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يقدم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جلد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تجوز الصَّلاة فيه اختياراً، فيقدّم على ما لا تجوز فيه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ورود نهي صريح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الاحتياط،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المانع من التكفين بالجلد في حال الاختيار، هو عدم شمول الأدلّة له، وعليه فلا وجه لتقديمه على ما تشمله الأدلّة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يرد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 الأظهر هو الرجوع إلى البراءة عند الدوران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الرجوع إليها في المقام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كما يحتمل تعيّن الجلد، كذلك يحتمل تعيّن غيره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إطلاق الأدلّة بالنسبة إلى ما لا دليل على اعتباره في حال الضرورة،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يمنع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النَّجس على الحرير وغير المأكول، وتبعهما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في نظر الشارع اعتبار وصف الطهارة، بعد اعتبار كون الكفن من غير الحرير أو ممّا تجوز فيه الصَّلاة، أي أنّ الشارع اعتبر كون هذا الجنس الخاص من الكفن طاهراً في حال الاختيار، فإذا فُرض سقوط اعتبارها في حال الاضطرار، تعيّن فعل الفاقد لها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أنّ الطهارة وصفٌ عرضي، وكون الكفن غير حرير ونحوه وصفٌ ذاتي، فعند الدوران يُقدّم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أحد الأمرين المعتبرين ذاتيّاً، والآخر عَرَضيّاً، لا يوجب تقديم الأوّل عند الدوران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الطهارة إنّما تعتبر في الكفن، إذا لم يكن حريراً ونحوه، وإلّا فلا تعتبر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مساعدة الدليل على ذلك، وإنْ كان التقديم في محلّه، لعدم لزوم رعايتها على كلّ تقدير، كما لا يخفى، فلا يعارض دليلها دليل اعتبار الحرير ونحوه، إلّاأنّ الأدلّة لا تساعد على ذلك، فإنّ ظاهرها اعتبار الطهارة في الكفن في عرض اعتبار أن لا يكون حريراً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دليل اعتبارها، أنّها معتبرة في الكفن بجميع مراتبه، وعليه فيقع التعارض بين إطلاق دليلها، وبين إطلاق دليل اعتبار عدم كونه حريراً، لو كان له إطلاق، فيتساقطان ويرجع إلى الأصل، وهو يقتضي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التخيير، وإنْ لم يكن لدليل اعتبار أن لا يكون حريراً إطلاقٌ‌، كما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فالمتَّبع هو إطلاق دليل اعتبار الطهارة، ممّا يقتضي تقديم الحرير على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دار الأمر بين الحرير وغير المأكول، أنّه لا يبعد تقديم الثاني للرِّجال والأوّل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لتقديم الحرير للنساء بجواز صلاتهن فيه، ولتقديم غير المأكول للرِّجال بالحرمة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من أنّ عدم جواز الصَّلاة فيه لا يقتضي ذلك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الحرمة التكليفيّة لهم محلّ نظر ومنع، إذ لا ملازمة بين حُرمة اللّبس في حال الحياة، وحرمة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من أنّه لاختصاص دليل كلّ منهما بالإجماع غير الشامل لحال الضرورة، يتعيّن البناء على التخيير بينهما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حكم بقيّة صور الدوران، فتدبّر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71" w:name="pg11796_113751"/>
    </w:p>
    <w:p>
      <w:pPr>
        <w:pStyle w:val="BookText"/>
        <w:rPr/>
      </w:pPr>
      <w:bookmarkEnd w:id="471"/>
      <w:r>
        <w:rPr>
          <w:rFonts w:ascii="Amiri" w:hAnsi="Amiri" w:eastAsia="Amiri" w:cs="Amiri"/>
          <w:color w:val="111111"/>
          <w:sz w:val="28"/>
          <w:sz w:val="28"/>
          <w:szCs w:val="28"/>
          <w:rtl w:val="true"/>
          <w:lang w:bidi="ar-SA"/>
        </w:rPr>
        <w:t>وإمساس مساجده بالكافور</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10362086_73709187"/>
      <w:bookmarkStart w:id="473" w:name="_Toc178"/>
      <w:bookmarkEnd w:id="472"/>
      <w:r>
        <w:rPr>
          <w:rtl w:val="true"/>
        </w:rPr>
        <w:t>التَحنيط</w:t>
      </w:r>
      <w:bookmarkEnd w:id="473"/>
    </w:p>
    <w:p>
      <w:pPr>
        <w:pStyle w:val="Heading6"/>
        <w:numPr>
          <w:ilvl w:val="5"/>
          <w:numId w:val="1"/>
        </w:numPr>
        <w:rPr/>
      </w:pPr>
      <w:bookmarkStart w:id="474" w:name="__RefHeading___Toc10362088_73709187"/>
      <w:bookmarkStart w:id="475" w:name="_Toc179"/>
      <w:bookmarkEnd w:id="474"/>
      <w:r>
        <w:rPr>
          <w:rtl w:val="true"/>
        </w:rPr>
        <w:t>اشارة</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إمساس مساجده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فروع يقتضي المقام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الكافور على بدن الميّت، بلا خلافٍ فيه في الجملة، وعن غير واحدٍ من الأصحاب</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 شيئاً من الحَنوط على مسامعه ومساجده، وشيئاً على ظهر الكفّين</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أبي عبد اللّه،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الحنوط للميّت‌؟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واشتمال بعضها على كثيرٍ من المندوبات، لا يضرّ بالاستدلال بها، لما عرفت من أنّ ورود الترخيص في ترك بعض الاُمور الّتي أُمر بها، لا يمنع عن وجوب ما لم يُرخّص في تركه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اختلافها لا يضرّ، لما ستعرف من إمكان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باعتبار كونه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الحَنوط، وهو أنْ يَمسح مساجده السبعة بالكافور بأقلّ اسمه، وهو أحد قولي الشافعي، لأنّها مواضع شريفة، وإجماع علمائنا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جماعةٍ‌</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الوضع والإمساس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في المتن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الهمداني رحمه الله</w:t>
      </w:r>
      <w:r>
        <w:rPr>
          <w:rStyle w:val="FootnoteAnchor"/>
          <w:rtl w:val="true"/>
        </w:rPr>
        <w:footnoteReference w:id="1523"/>
      </w:r>
      <w:r>
        <w:rPr>
          <w:rFonts w:ascii="Amiri" w:hAnsi="Amiri" w:eastAsia="Amiri" w:cs="Amiri"/>
          <w:color w:val="111111"/>
          <w:sz w:val="28"/>
          <w:sz w:val="28"/>
          <w:szCs w:val="28"/>
          <w:rtl w:val="true"/>
          <w:lang w:bidi="ar-SA"/>
        </w:rPr>
        <w:t>اعتبار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جملةٍ من النصوص الأمر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تُحنّط الميّت، فأعمد إلى الكافور، فامسح به آثار السجود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اُخرى منها الأمر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بالحنوط؟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في فمه، ومسامعه، وآثار السجود من وجهه ويديه وركبتيه</w:t>
      </w:r>
      <w:r>
        <w:rPr>
          <w:rFonts w:eastAsia="Amiri" w:cs="Amiri" w:ascii="Amiri" w:hAnsi="Amiri"/>
          <w:color w:val="111111"/>
          <w:sz w:val="28"/>
          <w:szCs w:val="28"/>
          <w:rtl w:val="true"/>
          <w:lang w:bidi="ar-SA"/>
        </w:rPr>
        <w:t>»</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أنّ النسبة بينهما عمومٌ مطلق، لاستلزام المسح للوضع دون العكس، فيتعيّن حمل الوضع على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اعمد إلى كافورٍ مسحوقٍ فضعه على جبهته موضع سجوده، وامسح بالكافور على جميع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وإنْ كان ظاهراً في عدم وجوب المسح، بقرينة العدول عن الوضع إلى المسح، إلّاأنّه ليس بنحوٍ يصلح لأنْ يكون صارفاً لظهور المقيّدات في الوجوب، فتأمّل،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ما كان من الوضع والمسح واجداً لخصوصيّةٍ غير موجودة في الآخر، فبما أنّ مقتضى الجمع العرفي بين النصوص اعتبار كلتا الخصوصيّتين، فاعتبار المسح هو الأقوى‌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انحصار الواجب بتحنيط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بضميمة موثّق عبد الرحمن المتقدّم، الحاصر لما يجب تحنيطه بالمساجد، للأمر بتحنيطها خاصّة، مع عدم كونه في مقام بيان جميع ما يجب تحنيطه، يصلحان لصرف ظهور الأمر في جملةٍ من النصوص بتحنيط غيرها ممّا تضمّنته النصوص، وهي اُمور الصدر، والمفاصل كلها، والرأس، واللّحية، والعنق، والمنكبين، وباطن القدمين، وموضع الشراك منهما، وظهر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الأمر بتحنيطها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من مواضع البدن كالمسامع والوجه والبصر والمنخرين، قد ورد الأمر بتحنيطها في مجموعة من النصوص</w:t>
      </w:r>
      <w:r>
        <w:rPr>
          <w:rStyle w:val="FootnoteAnchor"/>
          <w:rtl w:val="true"/>
        </w:rPr>
        <w:footnoteReference w:id="1531"/>
      </w:r>
      <w:r>
        <w:rPr>
          <w:rFonts w:ascii="Amiri" w:hAnsi="Amiri" w:eastAsia="Amiri" w:cs="Amiri"/>
          <w:color w:val="111111"/>
          <w:sz w:val="28"/>
          <w:sz w:val="28"/>
          <w:szCs w:val="28"/>
          <w:rtl w:val="true"/>
          <w:lang w:bidi="ar-SA"/>
        </w:rPr>
        <w:t>، وورد النهي عنه في جملةٍ اُخرى منها</w:t>
      </w:r>
      <w:r>
        <w:rPr>
          <w:rStyle w:val="FootnoteAnchor"/>
          <w:rtl w:val="true"/>
        </w:rPr>
        <w:footnoteReference w:id="1532"/>
      </w:r>
      <w:r>
        <w:rPr>
          <w:rFonts w:ascii="Amiri" w:hAnsi="Amiri" w:eastAsia="Amiri" w:cs="Amiri"/>
          <w:color w:val="111111"/>
          <w:sz w:val="28"/>
          <w:sz w:val="28"/>
          <w:szCs w:val="28"/>
          <w:rtl w:val="true"/>
          <w:lang w:bidi="ar-SA"/>
        </w:rPr>
        <w:t>، وحيث أنّه لا يمكن الجمع العرفي بين الطائفتين، ونصوص الأمر موافقة للعامّة، فتُحمل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بحمل الطائفة الأُولى على وضع الكافور عليها، والطائفة الثانية على وضعه فيها، بقرينة موثّق سماعة المتقدّم، للتعبير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رحمه الله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جمعاً عرفيّاً، إذ مضافاً إلى عدم جريانه في المنخرين، فان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بعض النصوص الآمرة والتي ورد فيها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تبعاً لغير واحدٍ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فالمشهور بين الأصحاب أنّ المرادبالمساجد، المساجدالسبعة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534"/>
      </w:r>
      <w:r>
        <w:rPr>
          <w:rFonts w:ascii="Amiri" w:hAnsi="Amiri" w:eastAsia="Amiri" w:cs="Amiri"/>
          <w:color w:val="111111"/>
          <w:sz w:val="28"/>
          <w:sz w:val="28"/>
          <w:szCs w:val="28"/>
          <w:rtl w:val="true"/>
          <w:lang w:bidi="ar-SA"/>
        </w:rPr>
        <w:t>، والمفيد</w:t>
      </w:r>
      <w:r>
        <w:rPr>
          <w:rStyle w:val="FootnoteAnchor"/>
          <w:rtl w:val="true"/>
        </w:rPr>
        <w:footnoteReference w:id="1535"/>
      </w:r>
      <w:r>
        <w:rPr>
          <w:rFonts w:ascii="Amiri" w:hAnsi="Amiri" w:eastAsia="Amiri" w:cs="Amiri"/>
          <w:color w:val="111111"/>
          <w:sz w:val="28"/>
          <w:sz w:val="28"/>
          <w:szCs w:val="28"/>
          <w:rtl w:val="true"/>
          <w:lang w:bidi="ar-SA"/>
        </w:rPr>
        <w:t>، والقاضي</w:t>
      </w:r>
      <w:r>
        <w:rPr>
          <w:rStyle w:val="FootnoteAnchor"/>
          <w:rtl w:val="true"/>
        </w:rPr>
        <w:footnoteReference w:id="1536"/>
      </w:r>
      <w:r>
        <w:rPr>
          <w:rFonts w:ascii="Amiri" w:hAnsi="Amiri" w:eastAsia="Amiri" w:cs="Amiri"/>
          <w:color w:val="111111"/>
          <w:sz w:val="28"/>
          <w:sz w:val="28"/>
          <w:szCs w:val="28"/>
          <w:rtl w:val="true"/>
          <w:lang w:bidi="ar-SA"/>
        </w:rPr>
        <w:t>، والحلبي</w:t>
      </w:r>
      <w:r>
        <w:rPr>
          <w:rStyle w:val="FootnoteAnchor"/>
          <w:rtl w:val="true"/>
        </w:rPr>
        <w:footnoteReference w:id="153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 طرف الأنف الذي يُرغم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أحد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 بتحنيطه في خبر الدعائم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النصوص التصريح بعدم كون الإرغام بالأنف من السجود، كصحيح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 بن 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السجود على الجبهة، وليس على الأنف سجودٌ</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عدم كونه من ما يعتبر في السجود، ولذلك التزمنا بكونه من أجزاء الصَّلاة لا السجود، كما سيأتي في الجزء السابع من هذا الكتاب عند البحث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الإرغام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542"/>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الواجب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سوى كون الإرغام قد يتحقّق، وقد لا يتحقّق، وذلك لا يقتضي عدم شمول المسجد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مع أنّ ما دلَّ على عدم وجوب مسح غير المساجد به يدلّ على عدم وجوب مسحه به أيضاً، وبه ترفع اليد عن ظهور الخبر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عدم الإلحاق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وغيرها</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أن يكون التحنيط قبل التكفين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548"/>
      </w:r>
      <w:r>
        <w:rPr>
          <w:rFonts w:ascii="Amiri" w:hAnsi="Amiri" w:eastAsia="Amiri" w:cs="Amiri"/>
          <w:color w:val="111111"/>
          <w:sz w:val="28"/>
          <w:sz w:val="28"/>
          <w:szCs w:val="28"/>
          <w:rtl w:val="true"/>
          <w:lang w:bidi="ar-SA"/>
        </w:rPr>
        <w:t>، ونهاية الاحكام</w:t>
      </w:r>
      <w:r>
        <w:rPr>
          <w:rStyle w:val="FootnoteAnchor"/>
          <w:rtl w:val="true"/>
        </w:rPr>
        <w:footnoteReference w:id="15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إلباس المئزر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إلباس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إلباس القميص والعمامة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التكفين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كاشف اللّثام</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واختاره جمعٌ من المحقّقين</w:t>
      </w:r>
      <w:r>
        <w:rPr>
          <w:rStyle w:val="FootnoteAnchor"/>
          <w:rtl w:val="true"/>
        </w:rPr>
        <w:footnoteReference w:id="1558"/>
      </w:r>
      <w:r>
        <w:rPr>
          <w:rFonts w:ascii="Amiri" w:hAnsi="Amiri" w:eastAsia="Amiri" w:cs="Amiri"/>
          <w:color w:val="111111"/>
          <w:sz w:val="28"/>
          <w:sz w:val="28"/>
          <w:szCs w:val="28"/>
          <w:rtl w:val="true"/>
          <w:lang w:bidi="ar-SA"/>
        </w:rPr>
        <w:t>، ويقتضيه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إلى الكافور، فمَسَحتَ به آثار السجود</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تغسيله، نُشِّفَ بثوبٍ‌، وجَعل الكافور في مواضع سجوده</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وظهورهما في اعتبار كونه بعد التغسيل والتجفيف بلا فصلٍ‌، قبل أن يسأل السائل عن ما يجب فعله لا يُنكر، ولا يُصغى إلى ما قيل من إنّ الأمر به بعد التجفيف، أعمّ من كونه قبل التكفين وبعده، وبهما يقيّد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يونس، حيث أنّه عليه السلام أمر فيه بالتحنيط بعد بسط الكفن، ثمّ بعده،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يُحمل فيوضع على قميصه</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بدعوى أنّ ظاهر ذيله كون البأس في القميص بعد التحنيط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صدره اعتبار كونه قبل التكفين وبعد التغسيل، ولذا استدلّ به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لعدم التعرّض في صدره للمئزر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 حَمْل الإزار على غير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ظهور كلّ واحدة من هذه الطوائف فيما استدلّ بها له لايُنكر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والجمع بينها لا يمكن، فيتعيّن الالتزام بالتخيير، ورفع اليد عن ظهور كلّ واحدة منها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الأخير هو الأظهر</w:t>
      </w:r>
      <w:r>
        <w:rPr>
          <w:rFonts w:eastAsia="Amiri" w:cs="Amiri" w:ascii="Amiri" w:hAnsi="Amiri"/>
          <w:color w:val="111111"/>
          <w:sz w:val="28"/>
          <w:szCs w:val="28"/>
          <w:rtl w:val="true"/>
          <w:lang w:bidi="ar-SA"/>
        </w:rPr>
        <w:t>.</w:t>
      </w:r>
      <w:bookmarkStart w:id="476" w:name="pg11796_113760"/>
    </w:p>
    <w:p>
      <w:pPr>
        <w:pStyle w:val="Heading6"/>
        <w:numPr>
          <w:ilvl w:val="5"/>
          <w:numId w:val="1"/>
        </w:numPr>
        <w:rPr/>
      </w:pPr>
      <w:bookmarkStart w:id="477" w:name="__RefHeading___Toc10362090_73709187"/>
      <w:bookmarkStart w:id="478" w:name="_Toc180"/>
      <w:bookmarkEnd w:id="476"/>
      <w:bookmarkEnd w:id="477"/>
      <w:r>
        <w:rPr>
          <w:rtl w:val="true"/>
        </w:rPr>
        <w:t>أقلّ ما يُجزي من الكافور</w:t>
      </w:r>
      <w:bookmarkEnd w:id="478"/>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562"/>
      </w:r>
      <w:r>
        <w:rPr>
          <w:rFonts w:ascii="Amiri" w:hAnsi="Amiri" w:eastAsia="Amiri" w:cs="Amiri"/>
          <w:color w:val="111111"/>
          <w:sz w:val="28"/>
          <w:sz w:val="28"/>
          <w:szCs w:val="28"/>
          <w:rtl w:val="true"/>
          <w:lang w:bidi="ar-SA"/>
        </w:rPr>
        <w:t>أنّه يكفي في مقدار الكافور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5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الخلاف في كفاية المُسمّى‌، وأنّ الاختلاف إنّما هو في أقلّ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الخلاف في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للمشهور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الإطلاق لها، لوردوها في مقام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تمّ في بعضها، إلّاأنّه لا يتمّ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موثّق سماعة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 شيئاً من الحَنوط على مسامعه ومساجده</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w:t>
      </w:r>
      <w:r>
        <w:rPr>
          <w:rStyle w:val="FootnoteAnchor"/>
          <w:rtl w:val="true"/>
        </w:rPr>
        <w:footnoteReference w:id="1571"/>
      </w:r>
      <w:r>
        <w:rPr>
          <w:rFonts w:ascii="Amiri" w:hAnsi="Amiri" w:eastAsia="Amiri" w:cs="Amiri"/>
          <w:color w:val="111111"/>
          <w:sz w:val="28"/>
          <w:sz w:val="28"/>
          <w:szCs w:val="28"/>
          <w:rtl w:val="true"/>
          <w:lang w:bidi="ar-SA"/>
        </w:rPr>
        <w:t xml:space="preserve">عمّار المتضمّن تقدير القطن، وطول الخرقة، وذكره عليه السلام الكافور </w:t>
      </w:r>
    </w:p>
    <w:p>
      <w:pPr>
        <w:pStyle w:val="BookText"/>
        <w:rPr/>
      </w:pPr>
      <w:r>
        <w:rPr>
          <w:rFonts w:ascii="Amiri" w:hAnsi="Amiri" w:eastAsia="Amiri" w:cs="Amiri"/>
          <w:color w:val="111111"/>
          <w:sz w:val="28"/>
          <w:sz w:val="28"/>
          <w:szCs w:val="28"/>
          <w:rtl w:val="true"/>
          <w:lang w:bidi="ar-SA"/>
        </w:rPr>
        <w:t>بلا تعرّض لتقديره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يكفي للمشهور أصالة البراءة، بناءً على جريانها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المتضمّنة لتقديره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تقديره بمثقالٍ‌، كمرسل عبد الرحمن بن أبي نجران، عن بعض أصحابه،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من الكافور للميّت مثقال</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تقديره بمثقالٍ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كصحيحه، عن بعض رجاله،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من الكافور للميّت مثقال ونصف</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أربعة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الكاهلي، والحسين بن المختار،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والقصد من الكافور أربعة مثاقيل</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w:t>
      </w:r>
      <w:r>
        <w:rPr>
          <w:rStyle w:val="FootnoteAnchor"/>
          <w:rtl w:val="true"/>
        </w:rPr>
        <w:footnoteReference w:id="1575"/>
      </w:r>
      <w:r>
        <w:rPr>
          <w:rFonts w:ascii="Amiri" w:hAnsi="Amiri" w:eastAsia="Amiri" w:cs="Amiri"/>
          <w:color w:val="111111"/>
          <w:sz w:val="28"/>
          <w:sz w:val="28"/>
          <w:szCs w:val="28"/>
          <w:rtl w:val="true"/>
          <w:lang w:bidi="ar-SA"/>
        </w:rPr>
        <w:t>ثلاثة عَشَر درهماً وثلثاً؛ وهو ما ورد في تقسيم النبيّ صلى الله عليه و آله الكافور الذي أتى به جبرئيل عليه السلام بينه صلى الله عليه و آله وبين أمير المؤمنين عليه السلام وبين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w:t>
      </w:r>
      <w:r>
        <w:rPr>
          <w:rStyle w:val="FootnoteAnchor"/>
          <w:rtl w:val="true"/>
        </w:rPr>
        <w:footnoteReference w:id="1576"/>
      </w:r>
      <w:r>
        <w:rPr>
          <w:rFonts w:ascii="Amiri" w:hAnsi="Amiri" w:eastAsia="Amiri" w:cs="Amiri"/>
          <w:color w:val="111111"/>
          <w:sz w:val="28"/>
          <w:sz w:val="28"/>
          <w:szCs w:val="28"/>
          <w:rtl w:val="true"/>
          <w:lang w:bidi="ar-SA"/>
        </w:rPr>
        <w:t>مرفوع إبراهيم بن هاشم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النصوص، عدا الأوّل منها محمولة على الفضل، وما فيها من الاختلاف على اختلاف مراتبه، وشيءٌ منها لا يصلح أن يكون مَدركاً للوجوب لضعفها سنداً، وعدم القائل بوجوب ما فيها، ومعارضتها مع الخبر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سنداً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الشيخين والصّدوق عَملوا به، وأفتوا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جماعة صرّحوا بأنّهم التزموا بكون ذلك أقلّ الفضل، وعليه فيمكن أن يكون عملهم به لقاعدة التسامح، فلا ينجبر به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معارضٌ مع صحيحه المتضمّن لتقديره بمثقالٍ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بينهما يقتضي حمل الأوّل على الوجوب، والثاني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ذلك جمعاً عرفيّاً، إذ لو جمعنا المضمونين في كلامٍ واحد، فإنّه لاريب في أنّ أهل العرف يرون التهافت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مناص عن حمله أيضاً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المُسمّى‌، وأقلّ الفضل مثقالٌ شرعي، والأفضل مثقالٌ ونصف، والأفضل منه أربعة مثاقيل، والأفضل أن يكون ثلاثة عَشَر درهماً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جماعةٍ من الأساطين</w:t>
      </w:r>
      <w:r>
        <w:rPr>
          <w:rStyle w:val="FootnoteAnchor"/>
          <w:rtl w:val="true"/>
        </w:rPr>
        <w:footnoteReference w:id="1579"/>
      </w:r>
      <w:r>
        <w:rPr>
          <w:rFonts w:ascii="Amiri" w:hAnsi="Amiri" w:eastAsia="Amiri" w:cs="Amiri"/>
          <w:color w:val="111111"/>
          <w:sz w:val="28"/>
          <w:sz w:val="28"/>
          <w:szCs w:val="28"/>
          <w:rtl w:val="true"/>
          <w:lang w:bidi="ar-SA"/>
        </w:rPr>
        <w:t>من أنّ أقلّ المستحبّ مقدار درهم، وأفضل منه أربعة دراهم، وأكمل منه ثلاثة عشر درهماً وثلث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شاهدٌ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الدّرهم على المثقال، مضافاً إلى كونه خلاف الظاهر، يدفعه ما ذكروه في المرتبة الأخيرة من الفضل، كما هو واضح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79" w:name="pg11796_113763"/>
    </w:p>
    <w:p>
      <w:pPr>
        <w:pStyle w:val="BookText"/>
        <w:rPr/>
      </w:pPr>
      <w:bookmarkEnd w:id="479"/>
      <w:r>
        <w:rPr>
          <w:rFonts w:ascii="Amiri" w:hAnsi="Amiri" w:eastAsia="Amiri" w:cs="Amiri"/>
          <w:color w:val="111111"/>
          <w:sz w:val="28"/>
          <w:sz w:val="28"/>
          <w:szCs w:val="28"/>
          <w:rtl w:val="true"/>
          <w:lang w:bidi="ar-SA"/>
        </w:rPr>
        <w:t>وَيُستحبُّ أنْ يُزاد للرَّجل حِبَرة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0362092_73709187"/>
      <w:bookmarkStart w:id="481" w:name="_Toc181"/>
      <w:bookmarkEnd w:id="480"/>
      <w:r>
        <w:rPr>
          <w:rtl w:val="true"/>
        </w:rPr>
        <w:t>مستحبّات الكَفَن</w:t>
      </w:r>
      <w:bookmarkEnd w:id="481"/>
    </w:p>
    <w:p>
      <w:pPr>
        <w:pStyle w:val="Heading6"/>
        <w:numPr>
          <w:ilvl w:val="5"/>
          <w:numId w:val="1"/>
        </w:numPr>
        <w:rPr/>
      </w:pPr>
      <w:bookmarkStart w:id="482" w:name="__RefHeading___Toc10362094_73709187"/>
      <w:bookmarkStart w:id="483" w:name="_Toc182"/>
      <w:bookmarkEnd w:id="482"/>
      <w:r>
        <w:rPr>
          <w:rtl w:val="true"/>
        </w:rPr>
        <w:t>اشارة</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يُزاد للرَّجلِ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الباء، وهو ثوبٌ يمني على المشهور بين الأصحاب</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المحقّق</w:t>
      </w:r>
      <w:r>
        <w:rPr>
          <w:rStyle w:val="FootnoteAnchor"/>
          <w:rtl w:val="true"/>
        </w:rPr>
        <w:footnoteReference w:id="1581"/>
      </w:r>
      <w:r>
        <w:rPr>
          <w:rFonts w:ascii="Amiri" w:hAnsi="Amiri" w:eastAsia="Amiri" w:cs="Amiri"/>
          <w:color w:val="111111"/>
          <w:sz w:val="28"/>
          <w:sz w:val="28"/>
          <w:szCs w:val="28"/>
          <w:rtl w:val="true"/>
          <w:lang w:bidi="ar-SA"/>
        </w:rPr>
        <w:t>والمصنّف</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584"/>
      </w:r>
      <w:r>
        <w:rPr>
          <w:rFonts w:ascii="Amiri" w:hAnsi="Amiri" w:eastAsia="Amiri" w:cs="Amiri"/>
          <w:color w:val="111111"/>
          <w:sz w:val="28"/>
          <w:sz w:val="28"/>
          <w:szCs w:val="28"/>
          <w:rtl w:val="true"/>
          <w:lang w:bidi="ar-SA"/>
        </w:rPr>
        <w:t>، وابن زُهرة</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يونس بن يعقوب،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كفّنتُ أبي عليه السلام في ثوبين شطويّين كان يُحرم فيهما، وقميص من قُمُصه، وعمامة كانت لعليّ بن الحُسين عليه السلام، وبردٍ اشتريته بأربعين ديناراً، لو كان اليوم لساوى أربعمائة دينار</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البُرد لا يلفّ به، ولكن يُطرح عليه طرحاً، </w:t>
      </w:r>
    </w:p>
    <w:p>
      <w:pPr>
        <w:pStyle w:val="BookText"/>
        <w:rPr/>
      </w:pPr>
      <w:r>
        <w:rPr>
          <w:rFonts w:ascii="IRNazanin" w:hAnsi="IRNazanin" w:eastAsia="IRNazanin"/>
          <w:color w:val="111111"/>
          <w:sz w:val="28"/>
          <w:sz w:val="28"/>
          <w:szCs w:val="28"/>
          <w:rtl w:val="true"/>
          <w:lang w:bidi="fa-IR"/>
        </w:rPr>
        <w:t>فإذا دخل القبر وضع تحت خَدّه وتحت جنبه</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البُرد من الأثواب الثلاثة وجب لفّه علي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العمامةُ للميّت من الكفن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الكفن المفروض ثلاثة أثواب، أو ثوبٌ تامٌّ لا أقلّ منه يوارى فيه جسده كلّه، فما زاد فهو سُنّة إلى أن يبلغ خمسةً فما زاد فمبتدعٌ‌، العمامة سُنّة</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استحباب زيادة لفافتين غير العمامة، فعلى فرض كون الخرقة أحد اللّفافتين يثبت المطلوب، فضلاً عمّا لو كانت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هذه النصوص لا تفي لإثبات تمام المطلوب، بل تدلّ على استحباب لفافةٍ اُخرى عدا الأثواب الثلاثة، فثبوت تمام المطلوب يتوقّف على ضمّ عمل الأصحاب وإجماعاتهم بها، ولا بأس بالالتزام به لذلك، لقاعدة التسامح،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وجمعٌ من المتأخّرين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المتقدّم، بدعوى أنّ الزائد على الثلاثة الذي هو سُنّة هي العمامة والخرقة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في الزيادة إتلافُ المال المنهيّ عنه في الشريعة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أنّ رسول اللّه صلى الله عليه و آله كُفِّن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وبُردٌ أحمر</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اُكفّنه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كان يُصلّي فيه يوم الجمعة، وثوبٌ آخر، وقميصٌ‌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وإنْ قالوا كفّنه في أربعة أو خمسة فلا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وعمِّمني بعمامة</w:t>
      </w:r>
      <w:r>
        <w:rPr>
          <w:rFonts w:eastAsia="Amiri" w:cs="Amiri" w:ascii="Amiri" w:hAnsi="Amiri"/>
          <w:color w:val="111111"/>
          <w:sz w:val="28"/>
          <w:szCs w:val="28"/>
          <w:rtl w:val="true"/>
          <w:lang w:bidi="ar-SA"/>
        </w:rPr>
        <w:t>»</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العمامة لا تعدّ من الكفن، وإنّما يعدّ ما يُلفّ به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دلالته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الزائد إتلاف للمال؛ فيرد عليه أنّه لايكون إتلافاً مع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الاقتصار في تكفينه صلى الله عليه و آله على الأثواب الثلاثة، فلا يدلّ على عدم الاستحباب، لجواز أن يكون ترك الزائد لغرض أهمّ كالتنبيه على عدم الوجوب، مع أنّه من الجائز أن يكون المراد من الأثواب الثلاثة فيها غير المئزر، ويكون عدم ذكره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 أن يكون ترك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أنّه لمعارضته مع خبر يونس يتعيّن حمله على التقيّة، لما عن المحقّق والعلّامة من اتّفاق العامّة على عدم استحباب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خبر يونس إخبارٌ عمّا وقع، فلا وجه لحمله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صحيح زرارة، بل سائر النصوص، بضميمة ما دلَّ على اشتراك الرجال والنساء في الكفن، إلّافيما يُشدّ به ثديي المرأة، عدم اختصاص هذا الحكم بالرّجل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في المتن وغيره من اختصاصه بالرَّجل غير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مُطَرّزةٍ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وخرقةٍ لفَخِذيه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الحِبَرة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مُطَرّزة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أن يكون الكفن من جنس ما يُصلّى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أنْ يكون غير مُطَرزة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أقف عاجلاً على مدركه، إلّا ما قيل لئلّا يلزم إتلاف المال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وخرقة لِفَخذيه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نصوص الباب، وهي وإنْ تضمّنت الأمر بها، الظاهر في الوجوب، إلّاأنّه يُحمل على الاستحباب لصحيح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الخرقة لا تُعدّ شيئاً، إنّما تُصنع لتضمّ ما هناك، وما يضع من القطن أفضل منها</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ما قاله بكون الخرقة غير المئزر،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595"/>
      </w:r>
      <w:r>
        <w:rPr>
          <w:rFonts w:ascii="Amiri" w:hAnsi="Amiri" w:eastAsia="Amiri" w:cs="Amiri"/>
          <w:color w:val="111111"/>
          <w:sz w:val="28"/>
          <w:sz w:val="28"/>
          <w:szCs w:val="28"/>
          <w:rtl w:val="true"/>
          <w:lang w:bidi="ar-SA"/>
        </w:rPr>
        <w:t>من أنّها المئزر ضعيفٌ‌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هذا الحكم أيضاً بالرّجل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وعِمامةٌ يُعمَّمَ بها مُحنَّكاً، ويُزاد للمرأة لفافةٌ اُخرى لثدييّها، ونَمَطاً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 يُعَمَّم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مستفيضاً كالنصوص،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الأمر بها على الاستحباب، بقرينة ما دلَّ على عدم وجوب الزائد على الأثواب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لها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محنّكاً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لمرسل ابن أبي عُمير، عن الصادق عليه السلام في العمامة للميّت‌؟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يُزاد للمرأة لفافةٌ اُخرى لثدييها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سهل بن زياد،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كيف تُكفّن المرأة‌؟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أنّا نشدّ على ثدييها خِرقة، تضمّ الثَّدي إلى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للمرأة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كثيرٌ من الأصحاب</w:t>
      </w:r>
      <w:r>
        <w:rPr>
          <w:rStyle w:val="FootnoteAnchor"/>
          <w:rtl w:val="true"/>
        </w:rPr>
        <w:footnoteReference w:id="1600"/>
      </w:r>
      <w:r>
        <w:rPr>
          <w:rFonts w:ascii="Amiri" w:hAnsi="Amiri" w:eastAsia="Amiri" w:cs="Amiri"/>
          <w:color w:val="111111"/>
          <w:sz w:val="28"/>
          <w:sz w:val="28"/>
          <w:szCs w:val="28"/>
          <w:rtl w:val="true"/>
          <w:lang w:bidi="ar-SA"/>
        </w:rPr>
        <w:t>، واستدلّوا له بروايات غير ظاهرة في ذلك، والأمر سهلٌ بعد كونه استحبابيّاً،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وتُعوَّض عن العِمامة بقناعٍ‌، والتكفينُ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وتطييّبهُ بالذَّريرة،</w:t>
      </w:r>
    </w:p>
    <w:p>
      <w:pPr>
        <w:pStyle w:val="BookText"/>
        <w:rPr/>
      </w:pPr>
      <w:r>
        <w:rPr>
          <w:rFonts w:ascii="Amiri" w:hAnsi="Amiri" w:eastAsia="Amiri" w:cs="Amiri"/>
          <w:color w:val="111111"/>
          <w:sz w:val="28"/>
          <w:sz w:val="28"/>
          <w:szCs w:val="28"/>
          <w:rtl w:val="true"/>
          <w:lang w:bidi="ar-SA"/>
        </w:rPr>
        <w:t>المستحبّ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تُعوَّض للمرأة عن العمامة بقناعٍ‌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خمارٍ، كما هو المشهور بين الأصحاب</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محمّد بن مسلم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التكفين بالقُطن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أبي خديجة،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كان لبني إسرائيل يُكفِّنون به، والقُطن لاُمّة محمّد صلى الله عليه و آله</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المستحبّ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تطييّبه بالذَّريرة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على الظاهر المحكيّ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 على وجهه ذريرة،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على كلّ ثوبٍ شيئاً من الكافور، وعلى كفنه ذَريرة</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 على كلّ ثوبٍ شيئاً من ذريرةٍ وكافورٍ</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84" w:name="pg11796_113769"/>
    </w:p>
    <w:p>
      <w:pPr>
        <w:pStyle w:val="BookText"/>
        <w:rPr/>
      </w:pPr>
      <w:bookmarkEnd w:id="484"/>
      <w:r>
        <w:rPr>
          <w:rFonts w:ascii="Amiri" w:hAnsi="Amiri" w:eastAsia="Amiri" w:cs="Amiri"/>
          <w:color w:val="111111"/>
          <w:sz w:val="28"/>
          <w:sz w:val="28"/>
          <w:szCs w:val="28"/>
          <w:rtl w:val="true"/>
          <w:lang w:bidi="ar-SA"/>
        </w:rPr>
        <w:t>وجريدتان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طِيْبٌ خاص، معروفٌ بهذا الاسم الآن في بغداد وما والاها،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الطيب المسحوق، كما صرّح به المصنّف رحمه الله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10362096_73709187"/>
      <w:bookmarkStart w:id="486" w:name="_Toc183"/>
      <w:bookmarkEnd w:id="485"/>
      <w:r>
        <w:rPr>
          <w:rtl w:val="true"/>
        </w:rPr>
        <w:t>في الجريدتين</w:t>
      </w:r>
      <w:bookmarkEnd w:id="486"/>
    </w:p>
    <w:p>
      <w:pPr>
        <w:pStyle w:val="BookText"/>
        <w:rPr/>
      </w:pPr>
      <w:r>
        <w:rPr>
          <w:rFonts w:ascii="Amiri" w:hAnsi="Amiri" w:eastAsia="Amiri" w:cs="Amiri"/>
          <w:color w:val="111111"/>
          <w:sz w:val="28"/>
          <w:sz w:val="28"/>
          <w:szCs w:val="28"/>
          <w:rtl w:val="true"/>
          <w:lang w:bidi="ar-SA"/>
        </w:rPr>
        <w:t>المستحبّ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جماعة من الأساطين</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 نصوصٌ كثيرة</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يظهر منه إرادة الواحدة</w:t>
      </w:r>
      <w:r>
        <w:rPr>
          <w:rStyle w:val="FootnoteAnchor"/>
          <w:rtl w:val="true"/>
        </w:rPr>
        <w:footnoteReference w:id="1615"/>
      </w:r>
      <w:r>
        <w:rPr>
          <w:rFonts w:ascii="Amiri" w:hAnsi="Amiri" w:eastAsia="Amiri" w:cs="Amiri"/>
          <w:color w:val="111111"/>
          <w:sz w:val="28"/>
          <w:sz w:val="28"/>
          <w:szCs w:val="28"/>
          <w:rtl w:val="true"/>
          <w:lang w:bidi="ar-SA"/>
        </w:rPr>
        <w:t>، فمحمولٌ أو مطروحٌ كما لا يخفى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النصوص، عدم الفرق بين كون الميّت صغيراً وكبيراً، وما في بعضها من أنّ فائدتهما دفع عذاب القبر، لا يصلح أن يكون مقيّداً للإطلاق، لعدم دلالته على انحصار فائدتهما بذلك، بل ما تضمّن أنّ الجريدة تنفع المؤمن والكافر، والُمحسن والمسىء، وما تضمّن أنّ آدم عليه السلام أوصى بوضعها معه في أكفانه، كالصريحين في عدم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ويعتبر فيهما استحباباً أو لزوماً اُمورٌ تُذكر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في أفضليّة كون الجريدتين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جملةٍ من النصوص تعيّن ذلك، إلّاأنّها تُحمل على إرادة الأفضليّة، لمكاتبة عليّ بن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 الثالث عليه السلام يسأله عن الجريدة إذا لم يجد يجعل غيرها بدلها في موضعٍ لا يمكن النخل‌؟</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اُعوزت الجريدة، والجريدة أفضل، وبه جاءت الرواية</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يظهر من جماعةٍ التخيير بينه وبين غيره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المكاتبة، عدم الفرق عند عدم تيسّر النّخل بين سائر مصاديق الجريدة، إلّاأنّه يتعيّن تقييده بخبر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نقدر على الجريدة‌؟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نَقدر على السِّدر؟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تكون الجريدة يابسة، لخبر محمّد بن علي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السَّعفة اليابسة، هل يجوزُ للميّت توضعُ معه في حفرته‌؟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طول الجريدتين بعظم الذِّراع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621"/>
      </w:r>
      <w:r>
        <w:rPr>
          <w:rFonts w:ascii="Amiri" w:hAnsi="Amiri" w:eastAsia="Amiri" w:cs="Amiri"/>
          <w:color w:val="111111"/>
          <w:sz w:val="28"/>
          <w:sz w:val="28"/>
          <w:szCs w:val="28"/>
          <w:rtl w:val="true"/>
          <w:lang w:bidi="ar-SA"/>
        </w:rPr>
        <w:t>بعد تقدير طول كلّ واحدةٍ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قَدر ذراعٍ أو شبرٍ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بأربع أصابع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الجريدتين كلُّ واحدةٍ بقدَر عَظْمِ ذراع</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يونس،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 له قطعتين من جريدة النَّخل قدَر ذراع</w:t>
      </w:r>
      <w:r>
        <w:rPr>
          <w:rFonts w:eastAsia="Amiri" w:cs="Amiri" w:ascii="Amiri" w:hAnsi="Amiri"/>
          <w:color w:val="111111"/>
          <w:sz w:val="28"/>
          <w:szCs w:val="28"/>
          <w:rtl w:val="true"/>
          <w:lang w:bidi="ar-SA"/>
        </w:rPr>
        <w:t>»</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يحيى بن عبادة</w:t>
      </w:r>
      <w:r>
        <w:rPr>
          <w:rStyle w:val="FootnoteAnchor"/>
          <w:rtl w:val="true"/>
        </w:rPr>
        <w:footnoteReference w:id="1626"/>
      </w:r>
      <w:r>
        <w:rPr>
          <w:rFonts w:ascii="Amiri" w:hAnsi="Amiri" w:eastAsia="Amiri" w:cs="Amiri"/>
          <w:color w:val="111111"/>
          <w:sz w:val="28"/>
          <w:sz w:val="28"/>
          <w:szCs w:val="28"/>
          <w:rtl w:val="true"/>
          <w:lang w:bidi="ar-SA"/>
        </w:rPr>
        <w:t>، بدعوى أنّ الذِّراع حقيقة في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كونه رواية،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الذِّراع حقيقة في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يقتضيه الجمع بين النصوص المتقدّمة، ومصحّح جميل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الجريدة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مضافاًإليماتقدّم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لإعراض الأصحاب عنه لايُعتَمد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العُمّاني، فلم يعرف مستنده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جواز الكُلّ‌، والأقلّ منها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والأكثر، والرضوي المُقدّر بعظم ذراع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المقدّران بذراع، فحيثُ أنّ الأصحاب أعرضوا عنهما، فلا يصلحان لتقييد المطلقات، فضلاً عن أنّ الإعراض لا ينافي ثبوت أفضليّة ما تضمّناه لقاعدة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أفضليّة أن تكون الجريدة في الطول بمقدار ذِراع، ودونه في الفضل أنْ تكون بقدر شبر، وإنْ كان يُجزي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627"/>
      </w:r>
      <w:r>
        <w:rPr>
          <w:rFonts w:ascii="Amiri" w:hAnsi="Amiri" w:eastAsia="Amiri" w:cs="Amiri"/>
          <w:color w:val="111111"/>
          <w:sz w:val="28"/>
          <w:sz w:val="28"/>
          <w:szCs w:val="28"/>
          <w:rtl w:val="true"/>
          <w:lang w:bidi="ar-SA"/>
        </w:rPr>
        <w:t>في كيفيّة وضع الجريدتين، أن توضع إحداهما على جانبه الأيمن، من عند الترقوة، يُلصِقُها بجلده، والاُخرى على جانبه الأيسر، من عند الترقوة، بين القميص والإزار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الجريدة قَدرُ شبرٍ، تُوضَع واحدة من عند الترقوة إلى ما بلغت، ممّا يلي الجلد الأيمن، والاُخرى في الأيسر من عند الترقوة إلى ما بلغت من فوق القميص</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تعيّن هذه الكيفيّة، لكن لازم ذلك تقييد الإطلاقات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630"/>
      </w:r>
      <w:r>
        <w:rPr>
          <w:rFonts w:ascii="Amiri" w:hAnsi="Amiri" w:eastAsia="Amiri" w:cs="Amiri"/>
          <w:color w:val="111111"/>
          <w:sz w:val="28"/>
          <w:sz w:val="28"/>
          <w:szCs w:val="28"/>
          <w:rtl w:val="true"/>
          <w:lang w:bidi="ar-SA"/>
        </w:rPr>
        <w:t>أنّه ضعيفٌ للإضمار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الشيخ الأعظم رحمه الله</w:t>
      </w:r>
      <w:r>
        <w:rPr>
          <w:rStyle w:val="FootnoteAnchor"/>
          <w:rtl w:val="true"/>
        </w:rPr>
        <w:footnoteReference w:id="1631"/>
      </w:r>
      <w:r>
        <w:rPr>
          <w:rFonts w:ascii="Amiri" w:hAnsi="Amiri" w:eastAsia="Amiri" w:cs="Amiri"/>
          <w:color w:val="111111"/>
          <w:sz w:val="28"/>
          <w:sz w:val="28"/>
          <w:szCs w:val="28"/>
          <w:rtl w:val="true"/>
          <w:lang w:bidi="ar-SA"/>
        </w:rPr>
        <w:t>من أنّ إضماره خيرٌ من إظهار غيره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632"/>
      </w:r>
      <w:r>
        <w:rPr>
          <w:rFonts w:ascii="Amiri" w:hAnsi="Amiri" w:eastAsia="Amiri" w:cs="Amiri"/>
          <w:color w:val="111111"/>
          <w:sz w:val="28"/>
          <w:sz w:val="28"/>
          <w:szCs w:val="28"/>
          <w:rtl w:val="true"/>
          <w:lang w:bidi="ar-SA"/>
        </w:rPr>
        <w:t>أنّه لا يُحمل المطلق على المقيّد في باب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عليه إذا كان المقيّد متضمّناً لحكم إلزامي إرشادي إلى جزئيّة ما تضمّنه، أو شرطيّته، أو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الجريدة تُوضَع من دون الثياب أو من فوقها؟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دون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جانبٍ؟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عنه، سواءٌ اُريد من الجريدة الواحدة، أم اُريد بها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ذيله، وضعُ ما يستحبُّ وضعه في الجانب الأيمن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بالاكتفاء بقدَر شبرٍ مجهولٌ‌، فهو ممّا أعرض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لمطلبين مستقلّين، وعدم العمل بأحدهما لا يوجبُ عدم جواز الأخذ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لا يعارضه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له واحدة من عند الترقوة إلى ما بَلَغَتْ ممّا يلي الجِلد، والاُخرى في الأيسر من عند الترقوة إلي ما بلغت من فوق القميص</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لإعراض الأصحاب عنه، إلّاأنّه لأجل كون أصل الحكم استحبابيّاً، فلا مانع من العمل بما تضمّنه كلٌّ من الخبرين الأخيرين، لقاعدة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يُكتَب على اللّفافة والقَميص والإزار والجريدتين إسمه، وأنّه يَشهدُ الشَّهادتين، وأسماء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يُكتَب على اللّفافة والقَميص والإزار والجريدتين إسمه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وأسماء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يكتب عليها أنّه يَقرُّ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جماعةٍ‌</w:t>
      </w:r>
      <w:r>
        <w:rPr>
          <w:rStyle w:val="FootnoteAnchor"/>
          <w:rtl w:val="true"/>
        </w:rPr>
        <w:footnoteReference w:id="1635"/>
      </w:r>
      <w:r>
        <w:rPr>
          <w:rFonts w:ascii="Amiri" w:hAnsi="Amiri" w:eastAsia="Amiri" w:cs="Amiri"/>
          <w:color w:val="111111"/>
          <w:sz w:val="28"/>
          <w:sz w:val="28"/>
          <w:szCs w:val="28"/>
          <w:rtl w:val="true"/>
          <w:lang w:bidi="ar-SA"/>
        </w:rPr>
        <w:t>التصريح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بكتابتها على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تُكتَب على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الإستشفاع والتوسّل والتبرّك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639"/>
      </w:r>
      <w:r>
        <w:rPr>
          <w:rFonts w:ascii="Amiri" w:hAnsi="Amiri" w:eastAsia="Amiri" w:cs="Amiri"/>
          <w:color w:val="111111"/>
          <w:sz w:val="28"/>
          <w:sz w:val="28"/>
          <w:szCs w:val="28"/>
          <w:rtl w:val="true"/>
          <w:lang w:bidi="ar-SA"/>
        </w:rPr>
        <w:t>لزوم تحقّق الإهانة والتحقير لعدم الأمن من التلويث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النصوص تضمّنت الأمر بكتابة دعاء الجُوشن الكبير على الكفن</w:t>
      </w:r>
      <w:r>
        <w:rPr>
          <w:rStyle w:val="FootnoteAnchor"/>
          <w:rtl w:val="true"/>
        </w:rPr>
        <w:footnoteReference w:id="1640"/>
      </w:r>
      <w:r>
        <w:rPr>
          <w:rFonts w:ascii="Amiri" w:hAnsi="Amiri" w:eastAsia="Amiri" w:cs="Amiri"/>
          <w:color w:val="111111"/>
          <w:sz w:val="28"/>
          <w:sz w:val="28"/>
          <w:szCs w:val="28"/>
          <w:rtl w:val="true"/>
          <w:lang w:bidi="ar-SA"/>
        </w:rPr>
        <w:t>، وأنّ الإمام الصادق عليه السلام كتب الشهادتين على كفن ولده إسماعيل، حيث يستفاد من ذلك عدم كون كتابتها إهانةً وتحقيراً، فلا معارض للعمومات المتقدّمة</w:t>
      </w:r>
      <w:r>
        <w:rPr>
          <w:rFonts w:eastAsia="Amiri" w:cs="Amiri" w:ascii="Amiri" w:hAnsi="Amiri"/>
          <w:color w:val="111111"/>
          <w:sz w:val="28"/>
          <w:szCs w:val="28"/>
          <w:rtl w:val="true"/>
          <w:lang w:bidi="ar-SA"/>
        </w:rPr>
        <w:t xml:space="preserve">.). </w:t>
      </w:r>
      <w:bookmarkStart w:id="487" w:name="pg11796_113775"/>
    </w:p>
    <w:p>
      <w:pPr>
        <w:pStyle w:val="BookText"/>
        <w:rPr/>
      </w:pPr>
      <w:bookmarkEnd w:id="487"/>
      <w:r>
        <w:rPr>
          <w:rFonts w:ascii="Amiri" w:hAnsi="Amiri" w:eastAsia="Amiri" w:cs="Amiri"/>
          <w:color w:val="111111"/>
          <w:sz w:val="28"/>
          <w:sz w:val="28"/>
          <w:szCs w:val="28"/>
          <w:rtl w:val="true"/>
          <w:lang w:bidi="ar-SA"/>
        </w:rPr>
        <w:t>وأنْ يكون الكافور ثَلاثة عَشَر درهماً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التكفين في السَّواد، وجَعْل الكافور في سَمْعِه وبَصَره، وتجميرُ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الكافور ثلاثة عَشَر دِرْهِماً وثُلثاً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التحنيط، فراجع</w:t>
      </w:r>
      <w:r>
        <w:rPr>
          <w:rFonts w:eastAsia="Amiri" w:cs="Amiri" w:ascii="Amiri" w:hAnsi="Amiri"/>
          <w:color w:val="111111"/>
          <w:sz w:val="28"/>
          <w:szCs w:val="28"/>
          <w:rtl w:val="true"/>
          <w:lang w:bidi="ar-SA"/>
        </w:rPr>
        <w:t>.</w:t>
      </w:r>
      <w:r>
        <w:rPr>
          <w:rStyle w:val="FootnoteAnchor"/>
          <w:rtl w:val="true"/>
        </w:rPr>
        <w:footnoteReference w:id="1641"/>
      </w:r>
    </w:p>
    <w:p>
      <w:pPr>
        <w:pStyle w:val="Heading6"/>
        <w:numPr>
          <w:ilvl w:val="5"/>
          <w:numId w:val="1"/>
        </w:numPr>
        <w:rPr/>
      </w:pPr>
      <w:bookmarkStart w:id="488" w:name="__RefHeading___Toc10362098_73709187"/>
      <w:bookmarkStart w:id="489" w:name="_Toc184"/>
      <w:bookmarkEnd w:id="488"/>
      <w:r>
        <w:rPr>
          <w:rtl w:val="true"/>
        </w:rPr>
        <w:t>مكروهات التكفين</w:t>
      </w:r>
      <w:bookmarkEnd w:id="489"/>
    </w:p>
    <w:p>
      <w:pPr>
        <w:pStyle w:val="BookText"/>
        <w:rPr/>
      </w:pPr>
      <w:r>
        <w:rPr>
          <w:rFonts w:ascii="Amiri" w:hAnsi="Amiri" w:eastAsia="Amiri" w:cs="Amiri"/>
          <w:color w:val="111111"/>
          <w:sz w:val="28"/>
          <w:sz w:val="28"/>
          <w:szCs w:val="28"/>
          <w:rtl w:val="true"/>
          <w:lang w:bidi="ar-SA"/>
        </w:rPr>
        <w:t>المكروه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التكفين في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لانعرف فيه خلافاً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الحسين بن مختار،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ونحوه غيره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الكافور في سَمْعه وبَصَره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التحنيط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وتَجمير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بالجَمْرة، وهي ما يُدخَّن به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ولا تمسّوا موتاكم بالطِّيب إلّاالكافور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bookmarkStart w:id="490" w:name="pg11796_113776"/>
    </w:p>
    <w:p>
      <w:pPr>
        <w:pStyle w:val="Heading5"/>
        <w:numPr>
          <w:ilvl w:val="4"/>
          <w:numId w:val="1"/>
        </w:numPr>
        <w:rPr/>
      </w:pPr>
      <w:bookmarkStart w:id="491" w:name="__RefHeading___Toc10362100_73709187"/>
      <w:bookmarkStart w:id="492" w:name="_Toc185"/>
      <w:bookmarkEnd w:id="490"/>
      <w:bookmarkEnd w:id="491"/>
      <w:r>
        <w:rPr>
          <w:rtl w:val="true"/>
        </w:rPr>
        <w:t>البحث الرابع</w:t>
      </w:r>
      <w:r>
        <w:rPr>
          <w:rtl w:val="true"/>
        </w:rPr>
        <w:t xml:space="preserve">: </w:t>
      </w:r>
      <w:r>
        <w:rPr>
          <w:rtl w:val="true"/>
        </w:rPr>
        <w:t>الصَّلاة عليه</w:t>
      </w:r>
      <w:bookmarkEnd w:id="492"/>
    </w:p>
    <w:p>
      <w:pPr>
        <w:pStyle w:val="Heading6"/>
        <w:numPr>
          <w:ilvl w:val="5"/>
          <w:numId w:val="1"/>
        </w:numPr>
        <w:rPr/>
      </w:pPr>
      <w:bookmarkStart w:id="493" w:name="__RefHeading___Toc10362102_73709187"/>
      <w:bookmarkStart w:id="494" w:name="_Toc186"/>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وهي تَجبُ على كلّ ميّتٍ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الميّت</w:t>
      </w:r>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أقسام</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0362104_73709187"/>
      <w:bookmarkStart w:id="496" w:name="_Toc187"/>
      <w:bookmarkEnd w:id="495"/>
      <w:r>
        <w:rPr>
          <w:rtl w:val="true"/>
        </w:rPr>
        <w:t>القسم الأوّل</w:t>
      </w:r>
      <w:r>
        <w:rPr>
          <w:rtl w:val="true"/>
        </w:rPr>
        <w:t xml:space="preserve">: </w:t>
      </w:r>
      <w:r>
        <w:rPr>
          <w:rtl w:val="true"/>
        </w:rPr>
        <w:t>مَنْ يُصلّى عليه</w:t>
      </w:r>
      <w:r>
        <w:rPr>
          <w:rtl w:val="true"/>
        </w:rPr>
        <w:t>:</w:t>
      </w:r>
      <w:bookmarkEnd w:id="496"/>
    </w:p>
    <w:p>
      <w:pPr>
        <w:pStyle w:val="Heading6"/>
        <w:numPr>
          <w:ilvl w:val="5"/>
          <w:numId w:val="1"/>
        </w:numPr>
        <w:rPr/>
      </w:pPr>
      <w:bookmarkStart w:id="497" w:name="__RefHeading___Toc10362106_73709187"/>
      <w:bookmarkStart w:id="498" w:name="_Toc188"/>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تجبُ على كلّ ميّتٍ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معتقداً للحقّ الذي يعتقده أهل الحقّ‌، كما هو المشهور شُهرة عظيمة</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القدماء والمتأخّرين، كالمفيد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وغيرهم</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تجبُ على غيرالمؤمن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 ونفى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على مَن ماتَ مِنْ أهل </w:t>
      </w:r>
    </w:p>
    <w:p>
      <w:pPr>
        <w:pStyle w:val="BookText"/>
        <w:rPr/>
      </w:pPr>
      <w:r>
        <w:rPr>
          <w:rFonts w:ascii="Amiri" w:hAnsi="Amiri" w:eastAsia="Amiri" w:cs="Amiri"/>
          <w:color w:val="111111"/>
          <w:sz w:val="28"/>
          <w:sz w:val="28"/>
          <w:szCs w:val="28"/>
          <w:rtl w:val="true"/>
          <w:lang w:bidi="ar-SA"/>
        </w:rPr>
        <w:t>القبلة وحسابه على اللّه</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غزوان السَّكوني، عن جعفر،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اُمّتي، وعلى القاتل نفسه من اُمّتي، لا تَدَعوا أحداً من اُمّتي بلا صلاة</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الباقر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خَلف مَنْ قال لا إله إلّااللّه، وعلى مَنْ قال لا إله إلّااللّه</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عليها بضعف السند غير سديد لانجباره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خبر طلحة في نفسه، إذ ليس في سنده من يتأمّل فيه سوى طلحة الذي قد نصَّ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على أنّ كتابه مُعتمد، ولعلّ هذا المقدار بضميمة رواية صفوان عنه في غير المقام، وأنّ في السند في المقام الحسن بن محبوب، كافٍ في كونه من الموثّق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ينصّ أحدٌ على توثيقه سوى المجلسي الثاني</w:t>
      </w:r>
      <w:r>
        <w:rPr>
          <w:rStyle w:val="FootnoteAnchor"/>
          <w:rtl w:val="true"/>
        </w:rPr>
        <w:footnoteReference w:id="1660"/>
      </w:r>
      <w:r>
        <w:rPr>
          <w:rFonts w:ascii="Amiri" w:hAnsi="Amiri" w:eastAsia="Amiri" w:cs="Amiri"/>
          <w:color w:val="111111"/>
          <w:sz w:val="28"/>
          <w:sz w:val="28"/>
          <w:szCs w:val="28"/>
          <w:rtl w:val="true"/>
          <w:lang w:bidi="ar-SA"/>
        </w:rPr>
        <w:t>، حيث حكم بأنّه كالموثّق، والظاهر أنّه استند في توثيقه إلى الوجهين الأولين المذكورين في الكلام المتقدّم، كما صرّح به المولى الوحيد</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فضلاً عن أنّ كون كتابه مُعتَمداً لا يلازم مع وثاقته وحجيّة خبره، حتّى فيما لم يُعلم أنّه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صفوان عنه في غير المقام، لا تدلّ على وثاقته، وحجيّة خبره هذا، لأنّه وإنْ كان من أصحاب الإجماع، إلّاانك قد عرفت أنّ قول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وثاقة كلّ من روى أحد هؤلاء عنه، فراجع، ولا تفيد رواية ابن محبوب في المقام، لعدم ثبوت كونه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الأصحّ كونه منهم كما عن الكشّي</w:t>
      </w:r>
      <w:r>
        <w:rPr>
          <w:rStyle w:val="FootnoteAnchor"/>
          <w:rtl w:val="true"/>
        </w:rPr>
        <w:footnoteReference w:id="1662"/>
      </w:r>
      <w:r>
        <w:rPr>
          <w:rFonts w:ascii="Amiri" w:hAnsi="Amiri" w:eastAsia="Amiri" w:cs="Amiri"/>
          <w:color w:val="111111"/>
          <w:sz w:val="28"/>
          <w:sz w:val="28"/>
          <w:szCs w:val="28"/>
          <w:rtl w:val="true"/>
          <w:lang w:bidi="ar-SA"/>
        </w:rPr>
        <w:t>وغيره، فلا يبعد دعوى حجيّة هذا الخبر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عمومها، وجوب الصَّلاة على الخوارج والنّواصب وغيرهما مِن الفِرق المنتحلة للإسلام، المحكوم بكفرهم،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انصراف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لاتَدَعوا أحداً مِن اُمّتي بلا صلاة</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عن مَن 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يخرج عن العموم لو ثبت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بعد المناقشة في النصوص المتقدّمة بضعف السند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فإنّها تدلّ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عدم وجوب الصَّلاة على غير المعتقد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الصَّلاة على الميّت إكرامٌ ودعاءٌ له، وغير المؤمن لايستحقّ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آنفاً من انجبار ضعفها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لا تدلّ على عدم الوجوب على من اعتقد بما يظهر من الشهادتين، ولم يعتقد بما يعتقده أهل الحقّ‌، مع أنّ الظاهر بقرينة صلاة النبيّ صلى الله عليه و آله على المنافقين أنّه اُريد بالنهي فيها، الدُّعاء لهم،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لا النهي عن الصَّلاة عليهم، ولو غير المشتملة على الدُّعاء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تكون الصَّلاة إعظاماً لإظهار الشهادتين، وأمّا الدُّعاء له فهو غيرُ واجبٍ فيها، بل قد يكون عليه أو لوالديه أو غيرهما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ابن إدريس</w:t>
      </w:r>
      <w:r>
        <w:rPr>
          <w:rStyle w:val="FootnoteAnchor"/>
          <w:rtl w:val="true"/>
        </w:rPr>
        <w:footnoteReference w:id="1667"/>
      </w:r>
      <w:r>
        <w:rPr>
          <w:rFonts w:ascii="Amiri" w:hAnsi="Amiri" w:eastAsia="Amiri" w:cs="Amiri"/>
          <w:color w:val="111111"/>
          <w:sz w:val="28"/>
          <w:sz w:val="28"/>
          <w:szCs w:val="28"/>
          <w:rtl w:val="true"/>
          <w:lang w:bidi="ar-SA"/>
        </w:rPr>
        <w:t>عن الصَّلاة على ولد الزنا، والظاهر أنّ ذلك منه مبنيٌّ على قوله بكفر ولد الزنا، وسيأتي في مبحث النجاسات</w:t>
      </w:r>
      <w:r>
        <w:rPr>
          <w:rStyle w:val="FootnoteAnchor"/>
          <w:rtl w:val="true"/>
        </w:rPr>
        <w:footnoteReference w:id="1668"/>
      </w:r>
      <w:r>
        <w:rPr>
          <w:rFonts w:ascii="IRNazanin" w:hAnsi="IRNazanin" w:eastAsia="IRNazanin"/>
          <w:color w:val="111111"/>
          <w:sz w:val="28"/>
          <w:sz w:val="28"/>
          <w:szCs w:val="28"/>
          <w:rtl w:val="true"/>
          <w:lang w:bidi="fa-IR"/>
        </w:rPr>
        <w:t>من هذا الشرح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الصَّلاة على كلّ مُسلمٍ‌، وكذلك لو وُجِد ميّتاً في بلاد المسلمين، وكذلك على لقيط دار الإسلام، بلا خلافٍ ظاهر، وتشهد له السيرة القطعيّة، وما دلَّ على أنّ لقيط دار الإسلام محكومٌ به من الإجماع وغيره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99" w:name="pg11796_113780"/>
    </w:p>
    <w:p>
      <w:pPr>
        <w:pStyle w:val="BookText"/>
        <w:rPr/>
      </w:pPr>
      <w:bookmarkEnd w:id="499"/>
      <w:r>
        <w:rPr>
          <w:rFonts w:ascii="Amiri" w:hAnsi="Amiri" w:eastAsia="Amiri" w:cs="Amiri"/>
          <w:color w:val="111111"/>
          <w:sz w:val="28"/>
          <w:sz w:val="28"/>
          <w:szCs w:val="28"/>
          <w:rtl w:val="true"/>
          <w:lang w:bidi="ar-SA"/>
        </w:rPr>
        <w:t>أو بحكمه ممّن بَلَغ ستّ سنينٍ من أولادهم</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0362108_73709187"/>
      <w:bookmarkStart w:id="501" w:name="_Toc189"/>
      <w:bookmarkEnd w:id="500"/>
      <w:r>
        <w:rPr>
          <w:rtl w:val="true"/>
        </w:rPr>
        <w:t>الصَّلاة على غير البالغ</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تجب الصَّلاة على من هو بحُكم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بلغَ ستّ سنين من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 شهرة عظيمة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670"/>
      </w:r>
      <w:r>
        <w:rPr>
          <w:rFonts w:ascii="Amiri" w:hAnsi="Amiri" w:eastAsia="Amiri" w:cs="Amiri"/>
          <w:color w:val="111111"/>
          <w:sz w:val="28"/>
          <w:sz w:val="28"/>
          <w:szCs w:val="28"/>
          <w:rtl w:val="true"/>
          <w:lang w:bidi="ar-SA"/>
        </w:rPr>
        <w:t>والمصنّف</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إلى هذا يرجع 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والجُعفي</w:t>
      </w:r>
      <w:r>
        <w:rPr>
          <w:rStyle w:val="FootnoteAnchor"/>
          <w:rtl w:val="true"/>
        </w:rPr>
        <w:footnoteReference w:id="1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يُصلّى عليه حتّى يعقل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ستعرف من أنّ هذه العبارة فُسِّرت ببلوغ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وعبيداللّه بن علي الحلبي، جميعاً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الصَّلاة على الصبي متى يُصلّى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والصيام إذا أطاقه</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اُريد بالعقل بلوغ ستّ سنين، لأنّه فُسّر بذلك في النصوص، كصحيح </w:t>
      </w:r>
    </w:p>
    <w:p>
      <w:pPr>
        <w:pStyle w:val="BookText"/>
        <w:rPr/>
      </w:pPr>
      <w:r>
        <w:rPr>
          <w:rFonts w:ascii="Amiri" w:hAnsi="Amiri" w:eastAsia="Amiri" w:cs="Amiri"/>
          <w:color w:val="111111"/>
          <w:sz w:val="28"/>
          <w:sz w:val="28"/>
          <w:szCs w:val="28"/>
          <w:rtl w:val="true"/>
          <w:lang w:bidi="ar-SA"/>
        </w:rPr>
        <w:t>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متى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وتجب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بنفسه وحده ممّا يدلّ على ما هو المشهور، 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وغيره</w:t>
      </w:r>
      <w:r>
        <w:rPr>
          <w:rStyle w:val="FootnoteAnchor"/>
          <w:rtl w:val="true"/>
        </w:rPr>
        <w:footnoteReference w:id="1678"/>
      </w:r>
      <w:r>
        <w:rPr>
          <w:rFonts w:ascii="Amiri" w:hAnsi="Amiri" w:eastAsia="Amiri" w:cs="Amiri"/>
          <w:color w:val="111111"/>
          <w:sz w:val="28"/>
          <w:sz w:val="28"/>
          <w:szCs w:val="28"/>
          <w:rtl w:val="true"/>
          <w:lang w:bidi="ar-SA"/>
        </w:rPr>
        <w:t xml:space="preserve">من روايته، مع زيادةٍ عليه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 الوارد في موت ابن لأبي جعفر عليه السلام، 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يأمر به فيُدفن، ولا يُصلّى عليه، ولكن النّاس صَنَعوا شيئاً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تجبُ عليه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يدلّ على هذا القول، إذ صدره وإنْ كان في مقام بيان حكم الصَّلاة عليه، إلّا أنّه لم يُحدّد بذلك، وذيله واردٌ في مقام بيان حكم صلاته لا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عليه المرسل الذي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أبو جعفر عليه السلام على ابنٍ صغيرٍ له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 النّاس يقولون إنّ بني هاشم لا يُصلّون على الصغار من أولادهم ما 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متى تَجبُ الصَّلاة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مضافاً إلى احتمال أنْ يكون المراد بهذا المرسل، هو صحيح زرارة المتقدّم،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يمكن أن يكون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فيكون مورده صلاته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صدره في مقام بيان حكم الصَّلاة عليه، لا يصلحُ قرينةً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للصلاة، فيكون مورده الصَّلاة عليه كما يشهد له صحيح الفضلاء المتقدّم، فإنّ مورد صدره الصَّلاة عليه، ومورد ذيله صلاته، فليكن المرسل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أيُصلّى عليه إذا ماتَ وهو ابن خمس سنين‌؟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فصلِّ عليه</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ينافي المشهور، إذ الظاهر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عبرة بالخَمس، وأنّ المناط هو العقل الذي جُعل كنايةً عن بلوغ الستّ‌، لأجل كونهما متلازمين على الغالب بمقتضي القابليّة، فالنادر ممّن يعقلها قبل ذلك، كغيره ممّن لا يعقلها بعده لا عبرة به، فهو تحقيق في تقريب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عقيل</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الصَّلاة على من لم يبلغ،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الصَّلاة استغفار للميّت ودعاء، ومن لم يبلغ، لا حاجة له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وبطائفتين من النصوص</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الطفل لا يُصلّى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زاررة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موت ابن لأبي عبد اللّه عليه السلام، وقال أبو جعفر عليه السلام فيه بعد صلاته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يُصلّى على الأطفال، إنّما كان أمير المؤمنين عليه السلام يأمر بهم فيدفنون من وراء، ولا يُصلّي عليهم، وإنّما صلّيتُ عليه من اجل أهل المدينة، كراهية أن يقولوا لا يُصلّى على أطفالهم</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عبد اللّه، عن أبي الحسن موسى عليه السلام، عن رسول اللّه صلى الله عليه و آله بعد دفنه إبراهيم من دون أن يُصلّي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وأمرني أنْ لا اُصلّي إلّاعلى مَنْ صَلّى‌</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ظهورهما في عدم الوجوب ما لم يبلغ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صريحاً على عدم الوجوب على الطفل، ما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المولود ما لم يَجْرِ عليه القلم هل يُصلّى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والمرأة إذا جَرى عليهما القلم</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تجبُ الصَّلاة على من وَجَبتْ عليه الصَّلاة والحدود، ولا يُصلّى على مَن لم تَجب عليه الصَّلاة ولا الحدود</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ظهور النصوص المتقدّمة في الوجوب المصطلح، فإنّه في اللّغة بمعنى الثبوت، والمتيقّن منه مجرّد المشروعيّة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كونه اجتهاداً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إحاطتنا بمناطات الأحكام، 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ما ذُكر علّة له معلومٌ‌، كيف وأنّه تجبُ الصَّلاة على المعصومين عليهم السلام مع أنّهم غير محتاجين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الأُولى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مطلقة تقيّد بما تقدّم، مع أنّ خبر علي بن عبد اللّه ليس ظاهراً فيما ذُكر، إذ المراد بمن صَلّى مَنْ أمر بها وجوباً أو استحباباً، فهو يعضِدُ المشهور ولا يعارضه، مضافاً إلى احتمال كونه من خصائص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اُجيب عنها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جريان القلم في الموثّق، جريان قلم التكليف ولو تمريناً، أو قلم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 لاشتماله على جماعةٍ من الفطحيّة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تماميّة ما أُورد على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المزبور خلاف الظاهر، من جهة التعبير بالرّجل والمرأة، فإنّهما لا يُطلقان على مَنْ له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يرد عليه ما قيل من أنّه يدلّ على عدم وجوبها على المجنون،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كلام في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بقرينة الإجماع وغيره ممّا دلَّ على وجوبها عليه، يُحمل على كونه طريقاً إلى ما هو الموضوع للحكم، وهو بلوغه حَدّاً تجبُ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حجيّة الموثّق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يورد عليه بإعراض الأصحاب عنه، الموجب لوهنه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ضعيفٌ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النصوص المتقدّمة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أنّه إذا دلّ الدليل على طلب شيء، ولم يرد ترخيصٌ في تركه، يَحكمُ العقل بوجوب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الصّلاة على المُستهلّ‌، يعني من ارتفع صوته بالبكاء، واستدلّ له بصحيح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 وهو المولود الذي لم يستهلّ ولم يصحّ‌، ولم يورث من الدية ولا من غيرها، وإذا استهلّ فصلِّ عليه وورّثه</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 هذه النصوص على التقيّة أو الاستحباب، لما تقدّم من النصوص الصريحة في عدم وجوبها على من كان عمره أقلّ من ستّ سنين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ما هو المشهور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ذكراً كان أو اُنثى‌، حُرّاً كان أو عبداً، وتستحبُّ على مَن نَقَص سنُّه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هذا الحكم المحدود للولد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اُنثى‌، حُرّاً كان أو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نَقَص سنّه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عمره أقلّ من ستّ سنين، كما هو المشهور على ما نُسب إليهم</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تستحبّ‌، كما عن المحدِّث الكاشاني</w:t>
      </w:r>
      <w:r>
        <w:rPr>
          <w:rStyle w:val="FootnoteAnchor"/>
          <w:rtl w:val="true"/>
        </w:rPr>
        <w:footnoteReference w:id="169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وعن غيرهما؟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الأوّل، للأمر بها في صحيح ابن سنان المتقدّم، وغيره المحمول على الاستحباب بقرينة ما تقدّم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699"/>
      </w:r>
      <w:r>
        <w:rPr>
          <w:rFonts w:ascii="Amiri" w:hAnsi="Amiri" w:eastAsia="Amiri" w:cs="Amiri"/>
          <w:color w:val="111111"/>
          <w:sz w:val="28"/>
          <w:sz w:val="28"/>
          <w:szCs w:val="28"/>
          <w:rtl w:val="true"/>
          <w:lang w:bidi="ar-SA"/>
        </w:rPr>
        <w:t xml:space="preserve">أنّ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تضمّن صلاة أبي جعفرٍ عليه السلام على ابنه الذي كان عُمره ثلاث سنين</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عدم مشروعيّتها لتضمّنها أنّ عليّاً عليه السلام لم يكن يُصلّي على الأطفال، وأنّ النبيّ أمر أن لا يُصلّى على مَن لا يُصلّي</w:t>
      </w:r>
      <w:r>
        <w:rPr>
          <w:rStyle w:val="FootnoteAnchor"/>
          <w:rtl w:val="true"/>
        </w:rPr>
        <w:footnoteReference w:id="1701"/>
      </w:r>
      <w:r>
        <w:rPr>
          <w:rFonts w:ascii="Amiri" w:hAnsi="Amiri" w:eastAsia="Amiri" w:cs="Amiri"/>
          <w:color w:val="111111"/>
          <w:sz w:val="28"/>
          <w:sz w:val="28"/>
          <w:szCs w:val="28"/>
          <w:rtl w:val="true"/>
          <w:lang w:bidi="ar-SA"/>
        </w:rPr>
        <w:t>، وأنّ أبا جعفر عليه السلام صَلّى على ابنه مخافة تشنيع النّاس بأنّ بني هاشم لا يصلّون 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أطفالهم</w:t>
      </w:r>
      <w:r>
        <w:rPr>
          <w:rStyle w:val="FootnoteAnchor"/>
          <w:rtl w:val="true"/>
        </w:rPr>
        <w:footnoteReference w:id="1702"/>
      </w:r>
      <w:r>
        <w:rPr>
          <w:rFonts w:ascii="Amiri" w:hAnsi="Amiri" w:eastAsia="Amiri" w:cs="Amiri"/>
          <w:color w:val="111111"/>
          <w:sz w:val="28"/>
          <w:sz w:val="28"/>
          <w:szCs w:val="28"/>
          <w:rtl w:val="true"/>
          <w:lang w:bidi="ar-SA"/>
        </w:rPr>
        <w:t>، وإلّا لم يكن يُصلّي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تدلّ هذه النصوص على عدم مشروعيّتها في أصل الشرع، ولا تدلّ على عدم ثبوت مشروعيّتها بعد ذلك، لأجل انطباق عنوانٍ راجح عليها، كالمجاراة، والمداراة، أو حفظ احترام موتاهم، بل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عليه السلام يأمر به فيُدفن ولا يصلّى عليه، ولكن النّاس صَنَعوا شيئاً فنحن نصنع مثله</w:t>
      </w:r>
      <w:r>
        <w:rPr>
          <w:rFonts w:eastAsia="Amiri" w:cs="Amiri" w:ascii="Amiri" w:hAnsi="Amiri"/>
          <w:color w:val="111111"/>
          <w:sz w:val="28"/>
          <w:szCs w:val="28"/>
          <w:rtl w:val="true"/>
          <w:lang w:bidi="ar-SA"/>
        </w:rPr>
        <w:t>»</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ثبوت مشروعيّتها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ولد الولد حيّاً، وإلّا فلا تستحبُّ أيضاً بلا خلافٍ‌، لصحيح ابن سنان المتقدّم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02" w:name="pg11796_113788"/>
    </w:p>
    <w:p>
      <w:pPr>
        <w:pStyle w:val="BookText"/>
        <w:rPr/>
      </w:pPr>
      <w:bookmarkEnd w:id="502"/>
      <w:r>
        <w:rPr>
          <w:rFonts w:ascii="Amiri" w:hAnsi="Amiri" w:eastAsia="Amiri" w:cs="Amiri"/>
          <w:color w:val="111111"/>
          <w:sz w:val="28"/>
          <w:sz w:val="28"/>
          <w:szCs w:val="28"/>
          <w:rtl w:val="true"/>
          <w:lang w:bidi="ar-SA"/>
        </w:rPr>
        <w:t>وأولاهم بالصَّلاة عليه،</w:t>
      </w:r>
    </w:p>
    <w:p>
      <w:pPr>
        <w:pStyle w:val="BookText"/>
        <w:rPr/>
      </w:pPr>
      <w:r>
        <w:rPr>
          <w:rFonts w:ascii="Amiri" w:hAnsi="Amiri" w:eastAsia="Amiri" w:cs="Amiri"/>
          <w:color w:val="111111"/>
          <w:sz w:val="28"/>
          <w:sz w:val="28"/>
          <w:szCs w:val="28"/>
          <w:rtl w:val="true"/>
          <w:lang w:bidi="ar-SA"/>
        </w:rPr>
        <w:t>في المُصلّي</w:t>
      </w:r>
    </w:p>
    <w:p>
      <w:pPr>
        <w:pStyle w:val="Heading6"/>
        <w:numPr>
          <w:ilvl w:val="5"/>
          <w:numId w:val="1"/>
        </w:numPr>
        <w:rPr/>
      </w:pPr>
      <w:bookmarkStart w:id="503" w:name="__RefHeading___Toc10362110_73709187"/>
      <w:bookmarkStart w:id="504" w:name="_Toc190"/>
      <w:bookmarkEnd w:id="503"/>
      <w:r>
        <w:rPr>
          <w:rtl w:val="true"/>
        </w:rPr>
        <w:t>القسم الثاني</w:t>
      </w:r>
      <w:r>
        <w:rPr>
          <w:rtl w:val="true"/>
        </w:rPr>
        <w:t xml:space="preserve">: </w:t>
      </w:r>
      <w:r>
        <w:rPr>
          <w:rtl w:val="true"/>
        </w:rPr>
        <w:t>في المُصَلّي</w:t>
      </w:r>
      <w:r>
        <w:rPr>
          <w:rtl w:val="true"/>
        </w:rPr>
        <w:t>.</w:t>
      </w:r>
      <w:bookmarkEnd w:id="504"/>
    </w:p>
    <w:p>
      <w:pPr>
        <w:pStyle w:val="Heading6"/>
        <w:numPr>
          <w:ilvl w:val="5"/>
          <w:numId w:val="1"/>
        </w:numPr>
        <w:rPr/>
      </w:pPr>
      <w:bookmarkStart w:id="505" w:name="__RefHeading___Toc10362112_73709187"/>
      <w:bookmarkStart w:id="506" w:name="_Toc191"/>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وأولاهم بالصَّلاة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بغيرها من أحكام الميّت من تغسيله ونحوه، أولى النّاس به، ولا يجوز لغيره التصدّي لها، إلّامع إذنه على المشهور</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مبحث الغُسل</w:t>
      </w:r>
      <w:r>
        <w:rPr>
          <w:rStyle w:val="FootnoteAnchor"/>
          <w:rtl w:val="true"/>
        </w:rPr>
        <w:footnoteReference w:id="1705"/>
      </w:r>
      <w:r>
        <w:rPr>
          <w:rFonts w:ascii="Amiri" w:hAnsi="Amiri" w:eastAsia="Amiri" w:cs="Amiri"/>
          <w:color w:val="111111"/>
          <w:sz w:val="28"/>
          <w:sz w:val="28"/>
          <w:szCs w:val="28"/>
          <w:rtl w:val="true"/>
          <w:lang w:bidi="ar-SA"/>
        </w:rPr>
        <w:t>تنقيح القول في ذلك، وما يمكن أن يقال في مقام الجمع بين ذلك، وكون الوجوب كفائيّاً،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خصوص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بإسناده عن ابن أبي عُمير، عن بعض أصحابه،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البزنطي</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آبائه، عن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الوليّ‌، وإلّا فهو غاصب</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المقام يقع في تعيين أولى النّاس به، وتنقيح القول في ذلك </w:t>
      </w:r>
      <w:bookmarkStart w:id="507" w:name="pg11796_113789"/>
    </w:p>
    <w:p>
      <w:pPr>
        <w:pStyle w:val="Heading6"/>
        <w:numPr>
          <w:ilvl w:val="5"/>
          <w:numId w:val="1"/>
        </w:numPr>
        <w:rPr/>
      </w:pPr>
      <w:bookmarkStart w:id="508" w:name="__RefHeading___Toc10362114_73709187"/>
      <w:bookmarkStart w:id="509" w:name="_Toc192"/>
      <w:bookmarkEnd w:id="507"/>
      <w:bookmarkEnd w:id="508"/>
      <w:r>
        <w:rPr>
          <w:rtl w:val="true"/>
        </w:rPr>
        <w:t>مسائل</w:t>
      </w:r>
      <w:r>
        <w:rPr>
          <w:rtl w:val="true"/>
        </w:rPr>
        <w:t>:</w:t>
      </w:r>
      <w:bookmarkEnd w:id="509"/>
    </w:p>
    <w:p>
      <w:pPr>
        <w:pStyle w:val="Heading6"/>
        <w:numPr>
          <w:ilvl w:val="5"/>
          <w:numId w:val="1"/>
        </w:numPr>
        <w:rPr/>
      </w:pPr>
      <w:bookmarkStart w:id="510" w:name="__RefHeading___Toc10362116_73709187"/>
      <w:bookmarkStart w:id="511" w:name="_Toc193"/>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أولاهم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يستدعي التكلّم في مسائل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0362118_73709187"/>
      <w:bookmarkStart w:id="513" w:name="_Toc194"/>
      <w:bookmarkEnd w:id="512"/>
      <w:r>
        <w:rPr>
          <w:rtl w:val="true"/>
        </w:rPr>
        <w:t>أولى النّاس به أولاهم بالميراث</w:t>
      </w:r>
      <w:bookmarkEnd w:id="51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النّاس بالصلاة عليه، أولاهم بالميراث، قاله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هشام بن سالم، عن الكُناسي، عن مولانا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 وأنّ ابنك أولى بك من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لأبيكَ واُمّكَ أولى بك من أخيك لأبيك، وأخوك من أبيك أولى بك من أخيك 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أخيك لأبيك واُمّك أولى بك من ابن أخيك لأبيك، وابن أخيك لأبيك أولى بك من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أخو أبيك من أبيه واُمّه أولى بك من عمّك أخي أبيك من أبيه، وعمّك اخو أبيك من أبيه أولى بك من عمّك أخي أبيك لاُمّه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عمّك أخي أبيك من أبيه وأُمّه أولى بك من ابن عمّك أخي أبيك لأبيه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عمّك أخي أبيك من أبيه أولى بك من ابن عمّك أخي أبيك لاُمّه</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لن يستوفِ تفصيل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يوافق الكليّة المذكورة، لدلالته على أولويّة المتقرّب بالأب وحده على المتقرّب بالاُمّ وحدها من الإخوة والأعمام وأولادهم، مع اشتراكهم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بأنّه يُستكشَف من تعدّد الأمثلة بأنّه عليه السلام في مقام بيان كبرى كليّة، وهي أنّ المراد بأولويّته الأولويّة في الميراث، من غير دخلٍ لخصوصيّة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بأنّ وجود جهةٍ اُخرى موجبة لصدق الأولويّة شرعاً، لا ينافي كون هذه الجهة ممّا توجب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تعدّد الأولياء في طبقةٍ واحدة، لا ينافي كون جهة اُخرى موجبة لاختصاص الولاية بالبعض،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الواردة في الصَّلاة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ابن أبي عُمير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715"/>
      </w:r>
      <w:r>
        <w:rPr>
          <w:rFonts w:ascii="Amiri" w:hAnsi="Amiri" w:eastAsia="Amiri" w:cs="Amiri"/>
          <w:color w:val="111111"/>
          <w:sz w:val="28"/>
          <w:sz w:val="28"/>
          <w:szCs w:val="28"/>
          <w:rtl w:val="true"/>
          <w:lang w:bidi="ar-SA"/>
        </w:rPr>
        <w:t>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المراد بالأولى هو الأولى بالإرث لوجهين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قضاء الوليّ وردت روايات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كاشفٌ عن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بميراثه،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أولاهم به من كلّ جهةٍ‌، كما يقتضيه حذف المتعلّق، فهو المراد أيضاً، إذ أولويّة الوارث بالميّت في جميع الاُمور، تستكشف من أولويّته بالإرث، إذ لو كان غيره كذلك، لكان هو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لعدم التلازم بين المقامين، لا يكون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بالأولى بالميراث في القضاء، مقتضياً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هنا، مع أنّ المسلم بين الأصحاب تخصيص القضاء بالولد الذَّكر الأكبر، فكيف يمكن حَمل المقام عليه‌؟</w:t>
      </w:r>
    </w:p>
    <w:p>
      <w:pPr>
        <w:pStyle w:val="BookText"/>
        <w:rPr/>
      </w:pPr>
      <w:r>
        <w:rPr>
          <w:rFonts w:ascii="Amiri" w:hAnsi="Amiri" w:eastAsia="Amiri" w:cs="Amiri"/>
          <w:color w:val="111111"/>
          <w:sz w:val="28"/>
          <w:sz w:val="28"/>
          <w:szCs w:val="28"/>
          <w:rtl w:val="true"/>
          <w:lang w:bidi="ar-SA"/>
        </w:rPr>
        <w:t>وأُورد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الأولى بالميّت نفسه، بل المراد بشأنٍ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لا يمكن شموله للحكم المجعول له في هذه النصوص من الصَّلاة ونحوها، وإلّا لزم أخذ الحكم في الموضوع، فيدور الأمر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يراد به الأولى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يُراد به الأولى به عرفاً، وهو الأمسُّ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لو لم يكن أقرب، لا يكون الأوّل أقربُ منه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 ما أُورد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تلك النصوص بعد فرض عدم كونها في مقام بيان جعل أمراً زائداً على وجوب القضاء على الوليّ‌، اتّحاد المراد من العبارتين، أي أولى النّاس بالميّت، وأولى النّاس بميراثه، وأنّ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اُطلق هو الأولى بالميراث،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عن ما أورد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الحكم في باب القضاء ببعض من هو أولى النّاس بميراثه بقرينة اُخرى‌،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أورد على الوجه الثاني، فالجواب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أحقّ به وأجدر من غيره، ولا ريب في أنّ الأحقّ والأجدر به حتّى عند العرف هو مَن يرثه،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بضميمة ما دلَّ على كون الولاية الثابتة في المقام من الحقوق، وعدم كونها مجرّد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لا ينافي هذا القول موثّق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اُولو الأرحام في المواريث، ولم يعن أولياء النعمة</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 فأولاهم بالميّت أقربهم إليه من الرَّحم التي يجره إليها، إذ الأقربيّة في الحالات التي تكون مجملة عند أهل العرف تستكشف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تلك الحالات توافق ما عليه الأصحاب من ترتيب ذلك على طبقات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كلّه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xml:space="preserve">من دعواه أنّه لا يبعدُ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علاقةً 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بعض علماء البحرين</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الوليّ هو المحرم من الورثة، وإذا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تعدّد فالأشدّ علاقةً به، بحيث يكون هو المُعزّى في وفاته، ومرجعه في حياته، حيث استدلّ 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ظاهر النصوص، هو من له مباشرة الغُسل فعلاً، ولو عند عدم المماثل،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لاينحصر بذلك، كما يظهر لمن راجع ما ذكرناه، مع أنّه لو تمّ فإنّما هو مع عدم كون الوارث مماثلاً للميّت، وإلّا فيجوز له المباشرة مطلقاً فتدبّر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بين الأصحاب</w:t>
      </w:r>
      <w:r>
        <w:rPr>
          <w:rFonts w:eastAsia="Amiri" w:cs="Amiri" w:ascii="Amiri" w:hAnsi="Amiri"/>
          <w:color w:val="111111"/>
          <w:sz w:val="28"/>
          <w:szCs w:val="28"/>
          <w:rtl w:val="true"/>
          <w:lang w:bidi="ar-SA"/>
        </w:rPr>
        <w:t>.</w:t>
      </w:r>
      <w:bookmarkStart w:id="514" w:name="pg11796_113794"/>
    </w:p>
    <w:p>
      <w:pPr>
        <w:pStyle w:val="Heading6"/>
        <w:numPr>
          <w:ilvl w:val="5"/>
          <w:numId w:val="1"/>
        </w:numPr>
        <w:rPr/>
      </w:pPr>
      <w:bookmarkStart w:id="515" w:name="__RefHeading___Toc10362120_73709187"/>
      <w:bookmarkStart w:id="516" w:name="_Toc195"/>
      <w:bookmarkEnd w:id="514"/>
      <w:bookmarkEnd w:id="515"/>
      <w:r>
        <w:rPr>
          <w:rtl w:val="true"/>
        </w:rPr>
        <w:t>تقدّم الذّكور على الإناث</w:t>
      </w:r>
      <w:bookmarkEnd w:id="5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720"/>
      </w:r>
      <w:r>
        <w:rPr>
          <w:rFonts w:ascii="Amiri" w:hAnsi="Amiri" w:eastAsia="Amiri" w:cs="Amiri"/>
          <w:color w:val="111111"/>
          <w:sz w:val="28"/>
          <w:sz w:val="28"/>
          <w:szCs w:val="28"/>
          <w:rtl w:val="true"/>
          <w:lang w:bidi="ar-SA"/>
        </w:rPr>
        <w:t>بأنّه إذا كان الأولياء رجالاً ونساء فالرِّجال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المحقّق الثاني</w:t>
      </w:r>
      <w:r>
        <w:rPr>
          <w:rStyle w:val="FootnoteAnchor"/>
          <w:rtl w:val="true"/>
        </w:rPr>
        <w:footnoteReference w:id="1722"/>
      </w:r>
      <w:r>
        <w:rPr>
          <w:rFonts w:ascii="Amiri" w:hAnsi="Amiri" w:eastAsia="Amiri" w:cs="Amiri"/>
          <w:color w:val="111111"/>
          <w:sz w:val="28"/>
          <w:sz w:val="28"/>
          <w:szCs w:val="28"/>
          <w:rtl w:val="true"/>
          <w:lang w:bidi="ar-SA"/>
        </w:rPr>
        <w:t>بما إذا لم تكن امرأة، وإلّا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ظاهر كلمات القوم، عدم الفرق بين كون الميّت رجلاً أو امرأة،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التعميم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الرّجل أقوى على الاُمور وأبصر بها، وأسدّ رأياً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نفي القضاء على الاُنثى‌</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صحيح الكناسي المتقدّم من تقديم الابن على الاُمّ‌</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ثبوت الولاية للمرأة مع وجود الرِّجال، سيّما مع كون الخطاب ظاهراً للذّكور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التعليلات إنّما يحسُن أن تُذكر حِكْمةً للحكم إذا دلّ دليلٌ عليه، وإلّا فهي بأنفسها لا تصلح أن تكون دليلاً للحكم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القضاء على الاُنثى أعمّ من عدم ولايتها مع وجود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وجوده في النسخ المتعارفة من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سبيل إلى الرجوع إلى الأصل، مع وجود الإطلاقات،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المنسبق إلى الذهن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المراد هو الأولى بالإرث، فإذاً لا دليل على ذلك، ولكن الاحتياط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ثبوته، هل يختصُّ ذلك بما إذا كان الميّت رجلاً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ما دلَّ على اعتبار إذن الوليّ‌، أنّ له المباشرة، لا أنّ معنى ولايته الإذن فقط، مضافاً إلى اقتضاء التوكيل في أمر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اختصاص هذا الوجه بالتغسيل، وإلى أنّ لازم ذلك نفي الولاية عن غير المماثل مطلقاً، وهو ممّا لا يلتزم به أحدٌ، وقد دلّ الدليل على خلافه، ففي صحيح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17" w:name="pg11796_113796"/>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إلّاعلى الميّت، إذا لم يكن أحدٌ أوليمنها</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كما أنّ ثبوت الولاية غير ملازم لإمكان المباشرة، بل ربما تثبت مع امتناعها لمرضٍ ونحوه، كذلك لا يلازم مع جوازها، فإنّ المستفاد من أدلّتها، بل صريح بعضها، إمّا المباشرة أو الإذن، ويؤيّده عدم الخلاف في أولويّة الزوج بزوجته، مع أنّ الأولى اجتناب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فالثاني أظهر</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0362122_73709187"/>
      <w:bookmarkStart w:id="519" w:name="_Toc196"/>
      <w:bookmarkEnd w:id="518"/>
      <w:r>
        <w:rPr>
          <w:rtl w:val="true"/>
        </w:rPr>
        <w:t>أولوية من انتسب إلى الميّت بالأبوين</w:t>
      </w:r>
      <w:bookmarkEnd w:id="51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طبقةٍ من طبقات الإرث، مَنْ مَتَّ إلى الميّت بالأب والاُمّ أولى ممّن مَتَّ إليه بالأب، وهو أولى ممّن انتسب إليه 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صحيح يزيد الكناسي المتقدّم، فإنّه وإنْ لم يُصرّح فيه بهذه الكليّة، إلّا أنّه يستفاد منه ذلك، كما لا يخفى‌</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0362124_73709187"/>
      <w:bookmarkStart w:id="521" w:name="_Toc197"/>
      <w:bookmarkEnd w:id="520"/>
      <w:r>
        <w:rPr>
          <w:rtl w:val="true"/>
        </w:rPr>
        <w:t>الترتيب بين أفراد طبقةٍ واحدة</w:t>
      </w:r>
      <w:bookmarkEnd w:id="52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بأنّه في الطبقة الأولى الأب مقدّمٌ على الأولاد، وهم على أولادهم، وهو على الاُمّ‌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 الأصحاب</w:t>
      </w:r>
      <w:r>
        <w:rPr>
          <w:rStyle w:val="FootnoteAnchor"/>
          <w:rtl w:val="true"/>
        </w:rPr>
        <w:footnoteReference w:id="1730"/>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مُشعراً بالإجماع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الأب أشفقُ علي الميّت وأرقُّ عليه، فيكون دعائه أقربُ للإجابه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مع وجود الأب لا ينسبق إلى الذهن مِنْ الأمر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عليه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إلّاهو، فهو الذي تنصرف إليه إطلاقات الأدلّة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صلاحيّة مثل هذه التعليلات أن تكون دليلاً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يثبت، لعدم ثبوته كونه تعبّديّاً، إذ لعلّ مستند المجمعين أو بعضهم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ورود التفسير 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بميراثه، لاسبيل إلى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بحسب الأدلّة عدم التقديم، إلّاأنّ 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أيضاً، ويشهد له، خبر الكناسي، وكون الأولاد أولى بالميراث من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تقديم الذَّكر على الاُنثى الذي عرفت ما فيه، وبأنّه أشفق وأرقّ وأقرب إلى إجابة الدُّعاء، وقد عرفت ما في هذه التعليلات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يُستدلّ له بصحيح الكناسي، فإنّه يُستفاد منها أنّ‌ </w:t>
      </w:r>
    </w:p>
    <w:p>
      <w:pPr>
        <w:pStyle w:val="BookText"/>
        <w:rPr/>
      </w:pPr>
      <w:r>
        <w:rPr>
          <w:rFonts w:ascii="Amiri" w:hAnsi="Amiri" w:eastAsia="Amiri" w:cs="Amiri"/>
          <w:color w:val="111111"/>
          <w:sz w:val="28"/>
          <w:sz w:val="28"/>
          <w:szCs w:val="28"/>
          <w:rtl w:val="true"/>
          <w:lang w:bidi="ar-SA"/>
        </w:rPr>
        <w:t>جانب الأب أولى بالرعاية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Style w:val="FootnoteAnchor"/>
          <w:rtl w:val="true"/>
        </w:rPr>
        <w:footnoteReference w:id="1732"/>
      </w:r>
      <w:r>
        <w:rPr>
          <w:rFonts w:ascii="Amiri" w:hAnsi="Amiri" w:eastAsia="Amiri" w:cs="Amiri"/>
          <w:color w:val="111111"/>
          <w:sz w:val="28"/>
          <w:sz w:val="28"/>
          <w:szCs w:val="28"/>
          <w:rtl w:val="true"/>
          <w:lang w:bidi="ar-SA"/>
        </w:rPr>
        <w:t>والحلّي</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مقدّمٌ على الاخوة، وإنْ كانوا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بالانصراف حسب ما ادّعوه في الأب، لدى اجتماعه مع الابن، الذي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له الولاية على الميّت وأبيه في بعض أحوالهما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في حال الحياة في بعض الحالات، لا تكون دليلاً على تقدّمه على الأخ في حال الممات، بعد كون المناط الأولويّة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ذلك، فهو بالنسبة إلى الجدّ من قِبل الأب كما قيّداه به، وأمّا إذا كان من قِبل الاُمّ‌، فهو مساوٍ للأخ منها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إليهما أنّه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مقدّمٌ على الخال، ويمكن أن يستدلّ له بخبر الكناسي، الظاهر في أنّ المنتسب بالأب مُقدّمٌ على المنتسب بالاُمّ‌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22" w:name="pg11796_113799"/>
    </w:p>
    <w:p>
      <w:pPr>
        <w:pStyle w:val="BookText"/>
        <w:rPr/>
      </w:pPr>
      <w:bookmarkEnd w:id="522"/>
      <w:r>
        <w:rPr>
          <w:rFonts w:ascii="Amiri" w:hAnsi="Amiri" w:eastAsia="Amiri" w:cs="Amiri"/>
          <w:color w:val="111111"/>
          <w:sz w:val="28"/>
          <w:sz w:val="28"/>
          <w:szCs w:val="28"/>
          <w:rtl w:val="true"/>
          <w:lang w:bidi="ar-SA"/>
        </w:rPr>
        <w:t>والزَّوجُ أولى من غيره</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362126_73709187"/>
      <w:bookmarkStart w:id="524" w:name="_Toc198"/>
      <w:bookmarkEnd w:id="523"/>
      <w:r>
        <w:rPr>
          <w:rtl w:val="true"/>
        </w:rPr>
        <w:t>أولويّة الزّوج بزوجته</w:t>
      </w:r>
      <w:bookmarkEnd w:id="52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بزوجته على المشهور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36"/>
      </w:r>
      <w:r>
        <w:rPr>
          <w:rFonts w:ascii="Amiri" w:hAnsi="Amiri" w:eastAsia="Amiri" w:cs="Amiri"/>
          <w:color w:val="111111"/>
          <w:sz w:val="28"/>
          <w:sz w:val="28"/>
          <w:szCs w:val="28"/>
          <w:rtl w:val="true"/>
          <w:lang w:bidi="ar-SA"/>
        </w:rPr>
        <w:t xml:space="preserve">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وغيرها</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إسحاق 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أحقّ بالمرأة حتّى يضعها في قبرها</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740"/>
      </w:r>
      <w:r>
        <w:rPr>
          <w:rFonts w:ascii="Amiri" w:hAnsi="Amiri" w:eastAsia="Amiri" w:cs="Amiri"/>
          <w:color w:val="111111"/>
          <w:sz w:val="28"/>
          <w:sz w:val="28"/>
          <w:szCs w:val="28"/>
          <w:rtl w:val="true"/>
          <w:lang w:bidi="ar-SA"/>
        </w:rPr>
        <w:t>والمصنّف</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الاتّفاق على العمل بمضمونه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الذي رواه المشائخ الثلاثة في الكتب الثلاثة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 مَنْ أحقّ بالصلاة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والولد والأخ‌؟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ويُغسّلها</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هذه الأولويّة لماتقدّم من أنّ أولى النّاس بالميّت أولاهم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الخبرين مع صحيح حفص،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ومعها أخوها وزوجها، أيّهما يصلّي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عبد الرحمن عنه عليه السلام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الموثّق حجّة على الأقوى‌، مع أنّ ضعف السند لو كان فهو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تقديم بعض أفراد الطبقة على غيره لجهاتٍ اُخر، لا ينافي مع كون الولاية لمن هو أولى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المعارض لإعراض الأصحاب عنه يُطرح أو يُحمل على التقيّة، لما عن الشيخ</w:t>
      </w:r>
      <w:r>
        <w:rPr>
          <w:rStyle w:val="FootnoteAnchor"/>
          <w:rtl w:val="true"/>
        </w:rPr>
        <w:footnoteReference w:id="1745"/>
      </w:r>
      <w:r>
        <w:rPr>
          <w:rFonts w:ascii="Amiri" w:hAnsi="Amiri" w:eastAsia="Amiri" w:cs="Amiri"/>
          <w:color w:val="111111"/>
          <w:sz w:val="28"/>
          <w:sz w:val="28"/>
          <w:szCs w:val="28"/>
          <w:rtl w:val="true"/>
          <w:lang w:bidi="ar-SA"/>
        </w:rPr>
        <w:t>من حكاية 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النصّ والفتوى، عدم الفرق بين كون الزوجة حُرَّة أو أمَة، دأئمّة أو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النصوص إلى الحُرّة التي كانت مالكة لنفسها في الحياة، مع أنّ تقييد النصوص المذكورة أولى من تقييد قاعدة السلطنة على الأملاك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الإنصراف ممنوعٌ‌، بعد كون ملاك أحقّيّة الزوج غير معلوم عندنا،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والزوجة كما تشمل الأمَة كذلك تشمل الحُرّة بلا 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746"/>
      </w:r>
      <w:r>
        <w:rPr>
          <w:rFonts w:ascii="Amiri" w:hAnsi="Amiri" w:eastAsia="Amiri" w:cs="Amiri"/>
          <w:color w:val="111111"/>
          <w:sz w:val="28"/>
          <w:sz w:val="28"/>
          <w:szCs w:val="28"/>
          <w:rtl w:val="true"/>
          <w:lang w:bidi="ar-SA"/>
        </w:rPr>
        <w:t>منافاة ذلك 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الأمَة بموتها من ملك سيّدها، لخروجها من أهليّة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في المنقطعة، لا سيّما إذا انقضى الأجل بعد موتها، لبينونتها حينئذٍ عنه، بل لم يستبعد ذلك بمجرّد موتها، وإنْ لم ينقضِ الأجل، لكونها كالعين المستأجرة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النصّ يقتضي ثبوت هذا الحكم في المنقطعة كالدأئمّة، وحصول البينونة بينهما بمجرّد موتها، وإنْ كان ممّا لا ريب فيه، إلّاأنّه في الدائمة أيضاً كذلك، لعدم معقوليّة بقاء الزوجيّة متعلّقة بالميّت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25" w:name="pg11796_113802"/>
    </w:p>
    <w:p>
      <w:pPr>
        <w:pStyle w:val="BookText"/>
        <w:rPr/>
      </w:pPr>
      <w:bookmarkEnd w:id="525"/>
      <w:r>
        <w:rPr>
          <w:rFonts w:ascii="Amiri" w:hAnsi="Amiri" w:eastAsia="Amiri" w:cs="Amiri"/>
          <w:color w:val="111111"/>
          <w:sz w:val="28"/>
          <w:sz w:val="28"/>
          <w:szCs w:val="28"/>
          <w:rtl w:val="true"/>
          <w:lang w:bidi="ar-SA"/>
        </w:rPr>
        <w:t>والهاشميُّ أحقّ إذا قَدّمه الوليّ‌، ويستحبُّ له تقديمه مع الشرائط</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0362128_73709187"/>
      <w:bookmarkStart w:id="527" w:name="_Toc199"/>
      <w:bookmarkEnd w:id="526"/>
      <w:r>
        <w:rPr>
          <w:rtl w:val="true"/>
        </w:rPr>
        <w:t>أولويّة الهاشمي من غيره</w:t>
      </w:r>
      <w:bookmarkEnd w:id="52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والهاشميّ أحقّ إذا قدّمه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7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المذكورة تعني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يستحبّله تقديمه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ولا تقدموها</w:t>
      </w:r>
      <w:r>
        <w:rPr>
          <w:rFonts w:eastAsia="Amiri" w:cs="Amiri" w:ascii="Amiri" w:hAnsi="Amiri"/>
          <w:color w:val="111111"/>
          <w:sz w:val="28"/>
          <w:szCs w:val="28"/>
          <w:rtl w:val="true"/>
          <w:lang w:bidi="ar-SA"/>
        </w:rPr>
        <w:t>»</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قاعدة التسامح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تقديمه، وليس له دليلٌ ظاهر</w:t>
      </w:r>
      <w:r>
        <w:rPr>
          <w:rFonts w:eastAsia="Amiri" w:cs="Amiri" w:ascii="Amiri" w:hAnsi="Amiri"/>
          <w:color w:val="111111"/>
          <w:sz w:val="28"/>
          <w:szCs w:val="28"/>
          <w:rtl w:val="true"/>
          <w:lang w:bidi="ar-SA"/>
        </w:rPr>
        <w:t>.</w:t>
      </w:r>
      <w:bookmarkStart w:id="528" w:name="pg11796_113803"/>
    </w:p>
    <w:p>
      <w:pPr>
        <w:pStyle w:val="BookText"/>
        <w:rPr/>
      </w:pPr>
      <w:bookmarkEnd w:id="528"/>
      <w:r>
        <w:rPr>
          <w:rFonts w:ascii="Amiri" w:hAnsi="Amiri" w:eastAsia="Amiri" w:cs="Amiri"/>
          <w:color w:val="111111"/>
          <w:sz w:val="28"/>
          <w:sz w:val="28"/>
          <w:szCs w:val="28"/>
          <w:rtl w:val="true"/>
          <w:lang w:bidi="ar-SA"/>
        </w:rPr>
        <w:t>والإمام أولى من غيره، ووجوبها على الكفاية</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0362130_73709187"/>
      <w:bookmarkStart w:id="530" w:name="_Toc200"/>
      <w:bookmarkEnd w:id="529"/>
      <w:r>
        <w:rPr>
          <w:rtl w:val="true"/>
        </w:rPr>
        <w:t>الإمام أولى من غيره</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بلا خلافٍ أجده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بل لعلّه ضروري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وضوحه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الغدير</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طلحة بن زيد،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الإمام الجنازة، فهو أحقُّ بالصّلاة عليها</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احتياجه إلى إذن الوليّ‌، خروجٌ عمّا يقتضيه قانون العبوديّة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0362132_73709187"/>
      <w:bookmarkStart w:id="532" w:name="_Toc201"/>
      <w:bookmarkEnd w:id="531"/>
      <w:r>
        <w:rPr>
          <w:rtl w:val="true"/>
        </w:rPr>
        <w:t>التنبيه على الأمرين</w:t>
      </w:r>
      <w:bookmarkEnd w:id="532"/>
    </w:p>
    <w:p>
      <w:pPr>
        <w:pStyle w:val="Heading6"/>
        <w:numPr>
          <w:ilvl w:val="5"/>
          <w:numId w:val="1"/>
        </w:numPr>
        <w:rPr/>
      </w:pPr>
      <w:bookmarkStart w:id="533" w:name="__RefHeading___Toc10362134_73709187"/>
      <w:bookmarkStart w:id="534" w:name="_Toc202"/>
      <w:bookmarkEnd w:id="533"/>
      <w:r>
        <w:rPr>
          <w:rtl w:val="true"/>
        </w:rPr>
        <w:t>اشارة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أمران لابدَّ من التنبيه عليهما</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0362136_73709187"/>
      <w:bookmarkStart w:id="536" w:name="_Toc203"/>
      <w:bookmarkEnd w:id="535"/>
      <w:r>
        <w:rPr>
          <w:rtl w:val="true"/>
        </w:rPr>
        <w:t>وجوبها على الكفاية</w:t>
      </w:r>
      <w:bookmarkEnd w:id="53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الولاية لفرد أو أفراد، لا ينافي ما ذكرناه في أوّل المباحث المتعلّقة بالميّت،</w:t>
      </w:r>
      <w:r>
        <w:rPr>
          <w:rStyle w:val="FootnoteAnchor"/>
          <w:rtl w:val="true"/>
        </w:rPr>
        <w:footnoteReference w:id="1758"/>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وغيرها من أحكام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الكلام في ذلك في مبحث التغسيل، حيث أوضحنا في ذلك المبحث حكم ولاية الحاكم، وجملةٌ من فروع الولاية، فراجع</w:t>
      </w:r>
      <w:r>
        <w:rPr>
          <w:rFonts w:eastAsia="Amiri" w:cs="Amiri" w:ascii="Amiri" w:hAnsi="Amiri"/>
          <w:color w:val="111111"/>
          <w:sz w:val="28"/>
          <w:szCs w:val="28"/>
          <w:rtl w:val="true"/>
          <w:lang w:bidi="ar-SA"/>
        </w:rPr>
        <w:t>.</w:t>
      </w:r>
      <w:r>
        <w:rPr>
          <w:rStyle w:val="FootnoteAnchor"/>
          <w:rtl w:val="true"/>
        </w:rPr>
        <w:footnoteReference w:id="1759"/>
      </w:r>
      <w:bookmarkStart w:id="537" w:name="pg11796_113804"/>
    </w:p>
    <w:p>
      <w:pPr>
        <w:pStyle w:val="Heading6"/>
        <w:numPr>
          <w:ilvl w:val="5"/>
          <w:numId w:val="1"/>
        </w:numPr>
        <w:rPr/>
      </w:pPr>
      <w:bookmarkStart w:id="538" w:name="__RefHeading___Toc10362138_73709187"/>
      <w:bookmarkStart w:id="539" w:name="_Toc204"/>
      <w:bookmarkEnd w:id="537"/>
      <w:bookmarkEnd w:id="538"/>
      <w:r>
        <w:rPr>
          <w:rtl w:val="true"/>
        </w:rPr>
        <w:t>في اشتراط إذن الجميع عند تعدّد الأولياء وعدمه</w:t>
      </w:r>
      <w:bookmarkEnd w:id="53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أنّه إذا تعدّد أهل مرتبةٍ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يعتبر إذن الجميع‌؟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يكفي إذن أحدهم مطلقاً؟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لم يمنع غيره‌؟</w:t>
      </w:r>
    </w:p>
    <w:p>
      <w:pPr>
        <w:pStyle w:val="BookText"/>
        <w:rPr/>
      </w:pPr>
      <w:r>
        <w:rPr>
          <w:rFonts w:ascii="IRNazanin" w:hAnsi="IRNazanin" w:eastAsia="IRNazanin"/>
          <w:color w:val="111111"/>
          <w:sz w:val="28"/>
          <w:sz w:val="28"/>
          <w:szCs w:val="28"/>
          <w:rtl w:val="true"/>
          <w:lang w:bidi="fa-IR"/>
        </w:rPr>
        <w:t>وجوه، أقواها 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للسيرة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ولصدق الوليّ على كلّ واحدٍ منهم، وأنّه ليس أحدٌ أولى به منه، فإذا صلّى عليه، فقد فَعَله أولى النّاس به، فيكون مُجزياً، وليس لغيره منعه، لعدم أولويّته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دليل الولاية، ثبوت ولاية واحدة لصرف طبيعة الوليّ‌، لا حقوق متعدّدة بتعدّد أفراد الوليّ‌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الولاية لصرف طبيعة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ثبوت ولاية واحدة للجميع، بل معناه ثبوت الولاية لواحدٍ من الأفراد، بمعنى أنّ كلّ واحدٍ من الأفراد الثابتة لهم الولاية، له التصدّي لجميع ما هو من شؤون الولاية، فيكفي إذنٌ واحدٌ منهم، نظير ما ذكره جماعة</w:t>
      </w:r>
      <w:r>
        <w:rPr>
          <w:rStyle w:val="FootnoteAnchor"/>
          <w:rtl w:val="true"/>
        </w:rPr>
        <w:footnoteReference w:id="1760"/>
      </w:r>
      <w:r>
        <w:rPr>
          <w:rFonts w:ascii="Amiri" w:hAnsi="Amiri" w:eastAsia="Amiri" w:cs="Amiri"/>
          <w:color w:val="111111"/>
          <w:sz w:val="28"/>
          <w:sz w:val="28"/>
          <w:szCs w:val="28"/>
          <w:rtl w:val="true"/>
          <w:lang w:bidi="ar-SA"/>
        </w:rPr>
        <w:t>في الواجب الكفائي، حيث التزموا بأنّ المكلّف ليس مجموع الأفراد، ولا الجميع، ولا الواحد المعيّن، ولا المردّد، بل صِرْفُ وجود طبيعة المكلّف، فبامتثال أحد المكلّفين يتحقّق الفعل من صِرْف وجود الطبيعة، فيسقط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فالتصريح بأنّ الولاية ثابتة لصِرْف طبيعة الوليّ ينافي الالتزام باعتبار إذن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توجّه التكليف إلى صِرْف وجود طبيعة المكلّف، كثبوت الولاية لصِرْف وجود طبيعة الوليّ ممّا لا نتعقّله، إذ تعلّق التكليف بصرف وجود طبيعة الفعل، بمعنى ناقض العدم المطلق أمرٌ معقولٌ من جهة أنّ المتعلّق غير موجود، والتكليف يقتضي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المكلّف هو صِرْف طبيعته، بعد اعتبار ثبوت المكلّف، قبل فعليّة الحكم، وفرض كون ثبوته في ضمن أفرادٍ متعدّدة، فليس له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كون المكلّف هو أسنّ المكلّفين،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 أوّل من قام بالفعل، وهو ينافي لزوم كون موضوع التكليف مفروض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فلا مناص عن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بكون الموضوع هو المجموع، المفروض عدمه في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الجميع، مع كون التكليف المتوجّه إلى كلّ واحدٍ مشروطاً بعدم إتيان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والجواب عمّا أُورد عليه موكولٌ إلى محلّه في مباحث الواجب الكفائي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بما أنّ الولاية تستفاد من النصوص المتضمّنة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على الميّت أولى النّاس به أو من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في تشخيص كون الوليّ هو مجموع مَنْ في طبقة واحدة، أو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معقوليّة كون الوليّ هو صِرْف طبيعة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الاستظهار من تلك النصوص وبيان مفادها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عليه أولى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لايحتمل أن يكون </w:t>
      </w:r>
    </w:p>
    <w:p>
      <w:pPr>
        <w:pStyle w:val="BookText"/>
        <w:rPr/>
      </w:pPr>
      <w:r>
        <w:rPr>
          <w:rFonts w:ascii="Amiri" w:hAnsi="Amiri" w:eastAsia="Amiri" w:cs="Amiri"/>
          <w:color w:val="111111"/>
          <w:sz w:val="28"/>
          <w:sz w:val="28"/>
          <w:szCs w:val="28"/>
          <w:rtl w:val="true"/>
          <w:lang w:bidi="ar-SA"/>
        </w:rPr>
        <w:t>معناه قيام الجميع بصلاةٍ واحدة، بأن يأتي كلّ واحدٍ بتكبيرة واحدة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قاموا بها كذلك كانت باطلة بلا ترديد، كما أنّه ليس المراد وجوب إتيان كلّ واحدٍ منهم بصلاة كاملة، لعدم دلالته على وجوب أكثر من صلاة واحدة بلا كلام، بل المراد منه أنّ لكلّ واحد من الأولياء أن يُصلّي عليه، بمعنى أنّ الكلّ مكلّفون بالتكليف المشروط، ولازم ذلك ثبوت الولاية لكلّ واحدٍ من الأفراد، لا ثبوت ولايةٍ واحدةٍ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يجبُ الاسيتذان من الجميع،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الولاية الثابتة لكلّ واحدٍ لازمها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إذنه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مانعيّة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أذِنَ أحد الأولياء، ولم يمنع الآخر، فالشرط موجودٌ والمانع مفقود، فتصحّ الصَّلاة، وأمّا لو منع الآخر، فالشرط وإنْ كان موجوداً، إلّاأنّ الصلاة تبطل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عليه أولى النّاس به، أو مَنْ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اعتبار الإذن في صحّة الصَّلاة، وأمّا مانعيّة المنع،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شرطيّة الإذن لا يُعقل اجتماعها مع مانعيّة المنع، لما حقّق في محلّه من عدم معقوليّة جَعل الشرطيّة لأحد الضدّين، والمانعيّة للاخر،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إذن أحدهم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جواز الصَّلاة من كلّ واحدٍ منهم، من دون الحاجة إلى إذن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التفصيل بينهما، بالالتزام بعدم كفاية إذن أحدهم، وجواز الصَّلاة </w:t>
      </w:r>
    </w:p>
    <w:p>
      <w:pPr>
        <w:pStyle w:val="BookText"/>
        <w:rPr/>
      </w:pPr>
      <w:r>
        <w:rPr>
          <w:rFonts w:ascii="Amiri" w:hAnsi="Amiri" w:eastAsia="Amiri" w:cs="Amiri"/>
          <w:color w:val="111111"/>
          <w:sz w:val="28"/>
          <w:sz w:val="28"/>
          <w:szCs w:val="28"/>
          <w:rtl w:val="true"/>
          <w:lang w:bidi="ar-SA"/>
        </w:rPr>
        <w:t xml:space="preserve">بلا إذنٍ من الآخرين،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إفتائه رحمه الله جزماً بجواز أن يقتدي بكلّ واحدٍ منهم، مع فرض أهليّته للجماعة، إذ شرعيّة عقد جماعتين على ميّتٍ واحد، مع فرض عدم الإطلاق لما تستفاد منه شرعيّة الجماعة فيها، وعدم معهوديّته في الشريعة،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بطلان الجماعة لا يقتضي بطلان صلاة الإمامين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ذلك كلّه، ما أورده بعض الأعاظم</w:t>
      </w:r>
      <w:r>
        <w:rPr>
          <w:rStyle w:val="FootnoteAnchor"/>
          <w:rtl w:val="true"/>
        </w:rPr>
        <w:footnoteReference w:id="1762"/>
      </w:r>
      <w:r>
        <w:rPr>
          <w:rFonts w:ascii="Amiri" w:hAnsi="Amiri" w:eastAsia="Amiri" w:cs="Amiri"/>
          <w:color w:val="111111"/>
          <w:sz w:val="28"/>
          <w:sz w:val="28"/>
          <w:szCs w:val="28"/>
          <w:rtl w:val="true"/>
          <w:lang w:bidi="ar-SA"/>
        </w:rPr>
        <w:t>علي السيّد رحمه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يتّضحُ الفرق بين الصَّلاة فرادى‌، والصَّلاة مقتدياً؛ في وجوب الاستيذان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ولا كلام في أنّه لا يعتبر للمأمومين الاستيذان لا من الجميع، ولا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الثالث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الرابع إنْ شاء اللّه تعالى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40" w:name="pg11796_113808"/>
    </w:p>
    <w:p>
      <w:pPr>
        <w:pStyle w:val="Heading2"/>
        <w:numPr>
          <w:ilvl w:val="1"/>
          <w:numId w:val="1"/>
        </w:numPr>
        <w:rPr/>
      </w:pPr>
      <w:bookmarkStart w:id="541" w:name="__RefHeading___Toc10362140_73709187"/>
      <w:bookmarkStart w:id="542" w:name="_Toc205"/>
      <w:bookmarkEnd w:id="540"/>
      <w:bookmarkEnd w:id="541"/>
      <w:r>
        <w:rPr>
          <w:rtl w:val="true"/>
        </w:rPr>
        <w:t>فهرس الموضوعات</w:t>
      </w:r>
      <w:bookmarkEnd w:id="542"/>
    </w:p>
    <w:p>
      <w:pPr>
        <w:pStyle w:val="BookText"/>
        <w:rPr/>
      </w:pPr>
      <w:r>
        <w:rPr>
          <w:rFonts w:ascii="Amiri" w:hAnsi="Amiri" w:eastAsia="Amiri" w:cs="Amiri"/>
          <w:color w:val="111111"/>
          <w:sz w:val="28"/>
          <w:sz w:val="28"/>
          <w:szCs w:val="28"/>
          <w:rtl w:val="true"/>
          <w:lang w:bidi="ar-SA"/>
        </w:rPr>
        <w:t>في أحكام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يَحرمُ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الإستمتاع بما بين السُرّة والرُّكبة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حكم وطي الحائض لو اشتبه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حكم الدّم الخارج عن غير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جواز الوطء قبل الغُسل بعد انقطاع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اشتراط غَسل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يشرع الغَسل لو وجب التمكين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الوطء مع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حكم الرجل الواطي زوجته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كفّارة وطء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مقدار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كفّارة وطء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شرائط وجوب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جواز إعطاء قيمة 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حكم تكرّر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حكم 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حرمة العبادات المشروطة بالطهارة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ثمرة الخلاف في كون الحرمة ذاتيّة أو 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أدلّة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إرتفاع الحَدَث مع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طواف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بطلان طلاق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سقوط قضاء الصّلاة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الحيض بعد دخول 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الحيض بعدما يسع الصّلاة الاضطراريّة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حكم عدم إدراك الحائض شيئاً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الطُهر قبل خروج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لو شكّت في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حكم من وظيفتها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وجوب قضاء الصّوم على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عدم لزوم الوضوء مع 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ما يُكره للحائض ويستحبُّ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استحباب الوضوء للحائض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إجتماع الحمل مع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أقسام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الاستحاضة القليلة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تجديد الوضوء لكلّ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الاستحاضة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وجوب الغُسل لخصوص صلاة الغداة في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حكم الاستحاضة الكثيرة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وجوب الجمع وجواز 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عدم كفاية الأغسال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إذا عملت المستحاضة بوظيفتها كانت بحكم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حكم المخلّة بوظيفتها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وطء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اشتراط صحّة صوم المستحاضة على الأغسال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لزوم المبادرة إلى الصَّلاة بعد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المتوسّطة الحادثة بعد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يجب على المستحاضة اختبار حالها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التحفّظ من خروج الدّم بعد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انقطاع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حكم رؤية الدّم في أوقات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الدَّم الخارج قبل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الدَّم الخارج بعد وضعها المُضْغَة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ليسَ لأقلّ النِّفاس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حَدّ النِّفاس الأبعد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وحدة حكم النّفساء والحائض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حكم ولادة التوأمين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حكم الطفل الخارج متدرّجاً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الدَّم المُستَمرّ إلى شهرٍ أو أزيد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انقطاع الدَّم على العاشر أو 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الدّم المنفصل عن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آداب الإحتضار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المستحبّات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المكروهات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الوليّ عن المباشرة والإذن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تغسيل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تنبيهات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إذا تمَّ للسقط أربعة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اعتبار المماثلة بين الغاسل والميّت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إذا انحصر المماثل في الكتابي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تغسيل الخُنثى المشكل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عدم اعتبار المماثلة في الصبيّ والصبيّة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في تغسيل الزوجين أحدهما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عدم اعتبار الغُسل من وراء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تغسيل المحارم بعضهم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في اشتراط التغسيل من وراء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تغسيل المولى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كيفيّة التغسيل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تنبيهات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تجب إزالة النّجاسة قَبل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مقدار السِّدر والكافور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تعذّر السِّدر والكافور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إذا كان الماء بمقدار غُسلٍ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تعذّر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اعتبار نيّة القُربة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آداب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مكروهات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لو لم يوجد إلّاثوبٌ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التكفين بالحرير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التكفين بما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اعتبار طهارة الأثواب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التكفين في حال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التَحنيط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أقلّ ما يُجزي من الكافور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مستحبّات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 الجريدتين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مكروهات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الصَّلاة على 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في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تقدّم الذّكور على الإناث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الترتيب بين أفراد طبقةٍ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أولويّة الزّوج بزوجته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أولويّة الهاشمي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في اشتراط إذن الجميع عند تعدّد الأولياء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باب الحيض والاستحاضة في نسختنا من المقنع تعرّض لدخول المساجد، نعم تعرّض لذكره في باب الجنابة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تمرّ في سائر المساجد وأنتَ جنب، ولا تجلس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عدا السائر هو المسجدين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ولما كان بينهما اشتراك في هذه الأحكام غالباً فيكون ذكره الحكم في باب الجنابة كافياً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رسالة أبيه ما يتعلّق بذلك، ولكن في الموضع المذكور من هذه النسخة استثنى اجتيازها من التحريم ونقل عن الطبعة القديمة الإطلاق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مستمسك العروة ما يدلّ على ما هو أكثر من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كإبن إدريس في سرائره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وجوب الغسل إلّاللصلاة والطواف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الخوئي في كتاب الطهارة من شرح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وظاهر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الجنابة، ادّعى الإجماع، وفي أحكام الحيض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 الكتابة ومسّ الورق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بالقراءة ولا يمسّ الكتاب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التحرير أيضاً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وقال به الشهيد في روض الجنان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عبد الرحمن بن أبي عبد اللّه عن الإمام الصادق عليه السلام وفيه أيطأها بدل أبطأها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والشيخ البهائي في الحبل المتين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فظاهره نفي الخلاف فيه بين المسلمين، وكذا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السيّد الخوئي في شرحه للعروة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وقبله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من المصدر المتقدّم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السيّد الخوئي في شرحه للعروة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وقبله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الشيخ والكليني المتقدّمين عن زرارة بأنّ العدّة والحيض للنساء، 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إدّعت صُدِّقت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إليه في وسائل الشيعة ذيل الحديث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 عن الشيخ والكليني عن زرارة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نجاة العباد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الشهيد الأوّل إلى أنّه الأشهر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وعلى الأصحّ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ويُكره على الأظهر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الكراهة أشهر القولين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الغُسل أحبُّ إليَّ‌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أجاز للشبق إتيانها قبل الغسل بعد غَسل فرجها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واستثنى حالة كون الرجل مستعجلاً فجوّزه بعد غَسل الموضع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أجاز للشبق إتيانها قبل الغُسل بعد غَسل فرجها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نسبَ استحباب غسله إلى أكثر من جوّز الجماع قبل الاغتسال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المطلب الأوّل في الوضوء والغسل،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في تيمّم الحائض لإباحة الوطء إن شرطنا الغسل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فقدت الماء فهل تتيمّم للوطء بدلاً من الغسل وجوباً أو استحباباً؟ المروي عن الصادق عليه السلام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وطء الحائض بعد الطهر وقبل الغسل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في الصفحة التالية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المصدر السابق نقله عن أبي علي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أوجب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المبسوط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المراسم لسلّار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الحكم للطائفة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والتعزيرات ح </w:t>
      </w:r>
      <w:r>
        <w:rPr>
          <w:rFonts w:eastAsia="IRNazanin" w:cs="IRNazanin"/>
          <w:b w:val="false"/>
          <w:bCs w:val="false"/>
          <w:i w:val="false"/>
          <w:iCs w:val="false"/>
          <w:color w:val="333333"/>
          <w:sz w:val="20"/>
          <w:szCs w:val="20"/>
        </w:rPr>
        <w:t>35007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كبقيّة روايات،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 زرارة وصحيح العيص المتقدّمين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محيى الدِّين بن النووي في كتابه المجموع في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وأمّا فقه الشافعي القديم فهو وجوب التكفير بدينار في إقبال الدّم ونصفه في إدباره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للسيّد 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الإجماع عن الشيخ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أكثر علمائنا القائلين بالوجوب والاستحباب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إلّاأنّ هذا الحمل نقله عن الشيخ قدس سره في ذيل الحديث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لسلّار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جامع أمَتهُ وهي حائض تصدَّق بثلاثة أمداد من طعام، هذا إذا أتاها في الفرج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عبد الملك المتقدِّم آنفاً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في كتاب الحيض من التذكرة والمختلف لهذا البحث بنحو التنصيص، نعم أطلق الدينار في القواعدج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بما قيمته عشرة دراهم، وأمّا في المنتهى وتحرير الأحكام فسيأتي رأيه فيهما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إلّاأنّه تردّد في كونه مضروباً في ذيل كلامه فراجع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عين رأيه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المقتبسة من النبوي المذكور في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نقلها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نقلها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والمستبعد هو الشيخ الأنصاري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مسالكه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نسب إلى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مصابيح الظلام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وحكم النفساء حكم الحائض في جميع ما يحرم عليها وكره ويباح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 خلاف الشيخ، ومنتهى العلّامة، وصاحب الرياض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نصوص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المذكورة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27922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ح </w:t>
      </w:r>
      <w:r>
        <w:rPr>
          <w:rFonts w:eastAsia="IRNazanin" w:cs="IRNazanin"/>
          <w:b w:val="false"/>
          <w:bCs w:val="false"/>
          <w:i w:val="false"/>
          <w:iCs w:val="false"/>
          <w:color w:val="333333"/>
          <w:sz w:val="20"/>
          <w:szCs w:val="20"/>
        </w:rPr>
        <w:t>28003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كبقيّة أحاديث نفس الباب من وسائل الشيعة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الأخبار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إدراك الفريضة والطهارة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مصحّح عبيد بن زرارة وموثّق الحلبي المتقدّم تخريجهما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عليها قضاء الصوم بالإجماع أيضاً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إليه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وأمّا في الأمالي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المكتبة الإسلاميّة للكتاب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حديثه عن الأغسال،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الثالث والتسعون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غُسل فيه وضوء في أوّله إلّاغُسل الجنابة، لأنّه فريضة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جعله عنواناً لباب فيه عشرة أحاديث، كما نصَّ عليه في حاشية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الطهارة، بحث تداخل الأسباب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الحلبي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المجد الحلبي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منه إيجاب الوضوء مع الغُسل، ولكن من دون إشارة إلى التقدّم والتأخّر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إبن زهرة الحلبي فلم يتعرّض في غنية النزوع لذلك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روايات كثيرة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وأبواب اُخرى‌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قبيل 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الوضوء مع الغُسل من دين الإماميّة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عدّة موارد من المختلف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الشهيد الأوّل في الذكرى إلى الشيخ في كتابه الجمل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الرضا عليه السلام لعليّ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حكايته في أنّ الوضوء مع الغُسل من دين الإماميّة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القولين في المسألة من دون ترجيح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الحيض والاستحاضة والنفاس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وجامع الخلاف والوفاق لعليّ بن محمّد القمّي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وصاحب الحدائق، وغيرهم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 الشريف المرتضى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الشيخين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حفص المتقدّمة وغيرها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للمحقّق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مخطوطة مصابيح الظلام في مكتبة الگلبايگاني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الفقيه الهمداني في 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قوّى هذا القول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لهذه الدعوى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نقلاً عن رسالة والده، والمقنع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الأعظم في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علمائنا، وفي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عندنا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أكثر علمائنا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كثيرون منهم مَن تقدّم سابقاً ومنهم العلّامة في المصدر السابق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رسالة الدّماء للخراساني في مستمسك العروة للسيّد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الأنصاري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الجعفريّة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لإبن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إبدال القُطنة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إبدال الخرقة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والمقنع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والسيّد المرتضى في ناصريّاته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ونهاية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وروض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عقيل العماني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الشيخ الأنصاري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الإستحاضة 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المعتبر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والد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المقنع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 والقواعد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الاستحاضة 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الحكيم هذه النسبة عن المصابيح كما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إجماع التحرير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الحكيم هذه النسبة عن المصابيح كما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إجماع التحرير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في المصدر السابق في المستمسك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الصدوق المنقولة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المعتبر للمحقّق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الإسناد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الإسناد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ما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لم تفعل الأغسال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صومها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أخلّت بالغسل لم يصحّ صومها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الصوم فيكفي فيه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الغسل لصوم المستحاضة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معقبة الصَّلاة للغُسل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وهو 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تصلّي بذلك الغُسل حتّى يظهر الدّم على الكُرسُف، فإذا ظهر أعادت الغُسل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يجب الغُسل هنا وفي المتوسّطة مع وجود الدّم الموجب له قبل فعل الصَّلاة وإن كان في غير وقتها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الحيض 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الحيض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نقلاً عن قرب الإسناد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معاقبة الصَّلاة للوضوء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الإسناد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كلّ ذلك الشيخ الأنصاري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نقلاً عن المعتبر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الشيخ الأنصاري في المصدر السابق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باب النون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رسائل فقهيّة للشيخ الجواهري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قاله السيّد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النِّفاس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المصاحب لها فالمشهور نقلاً وتحصيلاً أنّه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لعلّه لا خلاف كما يشعر به قوله 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يعتبر تخلّل أقلّ الطهر بينه وبين النِّفاس‌؟ فيه وجهان؛ أظهرهما العدم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الحواشي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النِّفاس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أقلّ الطهر بين الحيضتين عشرة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حديث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التعبير في كلمات العديد من الفقهاء، وبعضهم أرسله إرسال المسلّمات، ويمكن أن يستدلّ على ذلك بما ورد من سؤال سلمان رحمه الله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رزق الولد في بطن 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حَبَس عليه الحيضة فجعلها رزقه في بطن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من روايات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أكثر النِّفاس عشرة أيّام وأنّه يجب رجوع النفساء إلى عادتها في الحيض أو النِّفاس، وإلّا فإلى عادة نسائها، ويستحبّ لها الاستظهار كالحائض ثمّ تعمل عمل المستحاضة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النِّفاس دم خارج مع ما يسمّى آدميّاً أو جزئه لا مثل المضغة ولو علم أنّه مبدأ إنشائه، لعدم العلم بصدق الولادة والنِّفاس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الحاشية التالية عن التذكرة والمنتهى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العلقة والنطفة فلا يتعيّن معهما الحمل، فيكون حكمه حكم دم الحائض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النفساء كالحائض في جميع الأحكام، واستثنى من ذلك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يفترق الحيض والنِّفاس في الأقلّ قطعاً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القديمة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نسب القول بالعشرة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حَدّ النِّفاس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النِّفاس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النِّفاس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المقداد في التنقيح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صاحب الجواهر اختيار كلام العلّامة إلى بعض متأخّري المتأخِّرين، راجع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قول المفيد والسيّد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بقيّة الأقوال، قال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والحقّ‌عندي الأوّل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الحيض والاستحاضة والنِّفاس والطهارة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ذكر ذلك في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والنِّفاس والعقيقة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النفساء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الحيض والاستحاضة والنفاس والطهارة من ذلك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أكثر أيّام النِّفاس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ح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وقد تقدّم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الشيعة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كتاب الطهارة باب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للتهذيب والاستبصار،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 وأحكامه،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وقد مرَّ الحديث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قضاء الحائض والنفساء الصوم دون الصَّلاة إذا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لاسيّما ح رقم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النفساء في الصوم والصَّلاة والمحرّمات والمكروهات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وطئ النّفساء قبل الانقطاع، وجوازه بعده على كراهة قبل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طلاق خالف الطلاق الذي أمر اللّه به فليس بطلاق، فإن طلّقها وهي حائض أو في دم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وحكاه عنها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علماؤنا إلى أنّ أوّله من الأوّل وآخره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التوأمين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النِّفاس ترجع إلى عادتها إنْ كانت ذات عادة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الحادث عقيب الولادة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الغسل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أكثر النِّفاس عشرة أيّام، وأنّه يجب رجوع النفساء إلى عادتها في الحيض أو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أنّها لا ترجع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التميّز ولا إلى الروايات عند الأكثر بخلاف الحائض</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النِّفاس ترجع إلى عادتها إنْ كانت ذات عادة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صاحبة العادة إذا لم تر في العادة أصلاً ورأت بعدها وتجاوزالعشرة لا نفاس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والأرجح قبول قوله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صاحب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فقيهاً وجهاً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يظهر من كلماتهم في الاحتضار دون تصريح، ولكنّهم صرّحوا في شرطيّة كونه مسلماً في باب الصَّلاة على الميّت وغيره كمسألة دفن الحامل من المسلم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إستحباب تلقين الميّت الشهادتين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إستحباب نقل من اشتدّ عليه النزع إلى مصلّاه الذي كان يُصلّي فيه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إستحباب إعلام النّاس وخصوصاً إخوانه بموته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تأخير الميّت مع اشتباه الموت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حضور الحائض والجُنُب عند المحتضر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الميّت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يَغسله أولى النّاس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يغسّله أولى النّاس به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تأخير تجهيز الميّت مع اشتباه الموت ثلاثة أيّام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تحريم كراهة الموت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تلقين المحتضر كلمات الفرج</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يبعد أن يُراد بالأولى بالميّت هنا أشدّ النّاس به علاقة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أن يقال إطلاق وجوب الوفاء بالوصيّة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الميّت معتقداً للحقّ‌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الصَّلاة على كلّ ميّت مسلم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تغسيل من مات في الماء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ألزموهم بما ألزموا به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استفاد العلماء من هذه الرواية قاعدة عامّة في الزام المخالفين في الأحكام التي اتّبعوا فيها أئمّة الضلال وليست من الحقّ على شيء، ورتّبوا على ذلك أحكام كثيرة معروفة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 من يموت من أطفال المشركين والكفّار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38/182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تغسيل المرأة مع عدم وجود امرأة ولا رجل ذي محرم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وحكاه أيضاً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أيضاً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وحكاه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الثلاثة السابقة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الدعوى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تجب إعادة الغُسل لو وجد من يجوز له تغسيله من المسلمين‌؟ فيه قولان أقربهمما نعم؛ لأنّ المأمور به لم يوجد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تغسيل الرّجل زوجته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شرط المماثلة في غير المحارم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الأشهر الأظهر بل عليه الإجماع، وغيره أرسل هذا الأمر إرسال المسلّمات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 المشهور، وفي المستمسك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 وجملة من أحكامه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إجزاء الغسل الواحد للميّت إذا كان جنباً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غسل الميّت كغسل الجنابة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 وجملة من أحكامه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جامع الخلاف والوفاق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الحكاية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وضوء الميّت قبل الغُسل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 وجملة من أحكامه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الدعوى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المُحْرم إذا مات فهو كالمحِلّ‌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إيقاع صلوات كثيرة بتيمّمٍ واحد ما لم يُحدث أو يجد الماء</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غسل الميّت كغسل الجنابة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غسل الميّت وجملة من أحكامه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النافع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إزالة شيء من شعر الميّت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قطع الكفن الواجب والندب وأحكامها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قطع الكفن الواجب والندب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تكفين الميّت في كسوة الكعبة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قطع الكفن الواجب والندب وجملة من أحكامها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أن يكون ممّا لا تجوز الصَّلاة فيه من اللّباس</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تكفينه في مئزر وقميص وإزار من جنس ما يُصلّي فيه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ظاهر في شموله للجلد المذكّى‌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الشهيد الثاني في روض الجنان مع الضرورة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جعل الكافور على مساجد الميّت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الجواهر إلى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والحلّي في سرائره، والحلبي في غُنيته وغيرهم،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والتحنيط وجملة من أحكامهما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جعل الكافور على مساجد الميّت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مساجده السبع وطرف أنفه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ورواه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الأقوال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الأقوى جواز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الجزائري في التحفة السنية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إستحباب أنْ يكون كافور الحنوط ثلاثة عشر درهماً وثلثاً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التكفين والتحنيط وجملة من أحكامهما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جامع الوفاق والخلاف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كون الكفن من القُطن وكراهة كونه من الكتّان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تطييب الميّت والكفن بالذريرة والكافور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وضع الجريدتين الخضراوين مع الميّت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الرضا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الإزار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الكفن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كون الكفن أسود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حاشية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حكم خالي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المجلسي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كالموثّق، ولعلّه لقول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تعليقه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والفوائد الحائريّة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والعشرون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أصحابنا على تصحيح ما يصحّ عن هؤلاء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الحدائق إليه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إستحباب الصَّلاة على الطفل الذي مات ولم يبلغ ستّ سنين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الصَّلاة على جنازة لم يبلغ ستّاً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الصَّلاة على جنازة لم يبلغ ستّاً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يُصلّي على الجنازة أولى النّاس بها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إرشاد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المعروف من مذهب الأصحاب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68283</Words>
  <Characters>310882</Characters>
  <CharactersWithSpaces>375359</CharactersWithSpaces>
  <Paragraphs>4232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2026-08-22T07:44:23Z</dcterms:created>
  <dc:creator>ghaemiyeh.com</dc:creator>
  <dc:description/>
  <dc:language>en-US</dc:language>
  <cp:lastModifiedBy/>
  <dcterms:modified xsi:type="dcterms:W3CDTF">2026-08-22T11:14:43Z</dcterms:modified>
  <cp:revision>1</cp:revision>
  <dc:subject/>
  <dc:title>فقه الصادق علیه السلام جلد 3</dc:title>
</cp:coreProperties>
</file>

<file path=docProps/custom.xml><?xml version="1.0" encoding="utf-8"?>
<Properties xmlns="http://schemas.openxmlformats.org/officeDocument/2006/custom-properties" xmlns:vt="http://schemas.openxmlformats.org/officeDocument/2006/docPropsVTypes"/>
</file>