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احکام الاطفال و ادلتها مقارنه تفصیلیه بین مذهب الامامیه و المذاهب الاخری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696515_7370918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9696517_7370918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9696519_73709187">
            <w:r>
              <w:rPr>
                <w:webHidden/>
                <w:rStyle w:val="IndexLink"/>
                <w:rtl w:val="true"/>
              </w:rPr>
              <w:t>شکر و ثناء</w:t>
            </w:r>
            <w:r>
              <w:rPr>
                <w:rStyle w:val="IndexLink"/>
                <w:rtl w:val="true"/>
              </w:rPr>
              <w:tab/>
            </w:r>
            <w:r>
              <w:rPr>
                <w:rStyle w:val="IndexLink"/>
              </w:rPr>
              <w:t>13</w:t>
            </w:r>
          </w:hyperlink>
        </w:p>
        <w:p>
          <w:pPr>
            <w:pStyle w:val="Contents2"/>
            <w:tabs>
              <w:tab w:val="clear" w:pos="8743"/>
              <w:tab w:val="right" w:pos="9026" w:leader="dot"/>
            </w:tabs>
            <w:rPr/>
          </w:pPr>
          <w:hyperlink w:anchor="__RefHeading___Toc9696521_73709187">
            <w:r>
              <w:rPr>
                <w:webHidden/>
                <w:rStyle w:val="IndexLink"/>
                <w:rtl w:val="true"/>
              </w:rPr>
              <w:t>الباب العاشر</w:t>
            </w:r>
            <w:r>
              <w:rPr>
                <w:rStyle w:val="IndexLink"/>
                <w:rtl w:val="true"/>
              </w:rPr>
              <w:t xml:space="preserve">: </w:t>
            </w:r>
            <w:r>
              <w:rPr>
                <w:rStyle w:val="IndexLink"/>
                <w:rtl w:val="true"/>
              </w:rPr>
              <w:t>تصرّفات الصبیّ</w:t>
            </w:r>
            <w:r>
              <w:rPr>
                <w:rStyle w:val="IndexLink"/>
                <w:rtl w:val="true"/>
              </w:rPr>
              <w:tab/>
            </w:r>
            <w:r>
              <w:rPr>
                <w:rStyle w:val="IndexLink"/>
              </w:rPr>
              <w:t>15</w:t>
            </w:r>
          </w:hyperlink>
        </w:p>
        <w:p>
          <w:pPr>
            <w:pStyle w:val="Contents3"/>
            <w:tabs>
              <w:tab w:val="clear" w:pos="8459"/>
              <w:tab w:val="right" w:pos="9026" w:leader="dot"/>
            </w:tabs>
            <w:rPr/>
          </w:pPr>
          <w:hyperlink w:anchor="__RefHeading___Toc9696523_73709187">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9696525_73709187">
            <w:r>
              <w:rPr>
                <w:webHidden/>
                <w:rStyle w:val="IndexLink"/>
                <w:rtl w:val="true"/>
              </w:rPr>
              <w:t>تمهید</w:t>
            </w:r>
            <w:r>
              <w:rPr>
                <w:rStyle w:val="IndexLink"/>
                <w:rtl w:val="true"/>
              </w:rPr>
              <w:tab/>
            </w:r>
            <w:r>
              <w:rPr>
                <w:rStyle w:val="IndexLink"/>
              </w:rPr>
              <w:t>15</w:t>
            </w:r>
          </w:hyperlink>
        </w:p>
        <w:p>
          <w:pPr>
            <w:pStyle w:val="Contents4"/>
            <w:tabs>
              <w:tab w:val="clear" w:pos="8176"/>
              <w:tab w:val="right" w:pos="9026" w:leader="dot"/>
            </w:tabs>
            <w:rPr/>
          </w:pPr>
          <w:hyperlink w:anchor="__RefHeading___Toc9696527_73709187">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9696529_73709187">
            <w:r>
              <w:rPr>
                <w:webHidden/>
                <w:rStyle w:val="IndexLink"/>
                <w:rtl w:val="true"/>
              </w:rPr>
              <w:t>الأوّل</w:t>
            </w:r>
            <w:r>
              <w:rPr>
                <w:rStyle w:val="IndexLink"/>
                <w:rtl w:val="true"/>
              </w:rPr>
              <w:t xml:space="preserve">: </w:t>
            </w:r>
            <w:r>
              <w:rPr>
                <w:rStyle w:val="IndexLink"/>
                <w:rtl w:val="true"/>
              </w:rPr>
              <w:t>معنی التصرّف لغةً و اصطلاحاً</w:t>
            </w:r>
            <w:r>
              <w:rPr>
                <w:rStyle w:val="IndexLink"/>
                <w:rtl w:val="true"/>
              </w:rPr>
              <w:tab/>
            </w:r>
            <w:r>
              <w:rPr>
                <w:rStyle w:val="IndexLink"/>
              </w:rPr>
              <w:t>15</w:t>
            </w:r>
          </w:hyperlink>
        </w:p>
        <w:p>
          <w:pPr>
            <w:pStyle w:val="Contents4"/>
            <w:tabs>
              <w:tab w:val="clear" w:pos="8176"/>
              <w:tab w:val="right" w:pos="9026" w:leader="dot"/>
            </w:tabs>
            <w:rPr/>
          </w:pPr>
          <w:hyperlink w:anchor="__RefHeading___Toc9696531_73709187">
            <w:r>
              <w:rPr>
                <w:webHidden/>
                <w:rStyle w:val="IndexLink"/>
                <w:rtl w:val="true"/>
              </w:rPr>
              <w:t>الأمر الثانی</w:t>
            </w:r>
            <w:r>
              <w:rPr>
                <w:rStyle w:val="IndexLink"/>
                <w:rtl w:val="true"/>
              </w:rPr>
              <w:t xml:space="preserve">: </w:t>
            </w:r>
            <w:r>
              <w:rPr>
                <w:rStyle w:val="IndexLink"/>
                <w:rtl w:val="true"/>
              </w:rPr>
              <w:t>تقسیم الأفعال من جهة ترتّب الآثار الشرعیّة</w:t>
            </w:r>
            <w:r>
              <w:rPr>
                <w:rStyle w:val="IndexLink"/>
                <w:rtl w:val="true"/>
              </w:rPr>
              <w:tab/>
            </w:r>
            <w:r>
              <w:rPr>
                <w:rStyle w:val="IndexLink"/>
              </w:rPr>
              <w:t>16</w:t>
            </w:r>
          </w:hyperlink>
        </w:p>
        <w:p>
          <w:pPr>
            <w:pStyle w:val="Contents3"/>
            <w:tabs>
              <w:tab w:val="clear" w:pos="8459"/>
              <w:tab w:val="right" w:pos="9026" w:leader="dot"/>
            </w:tabs>
            <w:rPr/>
          </w:pPr>
          <w:hyperlink w:anchor="__RefHeading___Toc9696533_73709187">
            <w:r>
              <w:rPr>
                <w:webHidden/>
                <w:rStyle w:val="IndexLink"/>
                <w:rtl w:val="true"/>
              </w:rPr>
              <w:t>الفصل الأوّل</w:t>
            </w:r>
            <w:r>
              <w:rPr>
                <w:rStyle w:val="IndexLink"/>
                <w:rtl w:val="true"/>
              </w:rPr>
              <w:t xml:space="preserve">: </w:t>
            </w:r>
            <w:r>
              <w:rPr>
                <w:rStyle w:val="IndexLink"/>
                <w:rtl w:val="true"/>
              </w:rPr>
              <w:t>بیع الصبیّ</w:t>
            </w:r>
            <w:r>
              <w:rPr>
                <w:rStyle w:val="IndexLink"/>
                <w:rtl w:val="true"/>
              </w:rPr>
              <w:tab/>
            </w:r>
            <w:r>
              <w:rPr>
                <w:rStyle w:val="IndexLink"/>
              </w:rPr>
              <w:t>19</w:t>
            </w:r>
          </w:hyperlink>
        </w:p>
        <w:p>
          <w:pPr>
            <w:pStyle w:val="Contents4"/>
            <w:tabs>
              <w:tab w:val="clear" w:pos="8176"/>
              <w:tab w:val="right" w:pos="9026" w:leader="dot"/>
            </w:tabs>
            <w:rPr/>
          </w:pPr>
          <w:hyperlink w:anchor="__RefHeading___Toc9696535_73709187">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9696537_73709187">
            <w:r>
              <w:rPr>
                <w:webHidden/>
                <w:rStyle w:val="IndexLink"/>
                <w:rtl w:val="true"/>
              </w:rPr>
              <w:t>الأوّل</w:t>
            </w:r>
            <w:r>
              <w:rPr>
                <w:rStyle w:val="IndexLink"/>
                <w:rtl w:val="true"/>
              </w:rPr>
              <w:t xml:space="preserve">: </w:t>
            </w:r>
            <w:r>
              <w:rPr>
                <w:rStyle w:val="IndexLink"/>
                <w:rtl w:val="true"/>
              </w:rPr>
              <w:t>أنّه لا یصحّ مطلقاً</w:t>
            </w:r>
            <w:r>
              <w:rPr>
                <w:rStyle w:val="IndexLink"/>
                <w:rtl w:val="true"/>
              </w:rPr>
              <w:tab/>
            </w:r>
            <w:r>
              <w:rPr>
                <w:rStyle w:val="IndexLink"/>
              </w:rPr>
              <w:t>19</w:t>
            </w:r>
          </w:hyperlink>
        </w:p>
        <w:p>
          <w:pPr>
            <w:pStyle w:val="Contents5"/>
            <w:tabs>
              <w:tab w:val="clear" w:pos="7892"/>
              <w:tab w:val="right" w:pos="9026" w:leader="dot"/>
            </w:tabs>
            <w:rPr/>
          </w:pPr>
          <w:hyperlink w:anchor="__RefHeading___Toc9696539_73709187">
            <w:r>
              <w:rPr>
                <w:webHidden/>
                <w:rStyle w:val="IndexLink"/>
                <w:rtl w:val="true"/>
              </w:rPr>
              <w:t>اشارة</w:t>
            </w:r>
            <w:r>
              <w:rPr>
                <w:rStyle w:val="IndexLink"/>
                <w:rtl w:val="true"/>
              </w:rPr>
              <w:tab/>
            </w:r>
            <w:r>
              <w:rPr>
                <w:rStyle w:val="IndexLink"/>
              </w:rPr>
              <w:t>19</w:t>
            </w:r>
          </w:hyperlink>
        </w:p>
        <w:p>
          <w:pPr>
            <w:pStyle w:val="Contents5"/>
            <w:tabs>
              <w:tab w:val="clear" w:pos="7892"/>
              <w:tab w:val="right" w:pos="9026" w:leader="dot"/>
            </w:tabs>
            <w:rPr/>
          </w:pPr>
          <w:hyperlink w:anchor="__RefHeading___Toc9696541_73709187">
            <w:r>
              <w:rPr>
                <w:webHidden/>
                <w:rStyle w:val="IndexLink"/>
                <w:rtl w:val="true"/>
              </w:rPr>
              <w:t>أدلّة عدم صحّة بیع الصبیّ‌</w:t>
            </w:r>
            <w:r>
              <w:rPr>
                <w:rStyle w:val="IndexLink"/>
                <w:rtl w:val="true"/>
              </w:rPr>
              <w:tab/>
            </w:r>
            <w:r>
              <w:rPr>
                <w:rStyle w:val="IndexLink"/>
              </w:rPr>
              <w:t>20</w:t>
            </w:r>
          </w:hyperlink>
        </w:p>
        <w:p>
          <w:pPr>
            <w:pStyle w:val="Contents5"/>
            <w:tabs>
              <w:tab w:val="clear" w:pos="7892"/>
              <w:tab w:val="right" w:pos="9026" w:leader="dot"/>
            </w:tabs>
            <w:rPr/>
          </w:pPr>
          <w:hyperlink w:anchor="__RefHeading___Toc9696543_73709187">
            <w:r>
              <w:rPr>
                <w:webHidden/>
                <w:rStyle w:val="IndexLink"/>
                <w:rtl w:val="true"/>
              </w:rPr>
              <w:t>الطائفة الاُولی</w:t>
            </w:r>
            <w:r>
              <w:rPr>
                <w:rStyle w:val="IndexLink"/>
                <w:rtl w:val="true"/>
              </w:rPr>
              <w:t xml:space="preserve">: </w:t>
            </w:r>
            <w:r>
              <w:rPr>
                <w:rStyle w:val="IndexLink"/>
                <w:rtl w:val="true"/>
              </w:rPr>
              <w:t>ما تدلّ علی رفع القلم عن الصبیّ‌</w:t>
            </w:r>
            <w:r>
              <w:rPr>
                <w:rStyle w:val="IndexLink"/>
                <w:rtl w:val="true"/>
              </w:rPr>
              <w:tab/>
            </w:r>
            <w:r>
              <w:rPr>
                <w:rStyle w:val="IndexLink"/>
              </w:rPr>
              <w:t>26</w:t>
            </w:r>
          </w:hyperlink>
        </w:p>
        <w:p>
          <w:pPr>
            <w:pStyle w:val="Contents5"/>
            <w:tabs>
              <w:tab w:val="clear" w:pos="7892"/>
              <w:tab w:val="right" w:pos="9026" w:leader="dot"/>
            </w:tabs>
            <w:rPr/>
          </w:pPr>
          <w:hyperlink w:anchor="__RefHeading___Toc9696545_73709187">
            <w:r>
              <w:rPr>
                <w:webHidden/>
                <w:rStyle w:val="IndexLink"/>
                <w:rtl w:val="true"/>
              </w:rPr>
              <w:t xml:space="preserve">الطائفة الثانیة </w:t>
            </w:r>
            <w:r>
              <w:rPr>
                <w:rStyle w:val="IndexLink"/>
                <w:rtl w:val="true"/>
              </w:rPr>
              <w:t xml:space="preserve">- </w:t>
            </w:r>
            <w:r>
              <w:rPr>
                <w:rStyle w:val="IndexLink"/>
                <w:rtl w:val="true"/>
              </w:rPr>
              <w:t xml:space="preserve">و هی العمدة فی المقام </w:t>
            </w:r>
            <w:r>
              <w:rPr>
                <w:rStyle w:val="IndexLink"/>
                <w:rtl w:val="true"/>
              </w:rPr>
              <w:t>-:</w:t>
              <w:tab/>
            </w:r>
            <w:r>
              <w:rPr>
                <w:rStyle w:val="IndexLink"/>
              </w:rPr>
              <w:t>28</w:t>
            </w:r>
          </w:hyperlink>
        </w:p>
        <w:p>
          <w:pPr>
            <w:pStyle w:val="Contents5"/>
            <w:tabs>
              <w:tab w:val="clear" w:pos="7892"/>
              <w:tab w:val="right" w:pos="9026" w:leader="dot"/>
            </w:tabs>
            <w:rPr/>
          </w:pPr>
          <w:hyperlink w:anchor="__RefHeading___Toc9696547_73709187">
            <w:r>
              <w:rPr>
                <w:webHidden/>
                <w:rStyle w:val="IndexLink"/>
                <w:rtl w:val="true"/>
              </w:rPr>
              <w:t>الطائفة الثالثة</w:t>
            </w:r>
            <w:r>
              <w:rPr>
                <w:rStyle w:val="IndexLink"/>
                <w:rtl w:val="true"/>
              </w:rPr>
              <w:t xml:space="preserve">: </w:t>
            </w:r>
            <w:r>
              <w:rPr>
                <w:rStyle w:val="IndexLink"/>
                <w:rtl w:val="true"/>
              </w:rPr>
              <w:t>ما تدلّ علی أنّ عمد الصبیّ و خطأه واحد</w:t>
            </w:r>
            <w:r>
              <w:rPr>
                <w:rStyle w:val="IndexLink"/>
                <w:rtl w:val="true"/>
              </w:rPr>
              <w:tab/>
            </w:r>
            <w:r>
              <w:rPr>
                <w:rStyle w:val="IndexLink"/>
              </w:rPr>
              <w:t>30</w:t>
            </w:r>
          </w:hyperlink>
        </w:p>
        <w:p>
          <w:pPr>
            <w:pStyle w:val="Contents4"/>
            <w:tabs>
              <w:tab w:val="clear" w:pos="8176"/>
              <w:tab w:val="right" w:pos="9026" w:leader="dot"/>
            </w:tabs>
            <w:rPr/>
          </w:pPr>
          <w:hyperlink w:anchor="__RefHeading___Toc9696549_73709187">
            <w:r>
              <w:rPr>
                <w:webHidden/>
                <w:rStyle w:val="IndexLink"/>
                <w:rtl w:val="true"/>
              </w:rPr>
              <w:t>مناقشة الجواب و دفعها</w:t>
            </w:r>
            <w:r>
              <w:rPr>
                <w:rStyle w:val="IndexLink"/>
                <w:rtl w:val="true"/>
              </w:rPr>
              <w:tab/>
            </w:r>
            <w:r>
              <w:rPr>
                <w:rStyle w:val="IndexLink"/>
              </w:rPr>
              <w:t>33</w:t>
            </w:r>
          </w:hyperlink>
        </w:p>
        <w:p>
          <w:pPr>
            <w:pStyle w:val="Contents5"/>
            <w:tabs>
              <w:tab w:val="clear" w:pos="7892"/>
              <w:tab w:val="right" w:pos="9026" w:leader="dot"/>
            </w:tabs>
            <w:rPr/>
          </w:pPr>
          <w:hyperlink w:anchor="__RefHeading___Toc9696551_73709187">
            <w:r>
              <w:rPr>
                <w:webHidden/>
                <w:rStyle w:val="IndexLink"/>
                <w:rtl w:val="true"/>
              </w:rPr>
              <w:t>اشارة</w:t>
            </w:r>
            <w:r>
              <w:rPr>
                <w:rStyle w:val="IndexLink"/>
                <w:rtl w:val="true"/>
              </w:rPr>
              <w:tab/>
            </w:r>
            <w:r>
              <w:rPr>
                <w:rStyle w:val="IndexLink"/>
              </w:rPr>
              <w:t>33</w:t>
            </w:r>
          </w:hyperlink>
        </w:p>
        <w:p>
          <w:pPr>
            <w:pStyle w:val="Contents5"/>
            <w:tabs>
              <w:tab w:val="clear" w:pos="7892"/>
              <w:tab w:val="right" w:pos="9026" w:leader="dot"/>
            </w:tabs>
            <w:rPr/>
          </w:pPr>
          <w:hyperlink w:anchor="__RefHeading___Toc9696553_73709187">
            <w:r>
              <w:rPr>
                <w:webHidden/>
                <w:rStyle w:val="IndexLink"/>
                <w:rtl w:val="true"/>
              </w:rPr>
              <w:t>الطائفة الرابعة</w:t>
            </w:r>
            <w:r>
              <w:rPr>
                <w:rStyle w:val="IndexLink"/>
                <w:rtl w:val="true"/>
              </w:rPr>
              <w:t xml:space="preserve">: </w:t>
            </w:r>
            <w:r>
              <w:rPr>
                <w:rStyle w:val="IndexLink"/>
                <w:rtl w:val="true"/>
              </w:rPr>
              <w:t>ما ورد فی النهی عن کسب الإماء و الغلام</w:t>
            </w:r>
            <w:r>
              <w:rPr>
                <w:rStyle w:val="IndexLink"/>
                <w:rtl w:val="true"/>
              </w:rPr>
              <w:tab/>
            </w:r>
            <w:r>
              <w:rPr>
                <w:rStyle w:val="IndexLink"/>
              </w:rPr>
              <w:t>37</w:t>
            </w:r>
          </w:hyperlink>
        </w:p>
        <w:p>
          <w:pPr>
            <w:pStyle w:val="Contents5"/>
            <w:tabs>
              <w:tab w:val="clear" w:pos="7892"/>
              <w:tab w:val="right" w:pos="9026" w:leader="dot"/>
            </w:tabs>
            <w:rPr/>
          </w:pPr>
          <w:hyperlink w:anchor="__RefHeading___Toc9696555_73709187">
            <w:r>
              <w:rPr>
                <w:webHidden/>
                <w:rStyle w:val="IndexLink"/>
                <w:rtl w:val="true"/>
              </w:rPr>
              <w:t>الطائفة الخامسة</w:t>
            </w:r>
            <w:r>
              <w:rPr>
                <w:rStyle w:val="IndexLink"/>
                <w:rtl w:val="true"/>
              </w:rPr>
              <w:t xml:space="preserve">: </w:t>
            </w:r>
            <w:r>
              <w:rPr>
                <w:rStyle w:val="IndexLink"/>
                <w:rtl w:val="true"/>
              </w:rPr>
              <w:t>ما ورد فی جواز بیع القیّم علی الأیتام</w:t>
            </w:r>
            <w:r>
              <w:rPr>
                <w:rStyle w:val="IndexLink"/>
                <w:rtl w:val="true"/>
              </w:rPr>
              <w:tab/>
            </w:r>
            <w:r>
              <w:rPr>
                <w:rStyle w:val="IndexLink"/>
              </w:rPr>
              <w:t>38</w:t>
            </w:r>
          </w:hyperlink>
        </w:p>
        <w:p>
          <w:pPr>
            <w:pStyle w:val="Contents4"/>
            <w:tabs>
              <w:tab w:val="clear" w:pos="8176"/>
              <w:tab w:val="right" w:pos="9026" w:leader="dot"/>
            </w:tabs>
            <w:rPr/>
          </w:pPr>
          <w:hyperlink w:anchor="__RefHeading___Toc9696557_73709187">
            <w:r>
              <w:rPr>
                <w:webHidden/>
                <w:rStyle w:val="IndexLink"/>
                <w:rtl w:val="true"/>
              </w:rPr>
              <w:t>صحّة بیع الصبیّ مع إذن الولیّ‌</w:t>
            </w:r>
            <w:r>
              <w:rPr>
                <w:rStyle w:val="IndexLink"/>
                <w:rtl w:val="true"/>
              </w:rPr>
              <w:tab/>
            </w:r>
            <w:r>
              <w:rPr>
                <w:rStyle w:val="IndexLink"/>
              </w:rPr>
              <w:t>47</w:t>
            </w:r>
          </w:hyperlink>
        </w:p>
        <w:p>
          <w:pPr>
            <w:pStyle w:val="Contents4"/>
            <w:tabs>
              <w:tab w:val="clear" w:pos="8176"/>
              <w:tab w:val="right" w:pos="9026" w:leader="dot"/>
            </w:tabs>
            <w:rPr/>
          </w:pPr>
          <w:hyperlink w:anchor="__RefHeading___Toc9696559_73709187">
            <w:r>
              <w:rPr>
                <w:webHidden/>
                <w:rStyle w:val="IndexLink"/>
                <w:rtl w:val="true"/>
              </w:rPr>
              <w:t>أدلّة صحّة بیع الصبیّ مع إذن الولیّ‌</w:t>
            </w:r>
            <w:r>
              <w:rPr>
                <w:rStyle w:val="IndexLink"/>
                <w:rtl w:val="true"/>
              </w:rPr>
              <w:tab/>
            </w:r>
            <w:r>
              <w:rPr>
                <w:rStyle w:val="IndexLink"/>
              </w:rPr>
              <w:t>48</w:t>
            </w:r>
          </w:hyperlink>
        </w:p>
        <w:p>
          <w:pPr>
            <w:pStyle w:val="Contents4"/>
            <w:tabs>
              <w:tab w:val="clear" w:pos="8176"/>
              <w:tab w:val="right" w:pos="9026" w:leader="dot"/>
            </w:tabs>
            <w:rPr/>
          </w:pPr>
          <w:hyperlink w:anchor="__RefHeading___Toc9696561_73709187">
            <w:r>
              <w:rPr>
                <w:webHidden/>
                <w:rStyle w:val="IndexLink"/>
                <w:rtl w:val="true"/>
              </w:rPr>
              <w:t>مناقشة الاستدلال بالعموم و الإطلاقات و جوابها</w:t>
            </w:r>
            <w:r>
              <w:rPr>
                <w:rStyle w:val="IndexLink"/>
                <w:rtl w:val="true"/>
              </w:rPr>
              <w:tab/>
            </w:r>
            <w:r>
              <w:rPr>
                <w:rStyle w:val="IndexLink"/>
              </w:rPr>
              <w:t>50</w:t>
            </w:r>
          </w:hyperlink>
        </w:p>
        <w:p>
          <w:pPr>
            <w:pStyle w:val="Contents4"/>
            <w:tabs>
              <w:tab w:val="clear" w:pos="8176"/>
              <w:tab w:val="right" w:pos="9026" w:leader="dot"/>
            </w:tabs>
            <w:rPr/>
          </w:pPr>
          <w:hyperlink w:anchor="__RefHeading___Toc9696563_73709187">
            <w:r>
              <w:rPr>
                <w:webHidden/>
                <w:rStyle w:val="IndexLink"/>
                <w:rtl w:val="true"/>
              </w:rPr>
              <w:t>صحّة بیع الصبیّ الممیّز إذا کان رشیداً</w:t>
            </w:r>
            <w:r>
              <w:rPr>
                <w:rStyle w:val="IndexLink"/>
                <w:rtl w:val="true"/>
              </w:rPr>
              <w:tab/>
            </w:r>
            <w:r>
              <w:rPr>
                <w:rStyle w:val="IndexLink"/>
              </w:rPr>
              <w:t>59</w:t>
            </w:r>
          </w:hyperlink>
        </w:p>
        <w:p>
          <w:pPr>
            <w:pStyle w:val="Contents4"/>
            <w:tabs>
              <w:tab w:val="clear" w:pos="8176"/>
              <w:tab w:val="right" w:pos="9026" w:leader="dot"/>
            </w:tabs>
            <w:rPr/>
          </w:pPr>
          <w:hyperlink w:anchor="__RefHeading___Toc9696565_73709187">
            <w:r>
              <w:rPr>
                <w:webHidden/>
                <w:rStyle w:val="IndexLink"/>
                <w:rtl w:val="true"/>
              </w:rPr>
              <w:t>الأدلّة علی صحّة بیع الصبیّ إذا کان رشیداً</w:t>
            </w:r>
            <w:r>
              <w:rPr>
                <w:rStyle w:val="IndexLink"/>
                <w:rtl w:val="true"/>
              </w:rPr>
              <w:tab/>
            </w:r>
            <w:r>
              <w:rPr>
                <w:rStyle w:val="IndexLink"/>
              </w:rPr>
              <w:t>60</w:t>
            </w:r>
          </w:hyperlink>
        </w:p>
        <w:p>
          <w:pPr>
            <w:pStyle w:val="Contents4"/>
            <w:tabs>
              <w:tab w:val="clear" w:pos="8176"/>
              <w:tab w:val="right" w:pos="9026" w:leader="dot"/>
            </w:tabs>
            <w:rPr/>
          </w:pPr>
          <w:hyperlink w:anchor="__RefHeading___Toc9696567_73709187">
            <w:r>
              <w:rPr>
                <w:webHidden/>
                <w:rStyle w:val="IndexLink"/>
                <w:rtl w:val="true"/>
              </w:rPr>
              <w:t>صحّة بیع الصبیّ إذا بلغ عشراً</w:t>
            </w:r>
            <w:r>
              <w:rPr>
                <w:rStyle w:val="IndexLink"/>
                <w:rtl w:val="true"/>
              </w:rPr>
              <w:tab/>
            </w:r>
            <w:r>
              <w:rPr>
                <w:rStyle w:val="IndexLink"/>
              </w:rPr>
              <w:t>63</w:t>
            </w:r>
          </w:hyperlink>
        </w:p>
        <w:p>
          <w:pPr>
            <w:pStyle w:val="Contents4"/>
            <w:tabs>
              <w:tab w:val="clear" w:pos="8176"/>
              <w:tab w:val="right" w:pos="9026" w:leader="dot"/>
            </w:tabs>
            <w:rPr/>
          </w:pPr>
          <w:hyperlink w:anchor="__RefHeading___Toc9696569_73709187">
            <w:r>
              <w:rPr>
                <w:webHidden/>
                <w:rStyle w:val="IndexLink"/>
                <w:rtl w:val="true"/>
              </w:rPr>
              <w:t>صحّة بیع الصبیّ وقت الاختبار</w:t>
            </w:r>
            <w:r>
              <w:rPr>
                <w:rStyle w:val="IndexLink"/>
                <w:rtl w:val="true"/>
              </w:rPr>
              <w:tab/>
            </w:r>
            <w:r>
              <w:rPr>
                <w:rStyle w:val="IndexLink"/>
              </w:rPr>
              <w:t>65</w:t>
            </w:r>
          </w:hyperlink>
        </w:p>
        <w:p>
          <w:pPr>
            <w:pStyle w:val="Contents4"/>
            <w:tabs>
              <w:tab w:val="clear" w:pos="8176"/>
              <w:tab w:val="right" w:pos="9026" w:leader="dot"/>
            </w:tabs>
            <w:rPr/>
          </w:pPr>
          <w:hyperlink w:anchor="__RefHeading___Toc9696571_73709187">
            <w:r>
              <w:rPr>
                <w:webHidden/>
                <w:rStyle w:val="IndexLink"/>
                <w:rtl w:val="true"/>
              </w:rPr>
              <w:t>صحّة بیع الصبیّ إذا أجازه الولیّ‌</w:t>
            </w:r>
            <w:r>
              <w:rPr>
                <w:rStyle w:val="IndexLink"/>
                <w:rtl w:val="true"/>
              </w:rPr>
              <w:tab/>
            </w:r>
            <w:r>
              <w:rPr>
                <w:rStyle w:val="IndexLink"/>
              </w:rPr>
              <w:t>66</w:t>
            </w:r>
          </w:hyperlink>
        </w:p>
        <w:p>
          <w:pPr>
            <w:pStyle w:val="Contents4"/>
            <w:tabs>
              <w:tab w:val="clear" w:pos="8176"/>
              <w:tab w:val="right" w:pos="9026" w:leader="dot"/>
            </w:tabs>
            <w:rPr/>
          </w:pPr>
          <w:hyperlink w:anchor="__RefHeading___Toc9696573_73709187">
            <w:r>
              <w:rPr>
                <w:webHidden/>
                <w:rStyle w:val="IndexLink"/>
                <w:rtl w:val="true"/>
              </w:rPr>
              <w:t>صحّة بیع الصبیّ فیما جرت به العادة</w:t>
            </w:r>
            <w:r>
              <w:rPr>
                <w:rStyle w:val="IndexLink"/>
                <w:rtl w:val="true"/>
              </w:rPr>
              <w:tab/>
            </w:r>
            <w:r>
              <w:rPr>
                <w:rStyle w:val="IndexLink"/>
              </w:rPr>
              <w:t>67</w:t>
            </w:r>
          </w:hyperlink>
        </w:p>
        <w:p>
          <w:pPr>
            <w:pStyle w:val="Contents4"/>
            <w:tabs>
              <w:tab w:val="clear" w:pos="8176"/>
              <w:tab w:val="right" w:pos="9026" w:leader="dot"/>
            </w:tabs>
            <w:rPr/>
          </w:pPr>
          <w:hyperlink w:anchor="__RefHeading___Toc9696575_73709187">
            <w:r>
              <w:rPr>
                <w:webHidden/>
                <w:rStyle w:val="IndexLink"/>
                <w:rtl w:val="true"/>
              </w:rPr>
              <w:t>أدلّة هذا القول</w:t>
            </w:r>
            <w:r>
              <w:rPr>
                <w:rStyle w:val="IndexLink"/>
                <w:rtl w:val="true"/>
              </w:rPr>
              <w:tab/>
            </w:r>
            <w:r>
              <w:rPr>
                <w:rStyle w:val="IndexLink"/>
              </w:rPr>
              <w:t>68</w:t>
            </w:r>
          </w:hyperlink>
        </w:p>
        <w:p>
          <w:pPr>
            <w:pStyle w:val="Contents4"/>
            <w:tabs>
              <w:tab w:val="clear" w:pos="8176"/>
              <w:tab w:val="right" w:pos="9026" w:leader="dot"/>
            </w:tabs>
            <w:rPr/>
          </w:pPr>
          <w:hyperlink w:anchor="__RefHeading___Toc9696577_73709187">
            <w:r>
              <w:rPr>
                <w:webHidden/>
                <w:rStyle w:val="IndexLink"/>
                <w:rtl w:val="true"/>
              </w:rPr>
              <w:t>ثبوت الإباحة فی بیع الصبیّ الممیّز</w:t>
            </w:r>
            <w:r>
              <w:rPr>
                <w:rStyle w:val="IndexLink"/>
                <w:rtl w:val="true"/>
              </w:rPr>
              <w:tab/>
            </w:r>
            <w:r>
              <w:rPr>
                <w:rStyle w:val="IndexLink"/>
              </w:rPr>
              <w:t>72</w:t>
            </w:r>
          </w:hyperlink>
        </w:p>
        <w:p>
          <w:pPr>
            <w:pStyle w:val="Contents4"/>
            <w:tabs>
              <w:tab w:val="clear" w:pos="8176"/>
              <w:tab w:val="right" w:pos="9026" w:leader="dot"/>
            </w:tabs>
            <w:rPr/>
          </w:pPr>
          <w:hyperlink w:anchor="__RefHeading___Toc9696579_73709187">
            <w:r>
              <w:rPr>
                <w:webHidden/>
                <w:rStyle w:val="IndexLink"/>
                <w:rtl w:val="true"/>
              </w:rPr>
              <w:t>فروع</w:t>
            </w:r>
            <w:r>
              <w:rPr>
                <w:rStyle w:val="IndexLink"/>
                <w:rtl w:val="true"/>
              </w:rPr>
              <w:tab/>
            </w:r>
            <w:r>
              <w:rPr>
                <w:rStyle w:val="IndexLink"/>
              </w:rPr>
              <w:t>73</w:t>
            </w:r>
          </w:hyperlink>
        </w:p>
        <w:p>
          <w:pPr>
            <w:pStyle w:val="Contents4"/>
            <w:tabs>
              <w:tab w:val="clear" w:pos="8176"/>
              <w:tab w:val="right" w:pos="9026" w:leader="dot"/>
            </w:tabs>
            <w:rPr/>
          </w:pPr>
          <w:hyperlink w:anchor="__RefHeading___Toc9696581_73709187">
            <w:r>
              <w:rPr>
                <w:webHidden/>
                <w:rStyle w:val="IndexLink"/>
                <w:rtl w:val="true"/>
              </w:rPr>
              <w:t>بیع الصبیّ عند أهل السنّة</w:t>
            </w:r>
            <w:r>
              <w:rPr>
                <w:rStyle w:val="IndexLink"/>
                <w:rtl w:val="true"/>
              </w:rPr>
              <w:tab/>
            </w:r>
            <w:r>
              <w:rPr>
                <w:rStyle w:val="IndexLink"/>
              </w:rPr>
              <w:t>75</w:t>
            </w:r>
          </w:hyperlink>
        </w:p>
        <w:p>
          <w:pPr>
            <w:pStyle w:val="Contents5"/>
            <w:tabs>
              <w:tab w:val="clear" w:pos="7892"/>
              <w:tab w:val="right" w:pos="9026" w:leader="dot"/>
            </w:tabs>
            <w:rPr/>
          </w:pPr>
          <w:hyperlink w:anchor="__RefHeading___Toc9696583_73709187">
            <w:r>
              <w:rPr>
                <w:webHidden/>
                <w:rStyle w:val="IndexLink"/>
                <w:rtl w:val="true"/>
              </w:rPr>
              <w:t>اشارة</w:t>
            </w:r>
            <w:r>
              <w:rPr>
                <w:rStyle w:val="IndexLink"/>
                <w:rtl w:val="true"/>
              </w:rPr>
              <w:tab/>
            </w:r>
            <w:r>
              <w:rPr>
                <w:rStyle w:val="IndexLink"/>
              </w:rPr>
              <w:t>75</w:t>
            </w:r>
          </w:hyperlink>
        </w:p>
        <w:p>
          <w:pPr>
            <w:pStyle w:val="Contents5"/>
            <w:tabs>
              <w:tab w:val="clear" w:pos="7892"/>
              <w:tab w:val="right" w:pos="9026" w:leader="dot"/>
            </w:tabs>
            <w:rPr/>
          </w:pPr>
          <w:hyperlink w:anchor="__RefHeading___Toc9696585_73709187">
            <w:r>
              <w:rPr>
                <w:webHidden/>
                <w:rStyle w:val="IndexLink"/>
                <w:rtl w:val="true"/>
              </w:rPr>
              <w:t xml:space="preserve">ألف </w:t>
            </w:r>
            <w:r>
              <w:rPr>
                <w:rStyle w:val="IndexLink"/>
                <w:rtl w:val="true"/>
              </w:rPr>
              <w:t xml:space="preserve">- </w:t>
            </w:r>
            <w:r>
              <w:rPr>
                <w:rStyle w:val="IndexLink"/>
                <w:rtl w:val="true"/>
              </w:rPr>
              <w:t>الحنابلة</w:t>
            </w:r>
            <w:r>
              <w:rPr>
                <w:rStyle w:val="IndexLink"/>
                <w:rtl w:val="true"/>
              </w:rPr>
              <w:tab/>
            </w:r>
            <w:r>
              <w:rPr>
                <w:rStyle w:val="IndexLink"/>
              </w:rPr>
              <w:t>75</w:t>
            </w:r>
          </w:hyperlink>
        </w:p>
        <w:p>
          <w:pPr>
            <w:pStyle w:val="Contents5"/>
            <w:tabs>
              <w:tab w:val="clear" w:pos="7892"/>
              <w:tab w:val="right" w:pos="9026" w:leader="dot"/>
            </w:tabs>
            <w:rPr/>
          </w:pPr>
          <w:hyperlink w:anchor="__RefHeading___Toc9696587_73709187">
            <w:r>
              <w:rPr>
                <w:webHidden/>
                <w:rStyle w:val="IndexLink"/>
                <w:rtl w:val="true"/>
              </w:rPr>
              <w:t xml:space="preserve">ب </w:t>
            </w:r>
            <w:r>
              <w:rPr>
                <w:rStyle w:val="IndexLink"/>
                <w:rtl w:val="true"/>
              </w:rPr>
              <w:t xml:space="preserve">- </w:t>
            </w:r>
            <w:r>
              <w:rPr>
                <w:rStyle w:val="IndexLink"/>
                <w:rtl w:val="true"/>
              </w:rPr>
              <w:t>الحنفیّة</w:t>
            </w:r>
            <w:r>
              <w:rPr>
                <w:rStyle w:val="IndexLink"/>
                <w:rtl w:val="true"/>
              </w:rPr>
              <w:tab/>
            </w:r>
            <w:r>
              <w:rPr>
                <w:rStyle w:val="IndexLink"/>
              </w:rPr>
              <w:t>76</w:t>
            </w:r>
          </w:hyperlink>
        </w:p>
        <w:p>
          <w:pPr>
            <w:pStyle w:val="Contents5"/>
            <w:tabs>
              <w:tab w:val="clear" w:pos="7892"/>
              <w:tab w:val="right" w:pos="9026" w:leader="dot"/>
            </w:tabs>
            <w:rPr/>
          </w:pPr>
          <w:hyperlink w:anchor="__RefHeading___Toc9696589_73709187">
            <w:r>
              <w:rPr>
                <w:webHidden/>
                <w:rStyle w:val="IndexLink"/>
                <w:rtl w:val="true"/>
              </w:rPr>
              <w:t xml:space="preserve">ج </w:t>
            </w:r>
            <w:r>
              <w:rPr>
                <w:rStyle w:val="IndexLink"/>
                <w:rtl w:val="true"/>
              </w:rPr>
              <w:t xml:space="preserve">- </w:t>
            </w:r>
            <w:r>
              <w:rPr>
                <w:rStyle w:val="IndexLink"/>
                <w:rtl w:val="true"/>
              </w:rPr>
              <w:t>المالکیّة</w:t>
            </w:r>
            <w:r>
              <w:rPr>
                <w:rStyle w:val="IndexLink"/>
                <w:rtl w:val="true"/>
              </w:rPr>
              <w:tab/>
            </w:r>
            <w:r>
              <w:rPr>
                <w:rStyle w:val="IndexLink"/>
              </w:rPr>
              <w:t>77</w:t>
            </w:r>
          </w:hyperlink>
        </w:p>
        <w:p>
          <w:pPr>
            <w:pStyle w:val="Contents5"/>
            <w:tabs>
              <w:tab w:val="clear" w:pos="7892"/>
              <w:tab w:val="right" w:pos="9026" w:leader="dot"/>
            </w:tabs>
            <w:rPr/>
          </w:pPr>
          <w:hyperlink w:anchor="__RefHeading___Toc9696591_73709187">
            <w:r>
              <w:rPr>
                <w:webHidden/>
                <w:rStyle w:val="IndexLink"/>
                <w:rtl w:val="true"/>
              </w:rPr>
              <w:t xml:space="preserve">د </w:t>
            </w:r>
            <w:r>
              <w:rPr>
                <w:rStyle w:val="IndexLink"/>
                <w:rtl w:val="true"/>
              </w:rPr>
              <w:t xml:space="preserve">- </w:t>
            </w:r>
            <w:r>
              <w:rPr>
                <w:rStyle w:val="IndexLink"/>
                <w:rtl w:val="true"/>
              </w:rPr>
              <w:t>الشافعیّة</w:t>
            </w:r>
            <w:r>
              <w:rPr>
                <w:rStyle w:val="IndexLink"/>
                <w:rtl w:val="true"/>
              </w:rPr>
              <w:tab/>
            </w:r>
            <w:r>
              <w:rPr>
                <w:rStyle w:val="IndexLink"/>
              </w:rPr>
              <w:t>78</w:t>
            </w:r>
          </w:hyperlink>
        </w:p>
        <w:p>
          <w:pPr>
            <w:pStyle w:val="Contents3"/>
            <w:tabs>
              <w:tab w:val="clear" w:pos="8459"/>
              <w:tab w:val="right" w:pos="9026" w:leader="dot"/>
            </w:tabs>
            <w:rPr/>
          </w:pPr>
          <w:hyperlink w:anchor="__RefHeading___Toc9696593_73709187">
            <w:r>
              <w:rPr>
                <w:webHidden/>
                <w:rStyle w:val="IndexLink"/>
                <w:rtl w:val="true"/>
              </w:rPr>
              <w:t>الفصل الثانی</w:t>
            </w:r>
            <w:r>
              <w:rPr>
                <w:rStyle w:val="IndexLink"/>
                <w:rtl w:val="true"/>
              </w:rPr>
              <w:t xml:space="preserve">: </w:t>
            </w:r>
            <w:r>
              <w:rPr>
                <w:rStyle w:val="IndexLink"/>
                <w:rtl w:val="true"/>
              </w:rPr>
              <w:t>رهن الصبیّ</w:t>
            </w:r>
            <w:r>
              <w:rPr>
                <w:rStyle w:val="IndexLink"/>
                <w:rtl w:val="true"/>
              </w:rPr>
              <w:tab/>
            </w:r>
            <w:r>
              <w:rPr>
                <w:rStyle w:val="IndexLink"/>
              </w:rPr>
              <w:t>80</w:t>
            </w:r>
          </w:hyperlink>
        </w:p>
        <w:p>
          <w:pPr>
            <w:pStyle w:val="Contents4"/>
            <w:tabs>
              <w:tab w:val="clear" w:pos="8176"/>
              <w:tab w:val="right" w:pos="9026" w:leader="dot"/>
            </w:tabs>
            <w:rPr/>
          </w:pPr>
          <w:hyperlink w:anchor="__RefHeading___Toc9696595_73709187">
            <w:r>
              <w:rPr>
                <w:webHidden/>
                <w:rStyle w:val="IndexLink"/>
                <w:rtl w:val="true"/>
              </w:rPr>
              <w:t>الرهن لغةً و اصطلاحاً</w:t>
            </w:r>
            <w:r>
              <w:rPr>
                <w:rStyle w:val="IndexLink"/>
                <w:rtl w:val="true"/>
              </w:rPr>
              <w:tab/>
            </w:r>
            <w:r>
              <w:rPr>
                <w:rStyle w:val="IndexLink"/>
              </w:rPr>
              <w:t>80</w:t>
            </w:r>
          </w:hyperlink>
        </w:p>
        <w:p>
          <w:pPr>
            <w:pStyle w:val="Contents4"/>
            <w:tabs>
              <w:tab w:val="clear" w:pos="8176"/>
              <w:tab w:val="right" w:pos="9026" w:leader="dot"/>
            </w:tabs>
            <w:rPr/>
          </w:pPr>
          <w:hyperlink w:anchor="__RefHeading___Toc9696597_73709187">
            <w:r>
              <w:rPr>
                <w:webHidden/>
                <w:rStyle w:val="IndexLink"/>
                <w:rtl w:val="true"/>
              </w:rPr>
              <w:t>رهن الصبیّ عند أهل السنّة</w:t>
            </w:r>
            <w:r>
              <w:rPr>
                <w:rStyle w:val="IndexLink"/>
                <w:rtl w:val="true"/>
              </w:rPr>
              <w:tab/>
            </w:r>
            <w:r>
              <w:rPr>
                <w:rStyle w:val="IndexLink"/>
              </w:rPr>
              <w:t>82</w:t>
            </w:r>
          </w:hyperlink>
        </w:p>
        <w:p>
          <w:pPr>
            <w:pStyle w:val="Contents3"/>
            <w:tabs>
              <w:tab w:val="clear" w:pos="8459"/>
              <w:tab w:val="right" w:pos="9026" w:leader="dot"/>
            </w:tabs>
            <w:rPr/>
          </w:pPr>
          <w:hyperlink w:anchor="__RefHeading___Toc9696599_73709187">
            <w:r>
              <w:rPr>
                <w:webHidden/>
                <w:rStyle w:val="IndexLink"/>
                <w:rtl w:val="true"/>
              </w:rPr>
              <w:t>الفصل الثالث</w:t>
            </w:r>
            <w:r>
              <w:rPr>
                <w:rStyle w:val="IndexLink"/>
                <w:rtl w:val="true"/>
              </w:rPr>
              <w:t xml:space="preserve">: </w:t>
            </w:r>
            <w:r>
              <w:rPr>
                <w:rStyle w:val="IndexLink"/>
                <w:rtl w:val="true"/>
              </w:rPr>
              <w:t>محجوریّة الصبیّ</w:t>
            </w:r>
            <w:r>
              <w:rPr>
                <w:rStyle w:val="IndexLink"/>
                <w:rtl w:val="true"/>
              </w:rPr>
              <w:tab/>
            </w:r>
            <w:r>
              <w:rPr>
                <w:rStyle w:val="IndexLink"/>
              </w:rPr>
              <w:t>84</w:t>
            </w:r>
          </w:hyperlink>
        </w:p>
        <w:p>
          <w:pPr>
            <w:pStyle w:val="Contents4"/>
            <w:tabs>
              <w:tab w:val="clear" w:pos="8176"/>
              <w:tab w:val="right" w:pos="9026" w:leader="dot"/>
            </w:tabs>
            <w:rPr/>
          </w:pPr>
          <w:hyperlink w:anchor="__RefHeading___Toc9696601_73709187">
            <w:r>
              <w:rPr>
                <w:webHidden/>
                <w:rStyle w:val="IndexLink"/>
                <w:rtl w:val="true"/>
              </w:rPr>
              <w:t>الحجر لغةً و اصطلاحاً</w:t>
            </w:r>
            <w:r>
              <w:rPr>
                <w:rStyle w:val="IndexLink"/>
                <w:rtl w:val="true"/>
              </w:rPr>
              <w:tab/>
            </w:r>
            <w:r>
              <w:rPr>
                <w:rStyle w:val="IndexLink"/>
              </w:rPr>
              <w:t>84</w:t>
            </w:r>
          </w:hyperlink>
        </w:p>
        <w:p>
          <w:pPr>
            <w:pStyle w:val="Contents4"/>
            <w:tabs>
              <w:tab w:val="clear" w:pos="8176"/>
              <w:tab w:val="right" w:pos="9026" w:leader="dot"/>
            </w:tabs>
            <w:rPr/>
          </w:pPr>
          <w:hyperlink w:anchor="__RefHeading___Toc9696603_73709187">
            <w:r>
              <w:rPr>
                <w:webHidden/>
                <w:rStyle w:val="IndexLink"/>
                <w:rtl w:val="true"/>
              </w:rPr>
              <w:t>و الحجر علی ضربین</w:t>
            </w:r>
            <w:r>
              <w:rPr>
                <w:rStyle w:val="IndexLink"/>
                <w:rtl w:val="true"/>
              </w:rPr>
              <w:t>:</w:t>
              <w:tab/>
            </w:r>
            <w:r>
              <w:rPr>
                <w:rStyle w:val="IndexLink"/>
              </w:rPr>
              <w:t>85</w:t>
            </w:r>
          </w:hyperlink>
        </w:p>
        <w:p>
          <w:pPr>
            <w:pStyle w:val="Contents4"/>
            <w:tabs>
              <w:tab w:val="clear" w:pos="8176"/>
              <w:tab w:val="right" w:pos="9026" w:leader="dot"/>
            </w:tabs>
            <w:rPr/>
          </w:pPr>
          <w:hyperlink w:anchor="__RefHeading___Toc9696605_73709187">
            <w:r>
              <w:rPr>
                <w:webHidden/>
                <w:rStyle w:val="IndexLink"/>
                <w:rtl w:val="true"/>
              </w:rPr>
              <w:t>مذهب فقهاء أهل السنّة فی محجوریّة الصبیّ‌</w:t>
            </w:r>
            <w:r>
              <w:rPr>
                <w:rStyle w:val="IndexLink"/>
                <w:rtl w:val="true"/>
              </w:rPr>
              <w:tab/>
            </w:r>
            <w:r>
              <w:rPr>
                <w:rStyle w:val="IndexLink"/>
              </w:rPr>
              <w:t>92</w:t>
            </w:r>
          </w:hyperlink>
        </w:p>
        <w:p>
          <w:pPr>
            <w:pStyle w:val="Contents3"/>
            <w:tabs>
              <w:tab w:val="clear" w:pos="8459"/>
              <w:tab w:val="right" w:pos="9026" w:leader="dot"/>
            </w:tabs>
            <w:rPr/>
          </w:pPr>
          <w:hyperlink w:anchor="__RefHeading___Toc9696607_73709187">
            <w:r>
              <w:rPr>
                <w:webHidden/>
                <w:rStyle w:val="IndexLink"/>
                <w:rtl w:val="true"/>
              </w:rPr>
              <w:t>الفصل الرابع</w:t>
            </w:r>
            <w:r>
              <w:rPr>
                <w:rStyle w:val="IndexLink"/>
                <w:rtl w:val="true"/>
              </w:rPr>
              <w:t xml:space="preserve">: </w:t>
            </w:r>
            <w:r>
              <w:rPr>
                <w:rStyle w:val="IndexLink"/>
                <w:rtl w:val="true"/>
              </w:rPr>
              <w:t>تمییز الصبیّ</w:t>
            </w:r>
            <w:r>
              <w:rPr>
                <w:rStyle w:val="IndexLink"/>
                <w:rtl w:val="true"/>
              </w:rPr>
              <w:tab/>
            </w:r>
            <w:r>
              <w:rPr>
                <w:rStyle w:val="IndexLink"/>
              </w:rPr>
              <w:t>94</w:t>
            </w:r>
          </w:hyperlink>
        </w:p>
        <w:p>
          <w:pPr>
            <w:pStyle w:val="Contents4"/>
            <w:tabs>
              <w:tab w:val="clear" w:pos="8176"/>
              <w:tab w:val="right" w:pos="9026" w:leader="dot"/>
            </w:tabs>
            <w:rPr/>
          </w:pPr>
          <w:hyperlink w:anchor="__RefHeading___Toc9696609_73709187">
            <w:r>
              <w:rPr>
                <w:webHidden/>
                <w:rStyle w:val="IndexLink"/>
                <w:rtl w:val="true"/>
              </w:rPr>
              <w:t>مراحل عمر الإنسان الأساسیّة</w:t>
            </w:r>
            <w:r>
              <w:rPr>
                <w:rStyle w:val="IndexLink"/>
                <w:rtl w:val="true"/>
              </w:rPr>
              <w:tab/>
            </w:r>
            <w:r>
              <w:rPr>
                <w:rStyle w:val="IndexLink"/>
              </w:rPr>
              <w:t>94</w:t>
            </w:r>
          </w:hyperlink>
        </w:p>
        <w:p>
          <w:pPr>
            <w:pStyle w:val="Contents4"/>
            <w:tabs>
              <w:tab w:val="clear" w:pos="8176"/>
              <w:tab w:val="right" w:pos="9026" w:leader="dot"/>
            </w:tabs>
            <w:rPr/>
          </w:pPr>
          <w:hyperlink w:anchor="__RefHeading___Toc9696611_73709187">
            <w:r>
              <w:rPr>
                <w:webHidden/>
                <w:rStyle w:val="IndexLink"/>
                <w:rtl w:val="true"/>
              </w:rPr>
              <w:t>التمییز لغةً و اصطلاحاً</w:t>
            </w:r>
            <w:r>
              <w:rPr>
                <w:rStyle w:val="IndexLink"/>
                <w:rtl w:val="true"/>
              </w:rPr>
              <w:tab/>
            </w:r>
            <w:r>
              <w:rPr>
                <w:rStyle w:val="IndexLink"/>
              </w:rPr>
              <w:t>95</w:t>
            </w:r>
          </w:hyperlink>
        </w:p>
        <w:p>
          <w:pPr>
            <w:pStyle w:val="Contents4"/>
            <w:tabs>
              <w:tab w:val="clear" w:pos="8176"/>
              <w:tab w:val="right" w:pos="9026" w:leader="dot"/>
            </w:tabs>
            <w:rPr/>
          </w:pPr>
          <w:hyperlink w:anchor="__RefHeading___Toc9696613_73709187">
            <w:r>
              <w:rPr>
                <w:webHidden/>
                <w:rStyle w:val="IndexLink"/>
                <w:rtl w:val="true"/>
              </w:rPr>
              <w:t>التحقیق فی المسألة</w:t>
            </w:r>
            <w:r>
              <w:rPr>
                <w:rStyle w:val="IndexLink"/>
                <w:rtl w:val="true"/>
              </w:rPr>
              <w:tab/>
            </w:r>
            <w:r>
              <w:rPr>
                <w:rStyle w:val="IndexLink"/>
              </w:rPr>
              <w:t>100</w:t>
            </w:r>
          </w:hyperlink>
        </w:p>
        <w:p>
          <w:pPr>
            <w:pStyle w:val="Contents4"/>
            <w:tabs>
              <w:tab w:val="clear" w:pos="8176"/>
              <w:tab w:val="right" w:pos="9026" w:leader="dot"/>
            </w:tabs>
            <w:rPr/>
          </w:pPr>
          <w:hyperlink w:anchor="__RefHeading___Toc9696615_73709187">
            <w:r>
              <w:rPr>
                <w:webHidden/>
                <w:rStyle w:val="IndexLink"/>
                <w:rtl w:val="true"/>
              </w:rPr>
              <w:t>الصبیّ الممیّز عند أهل السنّة</w:t>
            </w:r>
            <w:r>
              <w:rPr>
                <w:rStyle w:val="IndexLink"/>
                <w:rtl w:val="true"/>
              </w:rPr>
              <w:tab/>
            </w:r>
            <w:r>
              <w:rPr>
                <w:rStyle w:val="IndexLink"/>
              </w:rPr>
              <w:t>101</w:t>
            </w:r>
          </w:hyperlink>
        </w:p>
        <w:p>
          <w:pPr>
            <w:pStyle w:val="Contents3"/>
            <w:tabs>
              <w:tab w:val="clear" w:pos="8459"/>
              <w:tab w:val="right" w:pos="9026" w:leader="dot"/>
            </w:tabs>
            <w:rPr/>
          </w:pPr>
          <w:hyperlink w:anchor="__RefHeading___Toc9696617_73709187">
            <w:r>
              <w:rPr>
                <w:webHidden/>
                <w:rStyle w:val="IndexLink"/>
                <w:rtl w:val="true"/>
              </w:rPr>
              <w:t>الفصل الخامس</w:t>
            </w:r>
            <w:r>
              <w:rPr>
                <w:rStyle w:val="IndexLink"/>
                <w:rtl w:val="true"/>
              </w:rPr>
              <w:t xml:space="preserve">: </w:t>
            </w:r>
            <w:r>
              <w:rPr>
                <w:rStyle w:val="IndexLink"/>
                <w:rtl w:val="true"/>
              </w:rPr>
              <w:t>بلوغ الصبیّ</w:t>
            </w:r>
            <w:r>
              <w:rPr>
                <w:rStyle w:val="IndexLink"/>
                <w:rtl w:val="true"/>
              </w:rPr>
              <w:tab/>
            </w:r>
            <w:r>
              <w:rPr>
                <w:rStyle w:val="IndexLink"/>
              </w:rPr>
              <w:t>105</w:t>
            </w:r>
          </w:hyperlink>
        </w:p>
        <w:p>
          <w:pPr>
            <w:pStyle w:val="Contents4"/>
            <w:tabs>
              <w:tab w:val="clear" w:pos="8176"/>
              <w:tab w:val="right" w:pos="9026" w:leader="dot"/>
            </w:tabs>
            <w:rPr/>
          </w:pPr>
          <w:hyperlink w:anchor="__RefHeading___Toc9696619_73709187">
            <w:r>
              <w:rPr>
                <w:webHidden/>
                <w:rStyle w:val="IndexLink"/>
                <w:rtl w:val="true"/>
              </w:rPr>
              <w:t>البلوغ لغةً و اصطلاحاً</w:t>
            </w:r>
            <w:r>
              <w:rPr>
                <w:rStyle w:val="IndexLink"/>
                <w:rtl w:val="true"/>
              </w:rPr>
              <w:tab/>
            </w:r>
            <w:r>
              <w:rPr>
                <w:rStyle w:val="IndexLink"/>
              </w:rPr>
              <w:t>105</w:t>
            </w:r>
          </w:hyperlink>
        </w:p>
        <w:p>
          <w:pPr>
            <w:pStyle w:val="Contents4"/>
            <w:tabs>
              <w:tab w:val="clear" w:pos="8176"/>
              <w:tab w:val="right" w:pos="9026" w:leader="dot"/>
            </w:tabs>
            <w:rPr/>
          </w:pPr>
          <w:hyperlink w:anchor="__RefHeading___Toc9696621_73709187">
            <w:r>
              <w:rPr>
                <w:webHidden/>
                <w:rStyle w:val="IndexLink"/>
                <w:rtl w:val="true"/>
              </w:rPr>
              <w:t>علائم البلوغ</w:t>
            </w:r>
            <w:r>
              <w:rPr>
                <w:rStyle w:val="IndexLink"/>
                <w:rtl w:val="true"/>
              </w:rPr>
              <w:tab/>
            </w:r>
            <w:r>
              <w:rPr>
                <w:rStyle w:val="IndexLink"/>
              </w:rPr>
              <w:t>106</w:t>
            </w:r>
          </w:hyperlink>
        </w:p>
        <w:p>
          <w:pPr>
            <w:pStyle w:val="Contents4"/>
            <w:tabs>
              <w:tab w:val="clear" w:pos="8176"/>
              <w:tab w:val="right" w:pos="9026" w:leader="dot"/>
            </w:tabs>
            <w:rPr/>
          </w:pPr>
          <w:hyperlink w:anchor="__RefHeading___Toc9696623_73709187">
            <w:r>
              <w:rPr>
                <w:webHidden/>
                <w:rStyle w:val="IndexLink"/>
                <w:rtl w:val="true"/>
              </w:rPr>
              <w:t>العلامة الاُولی</w:t>
            </w:r>
            <w:r>
              <w:rPr>
                <w:rStyle w:val="IndexLink"/>
                <w:rtl w:val="true"/>
              </w:rPr>
              <w:t xml:space="preserve">: </w:t>
            </w:r>
            <w:r>
              <w:rPr>
                <w:rStyle w:val="IndexLink"/>
                <w:rtl w:val="true"/>
              </w:rPr>
              <w:t>الإنبات</w:t>
            </w:r>
            <w:r>
              <w:rPr>
                <w:rStyle w:val="IndexLink"/>
                <w:rtl w:val="true"/>
              </w:rPr>
              <w:tab/>
            </w:r>
            <w:r>
              <w:rPr>
                <w:rStyle w:val="IndexLink"/>
              </w:rPr>
              <w:t>108</w:t>
            </w:r>
          </w:hyperlink>
        </w:p>
        <w:p>
          <w:pPr>
            <w:pStyle w:val="Contents5"/>
            <w:tabs>
              <w:tab w:val="clear" w:pos="7892"/>
              <w:tab w:val="right" w:pos="9026" w:leader="dot"/>
            </w:tabs>
            <w:rPr/>
          </w:pPr>
          <w:hyperlink w:anchor="__RefHeading___Toc9696625_73709187">
            <w:r>
              <w:rPr>
                <w:webHidden/>
                <w:rStyle w:val="IndexLink"/>
                <w:rtl w:val="true"/>
              </w:rPr>
              <w:t>اشارة</w:t>
            </w:r>
            <w:r>
              <w:rPr>
                <w:rStyle w:val="IndexLink"/>
                <w:rtl w:val="true"/>
              </w:rPr>
              <w:tab/>
            </w:r>
            <w:r>
              <w:rPr>
                <w:rStyle w:val="IndexLink"/>
              </w:rPr>
              <w:t>108</w:t>
            </w:r>
          </w:hyperlink>
        </w:p>
        <w:p>
          <w:pPr>
            <w:pStyle w:val="Contents5"/>
            <w:tabs>
              <w:tab w:val="clear" w:pos="7892"/>
              <w:tab w:val="right" w:pos="9026" w:leader="dot"/>
            </w:tabs>
            <w:rPr/>
          </w:pPr>
          <w:hyperlink w:anchor="__RefHeading___Toc9696627_73709187">
            <w:r>
              <w:rPr>
                <w:webHidden/>
                <w:rStyle w:val="IndexLink"/>
                <w:rtl w:val="true"/>
              </w:rPr>
              <w:t>اختصاص الحکم بشعر العانة</w:t>
            </w:r>
            <w:r>
              <w:rPr>
                <w:rStyle w:val="IndexLink"/>
                <w:rtl w:val="true"/>
              </w:rPr>
              <w:tab/>
            </w:r>
            <w:r>
              <w:rPr>
                <w:rStyle w:val="IndexLink"/>
              </w:rPr>
              <w:t>111</w:t>
            </w:r>
          </w:hyperlink>
        </w:p>
        <w:p>
          <w:pPr>
            <w:pStyle w:val="Contents5"/>
            <w:tabs>
              <w:tab w:val="clear" w:pos="7892"/>
              <w:tab w:val="right" w:pos="9026" w:leader="dot"/>
            </w:tabs>
            <w:rPr/>
          </w:pPr>
          <w:hyperlink w:anchor="__RefHeading___Toc9696629_73709187">
            <w:r>
              <w:rPr>
                <w:webHidden/>
                <w:rStyle w:val="IndexLink"/>
                <w:rtl w:val="true"/>
              </w:rPr>
              <w:t>کون الإنبات بنفسه بلوغاً أو کاشفاً عنه؟</w:t>
            </w:r>
            <w:r>
              <w:rPr>
                <w:rStyle w:val="IndexLink"/>
                <w:rtl w:val="true"/>
              </w:rPr>
              <w:tab/>
            </w:r>
            <w:r>
              <w:rPr>
                <w:rStyle w:val="IndexLink"/>
              </w:rPr>
              <w:t>116</w:t>
            </w:r>
          </w:hyperlink>
        </w:p>
        <w:p>
          <w:pPr>
            <w:pStyle w:val="Contents4"/>
            <w:tabs>
              <w:tab w:val="clear" w:pos="8176"/>
              <w:tab w:val="right" w:pos="9026" w:leader="dot"/>
            </w:tabs>
            <w:rPr/>
          </w:pPr>
          <w:hyperlink w:anchor="__RefHeading___Toc9696631_73709187">
            <w:r>
              <w:rPr>
                <w:webHidden/>
                <w:rStyle w:val="IndexLink"/>
                <w:rtl w:val="true"/>
              </w:rPr>
              <w:t>العلامة الثانیة</w:t>
            </w:r>
            <w:r>
              <w:rPr>
                <w:rStyle w:val="IndexLink"/>
                <w:rtl w:val="true"/>
              </w:rPr>
              <w:t xml:space="preserve">: </w:t>
            </w:r>
            <w:r>
              <w:rPr>
                <w:rStyle w:val="IndexLink"/>
                <w:rtl w:val="true"/>
              </w:rPr>
              <w:t>خروج المنی أو القدرة علی الإنزال</w:t>
            </w:r>
            <w:r>
              <w:rPr>
                <w:rStyle w:val="IndexLink"/>
                <w:rtl w:val="true"/>
              </w:rPr>
              <w:tab/>
            </w:r>
            <w:r>
              <w:rPr>
                <w:rStyle w:val="IndexLink"/>
              </w:rPr>
              <w:t>119</w:t>
            </w:r>
          </w:hyperlink>
        </w:p>
        <w:p>
          <w:pPr>
            <w:pStyle w:val="Contents5"/>
            <w:tabs>
              <w:tab w:val="clear" w:pos="7892"/>
              <w:tab w:val="right" w:pos="9026" w:leader="dot"/>
            </w:tabs>
            <w:rPr/>
          </w:pPr>
          <w:hyperlink w:anchor="__RefHeading___Toc9696633_73709187">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9696635_73709187">
            <w:r>
              <w:rPr>
                <w:webHidden/>
                <w:rStyle w:val="IndexLink"/>
                <w:rtl w:val="true"/>
              </w:rPr>
              <w:t>الأوّل</w:t>
            </w:r>
            <w:r>
              <w:rPr>
                <w:rStyle w:val="IndexLink"/>
                <w:rtl w:val="true"/>
              </w:rPr>
              <w:t xml:space="preserve">: </w:t>
            </w:r>
            <w:r>
              <w:rPr>
                <w:rStyle w:val="IndexLink"/>
                <w:rtl w:val="true"/>
              </w:rPr>
              <w:t>الإجماع</w:t>
            </w:r>
            <w:r>
              <w:rPr>
                <w:rStyle w:val="IndexLink"/>
                <w:rtl w:val="true"/>
              </w:rPr>
              <w:tab/>
            </w:r>
            <w:r>
              <w:rPr>
                <w:rStyle w:val="IndexLink"/>
              </w:rPr>
              <w:t>120</w:t>
            </w:r>
          </w:hyperlink>
        </w:p>
        <w:p>
          <w:pPr>
            <w:pStyle w:val="Contents5"/>
            <w:tabs>
              <w:tab w:val="clear" w:pos="7892"/>
              <w:tab w:val="right" w:pos="9026" w:leader="dot"/>
            </w:tabs>
            <w:rPr/>
          </w:pPr>
          <w:hyperlink w:anchor="__RefHeading___Toc9696637_73709187">
            <w:r>
              <w:rPr>
                <w:webHidden/>
                <w:rStyle w:val="IndexLink"/>
                <w:rtl w:val="true"/>
              </w:rPr>
              <w:t>الثانی</w:t>
            </w:r>
            <w:r>
              <w:rPr>
                <w:rStyle w:val="IndexLink"/>
                <w:rtl w:val="true"/>
              </w:rPr>
              <w:t xml:space="preserve">: </w:t>
            </w:r>
            <w:r>
              <w:rPr>
                <w:rStyle w:val="IndexLink"/>
                <w:rtl w:val="true"/>
              </w:rPr>
              <w:t>الآیات</w:t>
            </w:r>
            <w:r>
              <w:rPr>
                <w:rStyle w:val="IndexLink"/>
                <w:rtl w:val="true"/>
              </w:rPr>
              <w:tab/>
            </w:r>
            <w:r>
              <w:rPr>
                <w:rStyle w:val="IndexLink"/>
              </w:rPr>
              <w:t>120</w:t>
            </w:r>
          </w:hyperlink>
        </w:p>
        <w:p>
          <w:pPr>
            <w:pStyle w:val="Contents5"/>
            <w:tabs>
              <w:tab w:val="clear" w:pos="7892"/>
              <w:tab w:val="right" w:pos="9026" w:leader="dot"/>
            </w:tabs>
            <w:rPr/>
          </w:pPr>
          <w:hyperlink w:anchor="__RefHeading___Toc9696639_73709187">
            <w:r>
              <w:rPr>
                <w:webHidden/>
                <w:rStyle w:val="IndexLink"/>
                <w:rtl w:val="true"/>
              </w:rPr>
              <w:t>الثالث</w:t>
            </w:r>
            <w:r>
              <w:rPr>
                <w:rStyle w:val="IndexLink"/>
                <w:rtl w:val="true"/>
              </w:rPr>
              <w:t xml:space="preserve">: </w:t>
            </w:r>
            <w:r>
              <w:rPr>
                <w:rStyle w:val="IndexLink"/>
                <w:rtl w:val="true"/>
              </w:rPr>
              <w:t>النصوص المستفیضة،</w:t>
            </w:r>
            <w:r>
              <w:rPr>
                <w:rStyle w:val="IndexLink"/>
                <w:rtl w:val="true"/>
              </w:rPr>
              <w:tab/>
            </w:r>
            <w:r>
              <w:rPr>
                <w:rStyle w:val="IndexLink"/>
              </w:rPr>
              <w:t>123</w:t>
            </w:r>
          </w:hyperlink>
        </w:p>
        <w:p>
          <w:pPr>
            <w:pStyle w:val="Contents4"/>
            <w:tabs>
              <w:tab w:val="clear" w:pos="8176"/>
              <w:tab w:val="right" w:pos="9026" w:leader="dot"/>
            </w:tabs>
            <w:rPr/>
          </w:pPr>
          <w:hyperlink w:anchor="__RefHeading___Toc9696641_73709187">
            <w:r>
              <w:rPr>
                <w:webHidden/>
                <w:rStyle w:val="IndexLink"/>
                <w:rtl w:val="true"/>
              </w:rPr>
              <w:t>اُمور هامّة ینبغی ذکرها</w:t>
            </w:r>
            <w:r>
              <w:rPr>
                <w:rStyle w:val="IndexLink"/>
                <w:rtl w:val="true"/>
              </w:rPr>
              <w:tab/>
            </w:r>
            <w:r>
              <w:rPr>
                <w:rStyle w:val="IndexLink"/>
              </w:rPr>
              <w:t>127</w:t>
            </w:r>
          </w:hyperlink>
        </w:p>
        <w:p>
          <w:pPr>
            <w:pStyle w:val="Contents5"/>
            <w:tabs>
              <w:tab w:val="clear" w:pos="7892"/>
              <w:tab w:val="right" w:pos="9026" w:leader="dot"/>
            </w:tabs>
            <w:rPr/>
          </w:pPr>
          <w:hyperlink w:anchor="__RefHeading___Toc9696643_73709187">
            <w:r>
              <w:rPr>
                <w:webHidden/>
                <w:rStyle w:val="IndexLink"/>
                <w:rtl w:val="true"/>
              </w:rPr>
              <w:t>الأوّل</w:t>
            </w:r>
            <w:r>
              <w:rPr>
                <w:rStyle w:val="IndexLink"/>
                <w:rtl w:val="true"/>
              </w:rPr>
              <w:t>:</w:t>
              <w:tab/>
            </w:r>
            <w:r>
              <w:rPr>
                <w:rStyle w:val="IndexLink"/>
              </w:rPr>
              <w:t>127</w:t>
            </w:r>
          </w:hyperlink>
        </w:p>
        <w:p>
          <w:pPr>
            <w:pStyle w:val="Contents5"/>
            <w:tabs>
              <w:tab w:val="clear" w:pos="7892"/>
              <w:tab w:val="right" w:pos="9026" w:leader="dot"/>
            </w:tabs>
            <w:rPr/>
          </w:pPr>
          <w:hyperlink w:anchor="__RefHeading___Toc9696645_73709187">
            <w:r>
              <w:rPr>
                <w:webHidden/>
                <w:rStyle w:val="IndexLink"/>
                <w:rtl w:val="true"/>
              </w:rPr>
              <w:t>الأمر الثانی</w:t>
            </w:r>
            <w:r>
              <w:rPr>
                <w:rStyle w:val="IndexLink"/>
                <w:rtl w:val="true"/>
              </w:rPr>
              <w:t>:</w:t>
              <w:tab/>
            </w:r>
            <w:r>
              <w:rPr>
                <w:rStyle w:val="IndexLink"/>
              </w:rPr>
              <w:t>128</w:t>
            </w:r>
          </w:hyperlink>
        </w:p>
        <w:p>
          <w:pPr>
            <w:pStyle w:val="Contents5"/>
            <w:tabs>
              <w:tab w:val="clear" w:pos="7892"/>
              <w:tab w:val="right" w:pos="9026" w:leader="dot"/>
            </w:tabs>
            <w:rPr/>
          </w:pPr>
          <w:hyperlink w:anchor="__RefHeading___Toc9696647_73709187">
            <w:r>
              <w:rPr>
                <w:webHidden/>
                <w:rStyle w:val="IndexLink"/>
                <w:rtl w:val="true"/>
              </w:rPr>
              <w:t>الأمر الثالث</w:t>
            </w:r>
            <w:r>
              <w:rPr>
                <w:rStyle w:val="IndexLink"/>
                <w:rtl w:val="true"/>
              </w:rPr>
              <w:t>:</w:t>
              <w:tab/>
            </w:r>
            <w:r>
              <w:rPr>
                <w:rStyle w:val="IndexLink"/>
              </w:rPr>
              <w:t>129</w:t>
            </w:r>
          </w:hyperlink>
        </w:p>
        <w:p>
          <w:pPr>
            <w:pStyle w:val="Contents5"/>
            <w:tabs>
              <w:tab w:val="clear" w:pos="7892"/>
              <w:tab w:val="right" w:pos="9026" w:leader="dot"/>
            </w:tabs>
            <w:rPr/>
          </w:pPr>
          <w:hyperlink w:anchor="__RefHeading___Toc9696649_73709187">
            <w:r>
              <w:rPr>
                <w:webHidden/>
                <w:rStyle w:val="IndexLink"/>
                <w:rtl w:val="true"/>
              </w:rPr>
              <w:t>الأمر الرابع</w:t>
            </w:r>
            <w:r>
              <w:rPr>
                <w:rStyle w:val="IndexLink"/>
                <w:rtl w:val="true"/>
              </w:rPr>
              <w:t>:</w:t>
              <w:tab/>
            </w:r>
            <w:r>
              <w:rPr>
                <w:rStyle w:val="IndexLink"/>
              </w:rPr>
              <w:t>131</w:t>
            </w:r>
          </w:hyperlink>
        </w:p>
        <w:p>
          <w:pPr>
            <w:pStyle w:val="Contents5"/>
            <w:tabs>
              <w:tab w:val="clear" w:pos="7892"/>
              <w:tab w:val="right" w:pos="9026" w:leader="dot"/>
            </w:tabs>
            <w:rPr/>
          </w:pPr>
          <w:hyperlink w:anchor="__RefHeading___Toc9696651_73709187">
            <w:r>
              <w:rPr>
                <w:webHidden/>
                <w:rStyle w:val="IndexLink"/>
                <w:rtl w:val="true"/>
              </w:rPr>
              <w:t>الأمر الخامس</w:t>
            </w:r>
            <w:r>
              <w:rPr>
                <w:rStyle w:val="IndexLink"/>
                <w:rtl w:val="true"/>
              </w:rPr>
              <w:t>:</w:t>
              <w:tab/>
            </w:r>
            <w:r>
              <w:rPr>
                <w:rStyle w:val="IndexLink"/>
              </w:rPr>
              <w:t>133</w:t>
            </w:r>
          </w:hyperlink>
        </w:p>
        <w:p>
          <w:pPr>
            <w:pStyle w:val="Contents5"/>
            <w:tabs>
              <w:tab w:val="clear" w:pos="7892"/>
              <w:tab w:val="right" w:pos="9026" w:leader="dot"/>
            </w:tabs>
            <w:rPr/>
          </w:pPr>
          <w:hyperlink w:anchor="__RefHeading___Toc9696653_73709187">
            <w:r>
              <w:rPr>
                <w:webHidden/>
                <w:rStyle w:val="IndexLink"/>
                <w:rtl w:val="true"/>
              </w:rPr>
              <w:t>الأمر السادس</w:t>
            </w:r>
            <w:r>
              <w:rPr>
                <w:rStyle w:val="IndexLink"/>
                <w:rtl w:val="true"/>
              </w:rPr>
              <w:t>:</w:t>
              <w:tab/>
            </w:r>
            <w:r>
              <w:rPr>
                <w:rStyle w:val="IndexLink"/>
              </w:rPr>
              <w:t>133</w:t>
            </w:r>
          </w:hyperlink>
        </w:p>
        <w:p>
          <w:pPr>
            <w:pStyle w:val="Contents5"/>
            <w:tabs>
              <w:tab w:val="clear" w:pos="7892"/>
              <w:tab w:val="right" w:pos="9026" w:leader="dot"/>
            </w:tabs>
            <w:rPr/>
          </w:pPr>
          <w:hyperlink w:anchor="__RefHeading___Toc9696655_73709187">
            <w:r>
              <w:rPr>
                <w:webHidden/>
                <w:rStyle w:val="IndexLink"/>
                <w:rtl w:val="true"/>
              </w:rPr>
              <w:t>الأمر السابع</w:t>
            </w:r>
            <w:r>
              <w:rPr>
                <w:rStyle w:val="IndexLink"/>
                <w:rtl w:val="true"/>
              </w:rPr>
              <w:t>:</w:t>
              <w:tab/>
            </w:r>
            <w:r>
              <w:rPr>
                <w:rStyle w:val="IndexLink"/>
              </w:rPr>
              <w:t>135</w:t>
            </w:r>
          </w:hyperlink>
        </w:p>
        <w:p>
          <w:pPr>
            <w:pStyle w:val="Contents5"/>
            <w:tabs>
              <w:tab w:val="clear" w:pos="7892"/>
              <w:tab w:val="right" w:pos="9026" w:leader="dot"/>
            </w:tabs>
            <w:rPr/>
          </w:pPr>
          <w:hyperlink w:anchor="__RefHeading___Toc9696657_73709187">
            <w:r>
              <w:rPr>
                <w:webHidden/>
                <w:rStyle w:val="IndexLink"/>
                <w:rtl w:val="true"/>
              </w:rPr>
              <w:t>الأمر الثامن</w:t>
            </w:r>
            <w:r>
              <w:rPr>
                <w:rStyle w:val="IndexLink"/>
                <w:rtl w:val="true"/>
              </w:rPr>
              <w:t>:</w:t>
              <w:tab/>
            </w:r>
            <w:r>
              <w:rPr>
                <w:rStyle w:val="IndexLink"/>
              </w:rPr>
              <w:t>137</w:t>
            </w:r>
          </w:hyperlink>
        </w:p>
        <w:p>
          <w:pPr>
            <w:pStyle w:val="Contents5"/>
            <w:tabs>
              <w:tab w:val="clear" w:pos="7892"/>
              <w:tab w:val="right" w:pos="9026" w:leader="dot"/>
            </w:tabs>
            <w:rPr/>
          </w:pPr>
          <w:hyperlink w:anchor="__RefHeading___Toc9696659_73709187">
            <w:r>
              <w:rPr>
                <w:webHidden/>
                <w:rStyle w:val="IndexLink"/>
                <w:rtl w:val="true"/>
              </w:rPr>
              <w:t>الأمر التاسع</w:t>
            </w:r>
            <w:r>
              <w:rPr>
                <w:rStyle w:val="IndexLink"/>
                <w:rtl w:val="true"/>
              </w:rPr>
              <w:tab/>
            </w:r>
            <w:r>
              <w:rPr>
                <w:rStyle w:val="IndexLink"/>
              </w:rPr>
              <w:t>138</w:t>
            </w:r>
          </w:hyperlink>
        </w:p>
        <w:p>
          <w:pPr>
            <w:pStyle w:val="Contents4"/>
            <w:tabs>
              <w:tab w:val="clear" w:pos="8176"/>
              <w:tab w:val="right" w:pos="9026" w:leader="dot"/>
            </w:tabs>
            <w:rPr/>
          </w:pPr>
          <w:hyperlink w:anchor="__RefHeading___Toc9696661_73709187">
            <w:r>
              <w:rPr>
                <w:webHidden/>
                <w:rStyle w:val="IndexLink"/>
                <w:rtl w:val="true"/>
              </w:rPr>
              <w:t>أدلّة اشتراک الذکور و الإناث فی الاحتلام</w:t>
            </w:r>
            <w:r>
              <w:rPr>
                <w:rStyle w:val="IndexLink"/>
                <w:rtl w:val="true"/>
              </w:rPr>
              <w:tab/>
            </w:r>
            <w:r>
              <w:rPr>
                <w:rStyle w:val="IndexLink"/>
              </w:rPr>
              <w:t>143</w:t>
            </w:r>
          </w:hyperlink>
        </w:p>
        <w:p>
          <w:pPr>
            <w:pStyle w:val="Contents5"/>
            <w:tabs>
              <w:tab w:val="clear" w:pos="7892"/>
              <w:tab w:val="right" w:pos="9026" w:leader="dot"/>
            </w:tabs>
            <w:rPr/>
          </w:pPr>
          <w:hyperlink w:anchor="__RefHeading___Toc9696663_73709187">
            <w:r>
              <w:rPr>
                <w:webHidden/>
                <w:rStyle w:val="IndexLink"/>
                <w:rtl w:val="true"/>
              </w:rPr>
              <w:t>اشارة</w:t>
            </w:r>
            <w:r>
              <w:rPr>
                <w:rStyle w:val="IndexLink"/>
                <w:rtl w:val="true"/>
              </w:rPr>
              <w:tab/>
            </w:r>
            <w:r>
              <w:rPr>
                <w:rStyle w:val="IndexLink"/>
              </w:rPr>
              <w:t>143</w:t>
            </w:r>
          </w:hyperlink>
        </w:p>
        <w:p>
          <w:pPr>
            <w:pStyle w:val="Contents5"/>
            <w:tabs>
              <w:tab w:val="clear" w:pos="7892"/>
              <w:tab w:val="right" w:pos="9026" w:leader="dot"/>
            </w:tabs>
            <w:rPr/>
          </w:pPr>
          <w:hyperlink w:anchor="__RefHeading___Toc9696665_73709187">
            <w:r>
              <w:rPr>
                <w:webHidden/>
                <w:rStyle w:val="IndexLink"/>
                <w:rtl w:val="true"/>
              </w:rPr>
              <w:t>الأمر العاشر</w:t>
            </w:r>
            <w:r>
              <w:rPr>
                <w:rStyle w:val="IndexLink"/>
                <w:rtl w:val="true"/>
              </w:rPr>
              <w:t>:</w:t>
              <w:tab/>
            </w:r>
            <w:r>
              <w:rPr>
                <w:rStyle w:val="IndexLink"/>
              </w:rPr>
              <w:t>146</w:t>
            </w:r>
          </w:hyperlink>
        </w:p>
        <w:p>
          <w:pPr>
            <w:pStyle w:val="Contents6"/>
            <w:tabs>
              <w:tab w:val="clear" w:pos="7609"/>
              <w:tab w:val="right" w:pos="9026" w:leader="dot"/>
            </w:tabs>
            <w:rPr/>
          </w:pPr>
          <w:hyperlink w:anchor="__RefHeading___Toc9696667_73709187">
            <w:r>
              <w:rPr>
                <w:webHidden/>
                <w:rStyle w:val="IndexLink"/>
                <w:rtl w:val="true"/>
              </w:rPr>
              <w:t>اشارة</w:t>
            </w:r>
            <w:r>
              <w:rPr>
                <w:rStyle w:val="IndexLink"/>
                <w:rtl w:val="true"/>
              </w:rPr>
              <w:tab/>
            </w:r>
            <w:r>
              <w:rPr>
                <w:rStyle w:val="IndexLink"/>
              </w:rPr>
              <w:t>146</w:t>
            </w:r>
          </w:hyperlink>
        </w:p>
        <w:p>
          <w:pPr>
            <w:pStyle w:val="Contents6"/>
            <w:tabs>
              <w:tab w:val="clear" w:pos="7609"/>
              <w:tab w:val="right" w:pos="9026" w:leader="dot"/>
            </w:tabs>
            <w:rPr/>
          </w:pPr>
          <w:hyperlink w:anchor="__RefHeading___Toc9696669_73709187">
            <w:r>
              <w:rPr>
                <w:webHidden/>
                <w:rStyle w:val="IndexLink"/>
                <w:rtl w:val="true"/>
              </w:rPr>
              <w:t>العلامة الثالثة</w:t>
            </w:r>
            <w:r>
              <w:rPr>
                <w:rStyle w:val="IndexLink"/>
                <w:rtl w:val="true"/>
              </w:rPr>
              <w:t xml:space="preserve">: </w:t>
            </w:r>
            <w:r>
              <w:rPr>
                <w:rStyle w:val="IndexLink"/>
                <w:rtl w:val="true"/>
              </w:rPr>
              <w:t>السنّ‌</w:t>
            </w:r>
            <w:r>
              <w:rPr>
                <w:rStyle w:val="IndexLink"/>
                <w:rtl w:val="true"/>
              </w:rPr>
              <w:tab/>
            </w:r>
            <w:r>
              <w:rPr>
                <w:rStyle w:val="IndexLink"/>
              </w:rPr>
              <w:t>147</w:t>
            </w:r>
          </w:hyperlink>
        </w:p>
        <w:p>
          <w:pPr>
            <w:pStyle w:val="Contents4"/>
            <w:tabs>
              <w:tab w:val="clear" w:pos="8176"/>
              <w:tab w:val="right" w:pos="9026" w:leader="dot"/>
            </w:tabs>
            <w:rPr/>
          </w:pPr>
          <w:hyperlink w:anchor="__RefHeading___Toc9696671_73709187">
            <w:r>
              <w:rPr>
                <w:webHidden/>
                <w:rStyle w:val="IndexLink"/>
                <w:rtl w:val="true"/>
              </w:rPr>
              <w:t xml:space="preserve">المقام الأوّل </w:t>
            </w:r>
            <w:r>
              <w:rPr>
                <w:rStyle w:val="IndexLink"/>
                <w:rtl w:val="true"/>
              </w:rPr>
              <w:t xml:space="preserve">- </w:t>
            </w:r>
            <w:r>
              <w:rPr>
                <w:rStyle w:val="IndexLink"/>
                <w:rtl w:val="true"/>
              </w:rPr>
              <w:t>حدّ سنّ البلوغ للذّکور</w:t>
            </w:r>
            <w:r>
              <w:rPr>
                <w:rStyle w:val="IndexLink"/>
                <w:rtl w:val="true"/>
              </w:rPr>
              <w:t>:</w:t>
              <w:tab/>
            </w:r>
            <w:r>
              <w:rPr>
                <w:rStyle w:val="IndexLink"/>
              </w:rPr>
              <w:t>148</w:t>
            </w:r>
          </w:hyperlink>
        </w:p>
        <w:p>
          <w:pPr>
            <w:pStyle w:val="Contents5"/>
            <w:tabs>
              <w:tab w:val="clear" w:pos="7892"/>
              <w:tab w:val="right" w:pos="9026" w:leader="dot"/>
            </w:tabs>
            <w:rPr/>
          </w:pPr>
          <w:hyperlink w:anchor="__RefHeading___Toc9696673_73709187">
            <w:r>
              <w:rPr>
                <w:webHidden/>
                <w:rStyle w:val="IndexLink"/>
                <w:rtl w:val="true"/>
              </w:rPr>
              <w:t>اشارة</w:t>
            </w:r>
            <w:r>
              <w:rPr>
                <w:rStyle w:val="IndexLink"/>
                <w:rtl w:val="true"/>
              </w:rPr>
              <w:tab/>
            </w:r>
            <w:r>
              <w:rPr>
                <w:rStyle w:val="IndexLink"/>
              </w:rPr>
              <w:t>148</w:t>
            </w:r>
          </w:hyperlink>
        </w:p>
        <w:p>
          <w:pPr>
            <w:pStyle w:val="Contents5"/>
            <w:tabs>
              <w:tab w:val="clear" w:pos="7892"/>
              <w:tab w:val="right" w:pos="9026" w:leader="dot"/>
            </w:tabs>
            <w:rPr/>
          </w:pPr>
          <w:hyperlink w:anchor="__RefHeading___Toc9696675_73709187">
            <w:r>
              <w:rPr>
                <w:webHidden/>
                <w:rStyle w:val="IndexLink"/>
                <w:rtl w:val="true"/>
              </w:rPr>
              <w:t>أدلّة کون خمس عشرة سنة دلیلاً علی بلوغ الذکور</w:t>
            </w:r>
            <w:r>
              <w:rPr>
                <w:rStyle w:val="IndexLink"/>
                <w:rtl w:val="true"/>
              </w:rPr>
              <w:tab/>
            </w:r>
            <w:r>
              <w:rPr>
                <w:rStyle w:val="IndexLink"/>
              </w:rPr>
              <w:t>149</w:t>
            </w:r>
          </w:hyperlink>
        </w:p>
        <w:p>
          <w:pPr>
            <w:pStyle w:val="Contents5"/>
            <w:tabs>
              <w:tab w:val="clear" w:pos="7892"/>
              <w:tab w:val="right" w:pos="9026" w:leader="dot"/>
            </w:tabs>
            <w:rPr/>
          </w:pPr>
          <w:hyperlink w:anchor="__RefHeading___Toc9696677_73709187">
            <w:r>
              <w:rPr>
                <w:webHidden/>
                <w:rStyle w:val="IndexLink"/>
                <w:rtl w:val="true"/>
              </w:rPr>
              <w:t>القول الثانی</w:t>
            </w:r>
            <w:r>
              <w:rPr>
                <w:rStyle w:val="IndexLink"/>
                <w:rtl w:val="true"/>
              </w:rPr>
              <w:t xml:space="preserve">: </w:t>
            </w:r>
            <w:r>
              <w:rPr>
                <w:rStyle w:val="IndexLink"/>
                <w:rtl w:val="true"/>
              </w:rPr>
              <w:t>أنّه أربع عشرة سنة</w:t>
            </w:r>
            <w:r>
              <w:rPr>
                <w:rStyle w:val="IndexLink"/>
                <w:rtl w:val="true"/>
              </w:rPr>
              <w:tab/>
            </w:r>
            <w:r>
              <w:rPr>
                <w:rStyle w:val="IndexLink"/>
              </w:rPr>
              <w:t>157</w:t>
            </w:r>
          </w:hyperlink>
        </w:p>
        <w:p>
          <w:pPr>
            <w:pStyle w:val="Contents5"/>
            <w:tabs>
              <w:tab w:val="clear" w:pos="7892"/>
              <w:tab w:val="right" w:pos="9026" w:leader="dot"/>
            </w:tabs>
            <w:rPr/>
          </w:pPr>
          <w:hyperlink w:anchor="__RefHeading___Toc9696679_73709187">
            <w:r>
              <w:rPr>
                <w:webHidden/>
                <w:rStyle w:val="IndexLink"/>
                <w:rtl w:val="true"/>
              </w:rPr>
              <w:t>القول الثالث</w:t>
            </w:r>
            <w:r>
              <w:rPr>
                <w:rStyle w:val="IndexLink"/>
                <w:rtl w:val="true"/>
              </w:rPr>
              <w:t xml:space="preserve">: </w:t>
            </w:r>
            <w:r>
              <w:rPr>
                <w:rStyle w:val="IndexLink"/>
                <w:rtl w:val="true"/>
              </w:rPr>
              <w:t>أنّه ثلاث عشرة سنة</w:t>
            </w:r>
            <w:r>
              <w:rPr>
                <w:rStyle w:val="IndexLink"/>
                <w:rtl w:val="true"/>
              </w:rPr>
              <w:tab/>
            </w:r>
            <w:r>
              <w:rPr>
                <w:rStyle w:val="IndexLink"/>
              </w:rPr>
              <w:t>159</w:t>
            </w:r>
          </w:hyperlink>
        </w:p>
        <w:p>
          <w:pPr>
            <w:pStyle w:val="Contents5"/>
            <w:tabs>
              <w:tab w:val="clear" w:pos="7892"/>
              <w:tab w:val="right" w:pos="9026" w:leader="dot"/>
            </w:tabs>
            <w:rPr/>
          </w:pPr>
          <w:hyperlink w:anchor="__RefHeading___Toc9696681_73709187">
            <w:r>
              <w:rPr>
                <w:webHidden/>
                <w:rStyle w:val="IndexLink"/>
                <w:rtl w:val="true"/>
              </w:rPr>
              <w:t>القول الرابع</w:t>
            </w:r>
            <w:r>
              <w:rPr>
                <w:rStyle w:val="IndexLink"/>
                <w:rtl w:val="true"/>
              </w:rPr>
              <w:t xml:space="preserve">: </w:t>
            </w:r>
            <w:r>
              <w:rPr>
                <w:rStyle w:val="IndexLink"/>
                <w:rtl w:val="true"/>
              </w:rPr>
              <w:t>أنّه عشرة سنین</w:t>
            </w:r>
            <w:r>
              <w:rPr>
                <w:rStyle w:val="IndexLink"/>
                <w:rtl w:val="true"/>
              </w:rPr>
              <w:tab/>
            </w:r>
            <w:r>
              <w:rPr>
                <w:rStyle w:val="IndexLink"/>
              </w:rPr>
              <w:t>162</w:t>
            </w:r>
          </w:hyperlink>
        </w:p>
        <w:p>
          <w:pPr>
            <w:pStyle w:val="Contents5"/>
            <w:tabs>
              <w:tab w:val="clear" w:pos="7892"/>
              <w:tab w:val="right" w:pos="9026" w:leader="dot"/>
            </w:tabs>
            <w:rPr/>
          </w:pPr>
          <w:hyperlink w:anchor="__RefHeading___Toc9696683_73709187">
            <w:r>
              <w:rPr>
                <w:webHidden/>
                <w:rStyle w:val="IndexLink"/>
                <w:rtl w:val="true"/>
              </w:rPr>
              <w:t>القول الخامس</w:t>
            </w:r>
            <w:r>
              <w:rPr>
                <w:rStyle w:val="IndexLink"/>
                <w:rtl w:val="true"/>
              </w:rPr>
              <w:t xml:space="preserve">: </w:t>
            </w:r>
            <w:r>
              <w:rPr>
                <w:rStyle w:val="IndexLink"/>
                <w:rtl w:val="true"/>
              </w:rPr>
              <w:t>التفصیل بین العبادات و غیرها</w:t>
            </w:r>
            <w:r>
              <w:rPr>
                <w:rStyle w:val="IndexLink"/>
                <w:rtl w:val="true"/>
              </w:rPr>
              <w:tab/>
            </w:r>
            <w:r>
              <w:rPr>
                <w:rStyle w:val="IndexLink"/>
              </w:rPr>
              <w:t>165</w:t>
            </w:r>
          </w:hyperlink>
        </w:p>
        <w:p>
          <w:pPr>
            <w:pStyle w:val="Contents4"/>
            <w:tabs>
              <w:tab w:val="clear" w:pos="8176"/>
              <w:tab w:val="right" w:pos="9026" w:leader="dot"/>
            </w:tabs>
            <w:rPr/>
          </w:pPr>
          <w:hyperlink w:anchor="__RefHeading___Toc9696685_73709187">
            <w:r>
              <w:rPr>
                <w:webHidden/>
                <w:rStyle w:val="IndexLink"/>
                <w:rtl w:val="true"/>
              </w:rPr>
              <w:t>المقام الثانی</w:t>
            </w:r>
            <w:r>
              <w:rPr>
                <w:rStyle w:val="IndexLink"/>
                <w:rtl w:val="true"/>
              </w:rPr>
              <w:t xml:space="preserve">: </w:t>
            </w:r>
            <w:r>
              <w:rPr>
                <w:rStyle w:val="IndexLink"/>
                <w:rtl w:val="true"/>
              </w:rPr>
              <w:t>حدّ سنّ البلوغ للإناث</w:t>
            </w:r>
            <w:r>
              <w:rPr>
                <w:rStyle w:val="IndexLink"/>
                <w:rtl w:val="true"/>
              </w:rPr>
              <w:tab/>
            </w:r>
            <w:r>
              <w:rPr>
                <w:rStyle w:val="IndexLink"/>
              </w:rPr>
              <w:t>167</w:t>
            </w:r>
          </w:hyperlink>
        </w:p>
        <w:p>
          <w:pPr>
            <w:pStyle w:val="Contents5"/>
            <w:tabs>
              <w:tab w:val="clear" w:pos="7892"/>
              <w:tab w:val="right" w:pos="9026" w:leader="dot"/>
            </w:tabs>
            <w:rPr/>
          </w:pPr>
          <w:hyperlink w:anchor="__RefHeading___Toc9696687_73709187">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9696689_73709187">
            <w:r>
              <w:rPr>
                <w:webHidden/>
                <w:rStyle w:val="IndexLink"/>
                <w:rtl w:val="true"/>
              </w:rPr>
              <w:t xml:space="preserve">الأوّل </w:t>
            </w:r>
            <w:r>
              <w:rPr>
                <w:rStyle w:val="IndexLink"/>
                <w:rtl w:val="true"/>
              </w:rPr>
              <w:t xml:space="preserve">- </w:t>
            </w:r>
            <w:r>
              <w:rPr>
                <w:rStyle w:val="IndexLink"/>
                <w:rtl w:val="true"/>
              </w:rPr>
              <w:t>تسع سنین</w:t>
            </w:r>
            <w:r>
              <w:rPr>
                <w:rStyle w:val="IndexLink"/>
                <w:rtl w:val="true"/>
              </w:rPr>
              <w:t>:</w:t>
              <w:tab/>
            </w:r>
            <w:r>
              <w:rPr>
                <w:rStyle w:val="IndexLink"/>
              </w:rPr>
              <w:t>167</w:t>
            </w:r>
          </w:hyperlink>
        </w:p>
        <w:p>
          <w:pPr>
            <w:pStyle w:val="Contents6"/>
            <w:tabs>
              <w:tab w:val="clear" w:pos="7609"/>
              <w:tab w:val="right" w:pos="9026" w:leader="dot"/>
            </w:tabs>
            <w:rPr/>
          </w:pPr>
          <w:hyperlink w:anchor="__RefHeading___Toc9696691_73709187">
            <w:r>
              <w:rPr>
                <w:webHidden/>
                <w:rStyle w:val="IndexLink"/>
                <w:rtl w:val="true"/>
              </w:rPr>
              <w:t>اشارة</w:t>
            </w:r>
            <w:r>
              <w:rPr>
                <w:rStyle w:val="IndexLink"/>
                <w:rtl w:val="true"/>
              </w:rPr>
              <w:tab/>
            </w:r>
            <w:r>
              <w:rPr>
                <w:rStyle w:val="IndexLink"/>
              </w:rPr>
              <w:t>167</w:t>
            </w:r>
          </w:hyperlink>
        </w:p>
        <w:p>
          <w:pPr>
            <w:pStyle w:val="Contents6"/>
            <w:tabs>
              <w:tab w:val="clear" w:pos="7609"/>
              <w:tab w:val="right" w:pos="9026" w:leader="dot"/>
            </w:tabs>
            <w:rPr/>
          </w:pPr>
          <w:hyperlink w:anchor="__RefHeading___Toc9696693_73709187">
            <w:r>
              <w:rPr>
                <w:webHidden/>
                <w:rStyle w:val="IndexLink"/>
                <w:rtl w:val="true"/>
              </w:rPr>
              <w:t>الأدلّة علی کون البلوغ فی الإناث تسع سنین</w:t>
            </w:r>
            <w:r>
              <w:rPr>
                <w:rStyle w:val="IndexLink"/>
                <w:rtl w:val="true"/>
              </w:rPr>
              <w:tab/>
            </w:r>
            <w:r>
              <w:rPr>
                <w:rStyle w:val="IndexLink"/>
              </w:rPr>
              <w:t>168</w:t>
            </w:r>
          </w:hyperlink>
        </w:p>
        <w:p>
          <w:pPr>
            <w:pStyle w:val="Contents5"/>
            <w:tabs>
              <w:tab w:val="clear" w:pos="7892"/>
              <w:tab w:val="right" w:pos="9026" w:leader="dot"/>
            </w:tabs>
            <w:rPr/>
          </w:pPr>
          <w:hyperlink w:anchor="__RefHeading___Toc9696695_73709187">
            <w:r>
              <w:rPr>
                <w:webHidden/>
                <w:rStyle w:val="IndexLink"/>
                <w:rtl w:val="true"/>
              </w:rPr>
              <w:t>القول الثانی</w:t>
            </w:r>
            <w:r>
              <w:rPr>
                <w:rStyle w:val="IndexLink"/>
                <w:rtl w:val="true"/>
              </w:rPr>
              <w:t xml:space="preserve">: </w:t>
            </w:r>
            <w:r>
              <w:rPr>
                <w:rStyle w:val="IndexLink"/>
                <w:rtl w:val="true"/>
              </w:rPr>
              <w:t>أنّ حدّ بلوغ الإناث عشر سنین</w:t>
            </w:r>
            <w:r>
              <w:rPr>
                <w:rStyle w:val="IndexLink"/>
                <w:rtl w:val="true"/>
              </w:rPr>
              <w:tab/>
            </w:r>
            <w:r>
              <w:rPr>
                <w:rStyle w:val="IndexLink"/>
              </w:rPr>
              <w:t>171</w:t>
            </w:r>
          </w:hyperlink>
        </w:p>
        <w:p>
          <w:pPr>
            <w:pStyle w:val="Contents5"/>
            <w:tabs>
              <w:tab w:val="clear" w:pos="7892"/>
              <w:tab w:val="right" w:pos="9026" w:leader="dot"/>
            </w:tabs>
            <w:rPr/>
          </w:pPr>
          <w:hyperlink w:anchor="__RefHeading___Toc9696697_73709187">
            <w:r>
              <w:rPr>
                <w:webHidden/>
                <w:rStyle w:val="IndexLink"/>
                <w:rtl w:val="true"/>
              </w:rPr>
              <w:t>القول الثالث</w:t>
            </w:r>
            <w:r>
              <w:rPr>
                <w:rStyle w:val="IndexLink"/>
                <w:rtl w:val="true"/>
              </w:rPr>
              <w:t xml:space="preserve">: </w:t>
            </w:r>
            <w:r>
              <w:rPr>
                <w:rStyle w:val="IndexLink"/>
                <w:rtl w:val="true"/>
              </w:rPr>
              <w:t>حدّ بلوغ الإناث ثلاث عشرة سنین</w:t>
            </w:r>
            <w:r>
              <w:rPr>
                <w:rStyle w:val="IndexLink"/>
                <w:rtl w:val="true"/>
              </w:rPr>
              <w:tab/>
            </w:r>
            <w:r>
              <w:rPr>
                <w:rStyle w:val="IndexLink"/>
              </w:rPr>
              <w:t>173</w:t>
            </w:r>
          </w:hyperlink>
        </w:p>
        <w:p>
          <w:pPr>
            <w:pStyle w:val="Contents6"/>
            <w:tabs>
              <w:tab w:val="clear" w:pos="7609"/>
              <w:tab w:val="right" w:pos="9026" w:leader="dot"/>
            </w:tabs>
            <w:rPr/>
          </w:pPr>
          <w:hyperlink w:anchor="__RefHeading___Toc9696699_73709187">
            <w:r>
              <w:rPr>
                <w:webHidden/>
                <w:rStyle w:val="IndexLink"/>
                <w:rtl w:val="true"/>
              </w:rPr>
              <w:t>اشارة</w:t>
            </w:r>
            <w:r>
              <w:rPr>
                <w:rStyle w:val="IndexLink"/>
                <w:rtl w:val="true"/>
              </w:rPr>
              <w:tab/>
            </w:r>
            <w:r>
              <w:rPr>
                <w:rStyle w:val="IndexLink"/>
              </w:rPr>
              <w:t>173</w:t>
            </w:r>
          </w:hyperlink>
        </w:p>
        <w:p>
          <w:pPr>
            <w:pStyle w:val="Contents6"/>
            <w:tabs>
              <w:tab w:val="clear" w:pos="7609"/>
              <w:tab w:val="right" w:pos="9026" w:leader="dot"/>
            </w:tabs>
            <w:rPr/>
          </w:pPr>
          <w:hyperlink w:anchor="__RefHeading___Toc9696701_73709187">
            <w:r>
              <w:rPr>
                <w:webHidden/>
                <w:rStyle w:val="IndexLink"/>
                <w:rtl w:val="true"/>
              </w:rPr>
              <w:t>إیضاح</w:t>
            </w:r>
            <w:r>
              <w:rPr>
                <w:rStyle w:val="IndexLink"/>
                <w:rtl w:val="true"/>
              </w:rPr>
              <w:tab/>
            </w:r>
            <w:r>
              <w:rPr>
                <w:rStyle w:val="IndexLink"/>
              </w:rPr>
              <w:t>178</w:t>
            </w:r>
          </w:hyperlink>
        </w:p>
        <w:p>
          <w:pPr>
            <w:pStyle w:val="Contents6"/>
            <w:tabs>
              <w:tab w:val="clear" w:pos="7609"/>
              <w:tab w:val="right" w:pos="9026" w:leader="dot"/>
            </w:tabs>
            <w:rPr/>
          </w:pPr>
          <w:hyperlink w:anchor="__RefHeading___Toc9696703_73709187">
            <w:r>
              <w:rPr>
                <w:webHidden/>
                <w:rStyle w:val="IndexLink"/>
                <w:rtl w:val="true"/>
              </w:rPr>
              <w:t>اُمور هامّة ینبغی التنبیه علیها</w:t>
            </w:r>
            <w:r>
              <w:rPr>
                <w:rStyle w:val="IndexLink"/>
                <w:rtl w:val="true"/>
              </w:rPr>
              <w:tab/>
            </w:r>
            <w:r>
              <w:rPr>
                <w:rStyle w:val="IndexLink"/>
              </w:rPr>
              <w:t>180</w:t>
            </w:r>
          </w:hyperlink>
        </w:p>
        <w:p>
          <w:pPr>
            <w:pStyle w:val="Contents5"/>
            <w:tabs>
              <w:tab w:val="clear" w:pos="7892"/>
              <w:tab w:val="right" w:pos="9026" w:leader="dot"/>
            </w:tabs>
            <w:rPr/>
          </w:pPr>
          <w:hyperlink w:anchor="__RefHeading___Toc9696705_73709187">
            <w:r>
              <w:rPr>
                <w:webHidden/>
                <w:rStyle w:val="IndexLink"/>
                <w:rtl w:val="true"/>
              </w:rPr>
              <w:t>الأمر الثانی</w:t>
            </w:r>
            <w:r>
              <w:rPr>
                <w:rStyle w:val="IndexLink"/>
                <w:rtl w:val="true"/>
              </w:rPr>
              <w:t xml:space="preserve">: </w:t>
            </w:r>
            <w:r>
              <w:rPr>
                <w:rStyle w:val="IndexLink"/>
                <w:rtl w:val="true"/>
              </w:rPr>
              <w:t>هل یکفی الدخول فی الخمس عشرة و التسع؟</w:t>
            </w:r>
            <w:r>
              <w:rPr>
                <w:rStyle w:val="IndexLink"/>
                <w:rtl w:val="true"/>
              </w:rPr>
              <w:tab/>
            </w:r>
            <w:r>
              <w:rPr>
                <w:rStyle w:val="IndexLink"/>
              </w:rPr>
              <w:t>181</w:t>
            </w:r>
          </w:hyperlink>
        </w:p>
        <w:p>
          <w:pPr>
            <w:pStyle w:val="Contents6"/>
            <w:tabs>
              <w:tab w:val="clear" w:pos="7609"/>
              <w:tab w:val="right" w:pos="9026" w:leader="dot"/>
            </w:tabs>
            <w:rPr/>
          </w:pPr>
          <w:hyperlink w:anchor="__RefHeading___Toc9696707_73709187">
            <w:r>
              <w:rPr>
                <w:webHidden/>
                <w:rStyle w:val="IndexLink"/>
                <w:rtl w:val="true"/>
              </w:rPr>
              <w:t>اشارة</w:t>
            </w:r>
            <w:r>
              <w:rPr>
                <w:rStyle w:val="IndexLink"/>
                <w:rtl w:val="true"/>
              </w:rPr>
              <w:tab/>
            </w:r>
            <w:r>
              <w:rPr>
                <w:rStyle w:val="IndexLink"/>
              </w:rPr>
              <w:t>181</w:t>
            </w:r>
          </w:hyperlink>
        </w:p>
        <w:p>
          <w:pPr>
            <w:pStyle w:val="Contents6"/>
            <w:tabs>
              <w:tab w:val="clear" w:pos="7609"/>
              <w:tab w:val="right" w:pos="9026" w:leader="dot"/>
            </w:tabs>
            <w:rPr/>
          </w:pPr>
          <w:hyperlink w:anchor="__RefHeading___Toc9696709_73709187">
            <w:r>
              <w:rPr>
                <w:webHidden/>
                <w:rStyle w:val="IndexLink"/>
                <w:rtl w:val="true"/>
              </w:rPr>
              <w:t>أدلّة عدم کفایة الدخول فی الخمس عشرة أو التسع</w:t>
            </w:r>
            <w:r>
              <w:rPr>
                <w:rStyle w:val="IndexLink"/>
                <w:rtl w:val="true"/>
              </w:rPr>
              <w:tab/>
            </w:r>
            <w:r>
              <w:rPr>
                <w:rStyle w:val="IndexLink"/>
              </w:rPr>
              <w:t>182</w:t>
            </w:r>
          </w:hyperlink>
        </w:p>
        <w:p>
          <w:pPr>
            <w:pStyle w:val="Contents5"/>
            <w:tabs>
              <w:tab w:val="clear" w:pos="7892"/>
              <w:tab w:val="right" w:pos="9026" w:leader="dot"/>
            </w:tabs>
            <w:rPr/>
          </w:pPr>
          <w:hyperlink w:anchor="__RefHeading___Toc9696711_73709187">
            <w:r>
              <w:rPr>
                <w:webHidden/>
                <w:rStyle w:val="IndexLink"/>
                <w:rtl w:val="true"/>
              </w:rPr>
              <w:t>القول الثانی</w:t>
            </w:r>
            <w:r>
              <w:rPr>
                <w:rStyle w:val="IndexLink"/>
                <w:rtl w:val="true"/>
              </w:rPr>
              <w:t xml:space="preserve">: </w:t>
            </w:r>
            <w:r>
              <w:rPr>
                <w:rStyle w:val="IndexLink"/>
                <w:rtl w:val="true"/>
              </w:rPr>
              <w:t>عدم اعتبار الإکمال</w:t>
            </w:r>
            <w:r>
              <w:rPr>
                <w:rStyle w:val="IndexLink"/>
                <w:rtl w:val="true"/>
              </w:rPr>
              <w:tab/>
            </w:r>
            <w:r>
              <w:rPr>
                <w:rStyle w:val="IndexLink"/>
              </w:rPr>
              <w:t>184</w:t>
            </w:r>
          </w:hyperlink>
        </w:p>
        <w:p>
          <w:pPr>
            <w:pStyle w:val="Contents6"/>
            <w:tabs>
              <w:tab w:val="clear" w:pos="7609"/>
              <w:tab w:val="right" w:pos="9026" w:leader="dot"/>
            </w:tabs>
            <w:rPr/>
          </w:pPr>
          <w:hyperlink w:anchor="__RefHeading___Toc9696713_73709187">
            <w:r>
              <w:rPr>
                <w:webHidden/>
                <w:rStyle w:val="IndexLink"/>
                <w:rtl w:val="true"/>
              </w:rPr>
              <w:t>اشارة</w:t>
            </w:r>
            <w:r>
              <w:rPr>
                <w:rStyle w:val="IndexLink"/>
                <w:rtl w:val="true"/>
              </w:rPr>
              <w:tab/>
            </w:r>
            <w:r>
              <w:rPr>
                <w:rStyle w:val="IndexLink"/>
              </w:rPr>
              <w:t>184</w:t>
            </w:r>
          </w:hyperlink>
        </w:p>
        <w:p>
          <w:pPr>
            <w:pStyle w:val="Contents6"/>
            <w:tabs>
              <w:tab w:val="clear" w:pos="7609"/>
              <w:tab w:val="right" w:pos="9026" w:leader="dot"/>
            </w:tabs>
            <w:rPr/>
          </w:pPr>
          <w:hyperlink w:anchor="__RefHeading___Toc9696715_73709187">
            <w:r>
              <w:rPr>
                <w:webHidden/>
                <w:rStyle w:val="IndexLink"/>
                <w:rtl w:val="true"/>
              </w:rPr>
              <w:t>العلامة الرابعة و الخامسة</w:t>
            </w:r>
            <w:r>
              <w:rPr>
                <w:rStyle w:val="IndexLink"/>
                <w:rtl w:val="true"/>
              </w:rPr>
              <w:t xml:space="preserve">: </w:t>
            </w:r>
            <w:r>
              <w:rPr>
                <w:rStyle w:val="IndexLink"/>
                <w:rtl w:val="true"/>
              </w:rPr>
              <w:t>الحیض و الحمل</w:t>
            </w:r>
            <w:r>
              <w:rPr>
                <w:rStyle w:val="IndexLink"/>
                <w:rtl w:val="true"/>
              </w:rPr>
              <w:tab/>
            </w:r>
            <w:r>
              <w:rPr>
                <w:rStyle w:val="IndexLink"/>
              </w:rPr>
              <w:t>189</w:t>
            </w:r>
          </w:hyperlink>
        </w:p>
        <w:p>
          <w:pPr>
            <w:pStyle w:val="Contents6"/>
            <w:tabs>
              <w:tab w:val="clear" w:pos="7609"/>
              <w:tab w:val="right" w:pos="9026" w:leader="dot"/>
            </w:tabs>
            <w:rPr/>
          </w:pPr>
          <w:hyperlink w:anchor="__RefHeading___Toc9696717_73709187">
            <w:r>
              <w:rPr>
                <w:webHidden/>
                <w:rStyle w:val="IndexLink"/>
                <w:rtl w:val="true"/>
              </w:rPr>
              <w:t>أدلّة کون الحیض و الحمل بلوغاً بأنفسهما</w:t>
            </w:r>
            <w:r>
              <w:rPr>
                <w:rStyle w:val="IndexLink"/>
                <w:rtl w:val="true"/>
              </w:rPr>
              <w:tab/>
            </w:r>
            <w:r>
              <w:rPr>
                <w:rStyle w:val="IndexLink"/>
              </w:rPr>
              <w:t>190</w:t>
            </w:r>
          </w:hyperlink>
        </w:p>
        <w:p>
          <w:pPr>
            <w:pStyle w:val="Contents5"/>
            <w:tabs>
              <w:tab w:val="clear" w:pos="7892"/>
              <w:tab w:val="right" w:pos="9026" w:leader="dot"/>
            </w:tabs>
            <w:rPr/>
          </w:pPr>
          <w:hyperlink w:anchor="__RefHeading___Toc9696719_73709187">
            <w:r>
              <w:rPr>
                <w:webHidden/>
                <w:rStyle w:val="IndexLink"/>
                <w:rtl w:val="true"/>
              </w:rPr>
              <w:t>القول الثانی</w:t>
            </w:r>
            <w:r>
              <w:rPr>
                <w:rStyle w:val="IndexLink"/>
                <w:rtl w:val="true"/>
              </w:rPr>
              <w:t xml:space="preserve">: </w:t>
            </w:r>
            <w:r>
              <w:rPr>
                <w:rStyle w:val="IndexLink"/>
                <w:rtl w:val="true"/>
              </w:rPr>
              <w:t>أنّهما دلیلان علی سبق البلوغ</w:t>
            </w:r>
            <w:r>
              <w:rPr>
                <w:rStyle w:val="IndexLink"/>
                <w:rtl w:val="true"/>
              </w:rPr>
              <w:tab/>
            </w:r>
            <w:r>
              <w:rPr>
                <w:rStyle w:val="IndexLink"/>
              </w:rPr>
              <w:t>193</w:t>
            </w:r>
          </w:hyperlink>
        </w:p>
        <w:p>
          <w:pPr>
            <w:pStyle w:val="Contents6"/>
            <w:tabs>
              <w:tab w:val="clear" w:pos="7609"/>
              <w:tab w:val="right" w:pos="9026" w:leader="dot"/>
            </w:tabs>
            <w:rPr/>
          </w:pPr>
          <w:hyperlink w:anchor="__RefHeading___Toc9696721_73709187">
            <w:r>
              <w:rPr>
                <w:webHidden/>
                <w:rStyle w:val="IndexLink"/>
                <w:rtl w:val="true"/>
              </w:rPr>
              <w:t>اشارة</w:t>
            </w:r>
            <w:r>
              <w:rPr>
                <w:rStyle w:val="IndexLink"/>
                <w:rtl w:val="true"/>
              </w:rPr>
              <w:tab/>
            </w:r>
            <w:r>
              <w:rPr>
                <w:rStyle w:val="IndexLink"/>
              </w:rPr>
              <w:t>193</w:t>
            </w:r>
          </w:hyperlink>
        </w:p>
        <w:p>
          <w:pPr>
            <w:pStyle w:val="Contents6"/>
            <w:tabs>
              <w:tab w:val="clear" w:pos="7609"/>
              <w:tab w:val="right" w:pos="9026" w:leader="dot"/>
            </w:tabs>
            <w:rPr/>
          </w:pPr>
          <w:hyperlink w:anchor="__RefHeading___Toc9696723_73709187">
            <w:r>
              <w:rPr>
                <w:webHidden/>
                <w:rStyle w:val="IndexLink"/>
                <w:rtl w:val="true"/>
              </w:rPr>
              <w:t>أدلّة القول الثانی</w:t>
            </w:r>
            <w:r>
              <w:rPr>
                <w:rStyle w:val="IndexLink"/>
                <w:rtl w:val="true"/>
              </w:rPr>
              <w:tab/>
            </w:r>
            <w:r>
              <w:rPr>
                <w:rStyle w:val="IndexLink"/>
              </w:rPr>
              <w:t>194</w:t>
            </w:r>
          </w:hyperlink>
        </w:p>
        <w:p>
          <w:pPr>
            <w:pStyle w:val="Contents6"/>
            <w:tabs>
              <w:tab w:val="clear" w:pos="7609"/>
              <w:tab w:val="right" w:pos="9026" w:leader="dot"/>
            </w:tabs>
            <w:rPr/>
          </w:pPr>
          <w:hyperlink w:anchor="__RefHeading___Toc9696725_73709187">
            <w:r>
              <w:rPr>
                <w:webHidden/>
                <w:rStyle w:val="IndexLink"/>
                <w:rtl w:val="true"/>
              </w:rPr>
              <w:t>أدلّة کون الحمل علامة علی سبق البلوغ</w:t>
            </w:r>
            <w:r>
              <w:rPr>
                <w:rStyle w:val="IndexLink"/>
                <w:rtl w:val="true"/>
              </w:rPr>
              <w:tab/>
            </w:r>
            <w:r>
              <w:rPr>
                <w:rStyle w:val="IndexLink"/>
              </w:rPr>
              <w:t>196</w:t>
            </w:r>
          </w:hyperlink>
        </w:p>
        <w:p>
          <w:pPr>
            <w:pStyle w:val="Contents6"/>
            <w:tabs>
              <w:tab w:val="clear" w:pos="7609"/>
              <w:tab w:val="right" w:pos="9026" w:leader="dot"/>
            </w:tabs>
            <w:rPr/>
          </w:pPr>
          <w:hyperlink w:anchor="__RefHeading___Toc9696727_73709187">
            <w:r>
              <w:rPr>
                <w:webHidden/>
                <w:rStyle w:val="IndexLink"/>
                <w:rtl w:val="true"/>
              </w:rPr>
              <w:t>إیضاح</w:t>
            </w:r>
            <w:r>
              <w:rPr>
                <w:rStyle w:val="IndexLink"/>
                <w:rtl w:val="true"/>
              </w:rPr>
              <w:t>:</w:t>
              <w:tab/>
            </w:r>
            <w:r>
              <w:rPr>
                <w:rStyle w:val="IndexLink"/>
              </w:rPr>
              <w:t>199</w:t>
            </w:r>
          </w:hyperlink>
        </w:p>
        <w:p>
          <w:pPr>
            <w:pStyle w:val="Contents6"/>
            <w:tabs>
              <w:tab w:val="clear" w:pos="7609"/>
              <w:tab w:val="right" w:pos="9026" w:leader="dot"/>
            </w:tabs>
            <w:rPr/>
          </w:pPr>
          <w:hyperlink w:anchor="__RefHeading___Toc9696729_73709187">
            <w:r>
              <w:rPr>
                <w:webHidden/>
                <w:rStyle w:val="IndexLink"/>
                <w:rtl w:val="true"/>
              </w:rPr>
              <w:t>علائم اخری للبلوغ</w:t>
            </w:r>
            <w:r>
              <w:rPr>
                <w:rStyle w:val="IndexLink"/>
                <w:rtl w:val="true"/>
              </w:rPr>
              <w:tab/>
            </w:r>
            <w:r>
              <w:rPr>
                <w:rStyle w:val="IndexLink"/>
              </w:rPr>
              <w:t>200</w:t>
            </w:r>
          </w:hyperlink>
        </w:p>
        <w:p>
          <w:pPr>
            <w:pStyle w:val="Contents6"/>
            <w:tabs>
              <w:tab w:val="clear" w:pos="7609"/>
              <w:tab w:val="right" w:pos="9026" w:leader="dot"/>
            </w:tabs>
            <w:rPr/>
          </w:pPr>
          <w:hyperlink w:anchor="__RefHeading___Toc9696731_73709187">
            <w:r>
              <w:rPr>
                <w:webHidden/>
                <w:rStyle w:val="IndexLink"/>
              </w:rPr>
              <w:t>1</w:t>
            </w:r>
            <w:r>
              <w:rPr>
                <w:rStyle w:val="IndexLink"/>
                <w:rtl w:val="true"/>
              </w:rPr>
              <w:t xml:space="preserve"> - </w:t>
            </w:r>
            <w:r>
              <w:rPr>
                <w:rStyle w:val="IndexLink"/>
                <w:rtl w:val="true"/>
              </w:rPr>
              <w:t>کمال العقل</w:t>
            </w:r>
            <w:r>
              <w:rPr>
                <w:rStyle w:val="IndexLink"/>
                <w:rtl w:val="true"/>
              </w:rPr>
              <w:tab/>
            </w:r>
            <w:r>
              <w:rPr>
                <w:rStyle w:val="IndexLink"/>
              </w:rPr>
              <w:t>200</w:t>
            </w:r>
          </w:hyperlink>
        </w:p>
        <w:p>
          <w:pPr>
            <w:pStyle w:val="Contents6"/>
            <w:tabs>
              <w:tab w:val="clear" w:pos="7609"/>
              <w:tab w:val="right" w:pos="9026" w:leader="dot"/>
            </w:tabs>
            <w:rPr/>
          </w:pPr>
          <w:hyperlink w:anchor="__RefHeading___Toc9696733_73709187">
            <w:r>
              <w:rPr>
                <w:webHidden/>
                <w:rStyle w:val="IndexLink"/>
              </w:rPr>
              <w:t>2</w:t>
            </w:r>
            <w:r>
              <w:rPr>
                <w:rStyle w:val="IndexLink"/>
                <w:rtl w:val="true"/>
              </w:rPr>
              <w:t xml:space="preserve"> - </w:t>
            </w:r>
            <w:r>
              <w:rPr>
                <w:rStyle w:val="IndexLink"/>
                <w:rtl w:val="true"/>
              </w:rPr>
              <w:t>ثقل الصوت و نهود الثدی</w:t>
            </w:r>
            <w:r>
              <w:rPr>
                <w:rStyle w:val="IndexLink"/>
                <w:rtl w:val="true"/>
              </w:rPr>
              <w:tab/>
            </w:r>
            <w:r>
              <w:rPr>
                <w:rStyle w:val="IndexLink"/>
              </w:rPr>
              <w:t>202</w:t>
            </w:r>
          </w:hyperlink>
        </w:p>
        <w:p>
          <w:pPr>
            <w:pStyle w:val="Contents6"/>
            <w:tabs>
              <w:tab w:val="clear" w:pos="7609"/>
              <w:tab w:val="right" w:pos="9026" w:leader="dot"/>
            </w:tabs>
            <w:rPr/>
          </w:pPr>
          <w:hyperlink w:anchor="__RefHeading___Toc9696735_73709187">
            <w:r>
              <w:rPr>
                <w:webHidden/>
                <w:rStyle w:val="IndexLink"/>
              </w:rPr>
              <w:t>3</w:t>
            </w:r>
            <w:r>
              <w:rPr>
                <w:rStyle w:val="IndexLink"/>
                <w:rtl w:val="true"/>
              </w:rPr>
              <w:t xml:space="preserve"> - </w:t>
            </w:r>
            <w:r>
              <w:rPr>
                <w:rStyle w:val="IndexLink"/>
                <w:rtl w:val="true"/>
              </w:rPr>
              <w:t>ریح الإبط‌</w:t>
            </w:r>
            <w:r>
              <w:rPr>
                <w:rStyle w:val="IndexLink"/>
                <w:rtl w:val="true"/>
              </w:rPr>
              <w:tab/>
            </w:r>
            <w:r>
              <w:rPr>
                <w:rStyle w:val="IndexLink"/>
              </w:rPr>
              <w:t>202</w:t>
            </w:r>
          </w:hyperlink>
        </w:p>
        <w:p>
          <w:pPr>
            <w:pStyle w:val="Contents6"/>
            <w:tabs>
              <w:tab w:val="clear" w:pos="7609"/>
              <w:tab w:val="right" w:pos="9026" w:leader="dot"/>
            </w:tabs>
            <w:rPr/>
          </w:pPr>
          <w:hyperlink w:anchor="__RefHeading___Toc9696737_73709187">
            <w:r>
              <w:rPr>
                <w:webHidden/>
                <w:rStyle w:val="IndexLink"/>
                <w:rtl w:val="true"/>
              </w:rPr>
              <w:t>البلوغ عند أهل السنّة</w:t>
            </w:r>
            <w:r>
              <w:rPr>
                <w:rStyle w:val="IndexLink"/>
                <w:rtl w:val="true"/>
              </w:rPr>
              <w:tab/>
            </w:r>
            <w:r>
              <w:rPr>
                <w:rStyle w:val="IndexLink"/>
              </w:rPr>
              <w:t>203</w:t>
            </w:r>
          </w:hyperlink>
        </w:p>
        <w:p>
          <w:pPr>
            <w:pStyle w:val="Contents6"/>
            <w:tabs>
              <w:tab w:val="clear" w:pos="7609"/>
              <w:tab w:val="right" w:pos="9026" w:leader="dot"/>
            </w:tabs>
            <w:rPr/>
          </w:pPr>
          <w:hyperlink w:anchor="__RefHeading___Toc9696739_73709187">
            <w:r>
              <w:rPr>
                <w:webHidden/>
                <w:rStyle w:val="IndexLink"/>
                <w:rtl w:val="true"/>
              </w:rPr>
              <w:t>الأوّل</w:t>
            </w:r>
            <w:r>
              <w:rPr>
                <w:rStyle w:val="IndexLink"/>
                <w:rtl w:val="true"/>
              </w:rPr>
              <w:t xml:space="preserve">: </w:t>
            </w:r>
            <w:r>
              <w:rPr>
                <w:rStyle w:val="IndexLink"/>
                <w:rtl w:val="true"/>
              </w:rPr>
              <w:t>الاحتلام</w:t>
            </w:r>
            <w:r>
              <w:rPr>
                <w:rStyle w:val="IndexLink"/>
                <w:rtl w:val="true"/>
              </w:rPr>
              <w:tab/>
            </w:r>
            <w:r>
              <w:rPr>
                <w:rStyle w:val="IndexLink"/>
              </w:rPr>
              <w:t>204</w:t>
            </w:r>
          </w:hyperlink>
        </w:p>
        <w:p>
          <w:pPr>
            <w:pStyle w:val="Contents6"/>
            <w:tabs>
              <w:tab w:val="clear" w:pos="7609"/>
              <w:tab w:val="right" w:pos="9026" w:leader="dot"/>
            </w:tabs>
            <w:rPr/>
          </w:pPr>
          <w:hyperlink w:anchor="__RefHeading___Toc9696741_73709187">
            <w:r>
              <w:rPr>
                <w:webHidden/>
                <w:rStyle w:val="IndexLink"/>
                <w:rtl w:val="true"/>
              </w:rPr>
              <w:t>الثانی</w:t>
            </w:r>
            <w:r>
              <w:rPr>
                <w:rStyle w:val="IndexLink"/>
                <w:rtl w:val="true"/>
              </w:rPr>
              <w:t xml:space="preserve">: </w:t>
            </w:r>
            <w:r>
              <w:rPr>
                <w:rStyle w:val="IndexLink"/>
                <w:rtl w:val="true"/>
              </w:rPr>
              <w:t>الإنبات</w:t>
            </w:r>
            <w:r>
              <w:rPr>
                <w:rStyle w:val="IndexLink"/>
                <w:rtl w:val="true"/>
              </w:rPr>
              <w:tab/>
            </w:r>
            <w:r>
              <w:rPr>
                <w:rStyle w:val="IndexLink"/>
              </w:rPr>
              <w:t>206</w:t>
            </w:r>
          </w:hyperlink>
        </w:p>
        <w:p>
          <w:pPr>
            <w:pStyle w:val="Contents6"/>
            <w:tabs>
              <w:tab w:val="clear" w:pos="7609"/>
              <w:tab w:val="right" w:pos="9026" w:leader="dot"/>
            </w:tabs>
            <w:rPr/>
          </w:pPr>
          <w:hyperlink w:anchor="__RefHeading___Toc9696743_73709187">
            <w:r>
              <w:rPr>
                <w:webHidden/>
                <w:rStyle w:val="IndexLink"/>
                <w:rtl w:val="true"/>
              </w:rPr>
              <w:t>الثالث</w:t>
            </w:r>
            <w:r>
              <w:rPr>
                <w:rStyle w:val="IndexLink"/>
                <w:rtl w:val="true"/>
              </w:rPr>
              <w:t xml:space="preserve">: </w:t>
            </w:r>
            <w:r>
              <w:rPr>
                <w:rStyle w:val="IndexLink"/>
                <w:rtl w:val="true"/>
              </w:rPr>
              <w:t>السنّ‌</w:t>
            </w:r>
            <w:r>
              <w:rPr>
                <w:rStyle w:val="IndexLink"/>
                <w:rtl w:val="true"/>
              </w:rPr>
              <w:tab/>
            </w:r>
            <w:r>
              <w:rPr>
                <w:rStyle w:val="IndexLink"/>
              </w:rPr>
              <w:t>208</w:t>
            </w:r>
          </w:hyperlink>
        </w:p>
        <w:p>
          <w:pPr>
            <w:pStyle w:val="Contents3"/>
            <w:tabs>
              <w:tab w:val="clear" w:pos="8459"/>
              <w:tab w:val="right" w:pos="9026" w:leader="dot"/>
            </w:tabs>
            <w:rPr/>
          </w:pPr>
          <w:hyperlink w:anchor="__RefHeading___Toc9696745_73709187">
            <w:r>
              <w:rPr>
                <w:webHidden/>
                <w:rStyle w:val="IndexLink"/>
                <w:rtl w:val="true"/>
              </w:rPr>
              <w:t>الفصل السادس</w:t>
            </w:r>
            <w:r>
              <w:rPr>
                <w:rStyle w:val="IndexLink"/>
                <w:rtl w:val="true"/>
              </w:rPr>
              <w:t xml:space="preserve">: </w:t>
            </w:r>
            <w:r>
              <w:rPr>
                <w:rStyle w:val="IndexLink"/>
                <w:rtl w:val="true"/>
              </w:rPr>
              <w:t>رشد الصبیّ</w:t>
            </w:r>
            <w:r>
              <w:rPr>
                <w:rStyle w:val="IndexLink"/>
                <w:rtl w:val="true"/>
              </w:rPr>
              <w:tab/>
            </w:r>
            <w:r>
              <w:rPr>
                <w:rStyle w:val="IndexLink"/>
              </w:rPr>
              <w:t>212</w:t>
            </w:r>
          </w:hyperlink>
        </w:p>
        <w:p>
          <w:pPr>
            <w:pStyle w:val="Contents4"/>
            <w:tabs>
              <w:tab w:val="clear" w:pos="8176"/>
              <w:tab w:val="right" w:pos="9026" w:leader="dot"/>
            </w:tabs>
            <w:rPr/>
          </w:pPr>
          <w:hyperlink w:anchor="__RefHeading___Toc9696747_73709187">
            <w:r>
              <w:rPr>
                <w:webHidden/>
                <w:rStyle w:val="IndexLink"/>
                <w:rtl w:val="true"/>
              </w:rPr>
              <w:t>اشارة</w:t>
            </w:r>
            <w:r>
              <w:rPr>
                <w:rStyle w:val="IndexLink"/>
                <w:rtl w:val="true"/>
              </w:rPr>
              <w:tab/>
            </w:r>
            <w:r>
              <w:rPr>
                <w:rStyle w:val="IndexLink"/>
              </w:rPr>
              <w:t>212</w:t>
            </w:r>
          </w:hyperlink>
        </w:p>
        <w:p>
          <w:pPr>
            <w:pStyle w:val="Contents4"/>
            <w:tabs>
              <w:tab w:val="clear" w:pos="8176"/>
              <w:tab w:val="right" w:pos="9026" w:leader="dot"/>
            </w:tabs>
            <w:rPr/>
          </w:pPr>
          <w:hyperlink w:anchor="__RefHeading___Toc9696749_73709187">
            <w:r>
              <w:rPr>
                <w:webHidden/>
                <w:rStyle w:val="IndexLink"/>
                <w:rtl w:val="true"/>
              </w:rPr>
              <w:t>المطلب الأوّل</w:t>
            </w:r>
            <w:r>
              <w:rPr>
                <w:rStyle w:val="IndexLink"/>
                <w:rtl w:val="true"/>
              </w:rPr>
              <w:t xml:space="preserve">: </w:t>
            </w:r>
            <w:r>
              <w:rPr>
                <w:rStyle w:val="IndexLink"/>
                <w:rtl w:val="true"/>
              </w:rPr>
              <w:t>معنی الرشد</w:t>
            </w:r>
            <w:r>
              <w:rPr>
                <w:rStyle w:val="IndexLink"/>
                <w:rtl w:val="true"/>
              </w:rPr>
              <w:tab/>
            </w:r>
            <w:r>
              <w:rPr>
                <w:rStyle w:val="IndexLink"/>
              </w:rPr>
              <w:t>212</w:t>
            </w:r>
          </w:hyperlink>
        </w:p>
        <w:p>
          <w:pPr>
            <w:pStyle w:val="Contents5"/>
            <w:tabs>
              <w:tab w:val="clear" w:pos="7892"/>
              <w:tab w:val="right" w:pos="9026" w:leader="dot"/>
            </w:tabs>
            <w:rPr/>
          </w:pPr>
          <w:hyperlink w:anchor="__RefHeading___Toc9696751_73709187">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9696753_73709187">
            <w:r>
              <w:rPr>
                <w:webHidden/>
                <w:rStyle w:val="IndexLink"/>
                <w:rtl w:val="true"/>
              </w:rPr>
              <w:t>الرشد فی اللغة</w:t>
            </w:r>
            <w:r>
              <w:rPr>
                <w:rStyle w:val="IndexLink"/>
                <w:rtl w:val="true"/>
              </w:rPr>
              <w:tab/>
            </w:r>
            <w:r>
              <w:rPr>
                <w:rStyle w:val="IndexLink"/>
              </w:rPr>
              <w:t>213</w:t>
            </w:r>
          </w:hyperlink>
        </w:p>
        <w:p>
          <w:pPr>
            <w:pStyle w:val="Contents5"/>
            <w:tabs>
              <w:tab w:val="clear" w:pos="7892"/>
              <w:tab w:val="right" w:pos="9026" w:leader="dot"/>
            </w:tabs>
            <w:rPr/>
          </w:pPr>
          <w:hyperlink w:anchor="__RefHeading___Toc9696755_73709187">
            <w:r>
              <w:rPr>
                <w:webHidden/>
                <w:rStyle w:val="IndexLink"/>
                <w:rtl w:val="true"/>
              </w:rPr>
              <w:t>الرشد فی الاصطلاح</w:t>
            </w:r>
            <w:r>
              <w:rPr>
                <w:rStyle w:val="IndexLink"/>
                <w:rtl w:val="true"/>
              </w:rPr>
              <w:tab/>
            </w:r>
            <w:r>
              <w:rPr>
                <w:rStyle w:val="IndexLink"/>
              </w:rPr>
              <w:t>214</w:t>
            </w:r>
          </w:hyperlink>
        </w:p>
        <w:p>
          <w:pPr>
            <w:pStyle w:val="Contents5"/>
            <w:tabs>
              <w:tab w:val="clear" w:pos="7892"/>
              <w:tab w:val="right" w:pos="9026" w:leader="dot"/>
            </w:tabs>
            <w:rPr/>
          </w:pPr>
          <w:hyperlink w:anchor="__RefHeading___Toc9696757_73709187">
            <w:r>
              <w:rPr>
                <w:webHidden/>
                <w:rStyle w:val="IndexLink"/>
                <w:rtl w:val="true"/>
              </w:rPr>
              <w:t>أدلّة کون الرشد إصلاحاً للمال</w:t>
            </w:r>
            <w:r>
              <w:rPr>
                <w:rStyle w:val="IndexLink"/>
                <w:rtl w:val="true"/>
              </w:rPr>
              <w:tab/>
            </w:r>
            <w:r>
              <w:rPr>
                <w:rStyle w:val="IndexLink"/>
              </w:rPr>
              <w:t>214</w:t>
            </w:r>
          </w:hyperlink>
        </w:p>
        <w:p>
          <w:pPr>
            <w:pStyle w:val="Contents5"/>
            <w:tabs>
              <w:tab w:val="clear" w:pos="7892"/>
              <w:tab w:val="right" w:pos="9026" w:leader="dot"/>
            </w:tabs>
            <w:rPr/>
          </w:pPr>
          <w:hyperlink w:anchor="__RefHeading___Toc9696759_73709187">
            <w:r>
              <w:rPr>
                <w:webHidden/>
                <w:rStyle w:val="IndexLink"/>
                <w:rtl w:val="true"/>
              </w:rPr>
              <w:t>اعتبار العدالة فی الرشید</w:t>
            </w:r>
            <w:r>
              <w:rPr>
                <w:rStyle w:val="IndexLink"/>
                <w:rtl w:val="true"/>
              </w:rPr>
              <w:tab/>
            </w:r>
            <w:r>
              <w:rPr>
                <w:rStyle w:val="IndexLink"/>
              </w:rPr>
              <w:t>218</w:t>
            </w:r>
          </w:hyperlink>
        </w:p>
        <w:p>
          <w:pPr>
            <w:pStyle w:val="Contents5"/>
            <w:tabs>
              <w:tab w:val="clear" w:pos="7892"/>
              <w:tab w:val="right" w:pos="9026" w:leader="dot"/>
            </w:tabs>
            <w:rPr/>
          </w:pPr>
          <w:hyperlink w:anchor="__RefHeading___Toc9696761_73709187">
            <w:r>
              <w:rPr>
                <w:webHidden/>
                <w:rStyle w:val="IndexLink"/>
                <w:rtl w:val="true"/>
              </w:rPr>
              <w:t>أدلّة اعتبار العدالة فی الرشید</w:t>
            </w:r>
            <w:r>
              <w:rPr>
                <w:rStyle w:val="IndexLink"/>
                <w:rtl w:val="true"/>
              </w:rPr>
              <w:tab/>
            </w:r>
            <w:r>
              <w:rPr>
                <w:rStyle w:val="IndexLink"/>
              </w:rPr>
              <w:t>218</w:t>
            </w:r>
          </w:hyperlink>
        </w:p>
        <w:p>
          <w:pPr>
            <w:pStyle w:val="Contents5"/>
            <w:tabs>
              <w:tab w:val="clear" w:pos="7892"/>
              <w:tab w:val="right" w:pos="9026" w:leader="dot"/>
            </w:tabs>
            <w:rPr/>
          </w:pPr>
          <w:hyperlink w:anchor="__RefHeading___Toc9696763_73709187">
            <w:r>
              <w:rPr>
                <w:webHidden/>
                <w:rStyle w:val="IndexLink"/>
                <w:rtl w:val="true"/>
              </w:rPr>
              <w:t>القول الثانی</w:t>
            </w:r>
            <w:r>
              <w:rPr>
                <w:rStyle w:val="IndexLink"/>
                <w:rtl w:val="true"/>
              </w:rPr>
              <w:t xml:space="preserve">: </w:t>
            </w:r>
            <w:r>
              <w:rPr>
                <w:rStyle w:val="IndexLink"/>
                <w:rtl w:val="true"/>
              </w:rPr>
              <w:t>عدم اعتبار العدالة</w:t>
            </w:r>
            <w:r>
              <w:rPr>
                <w:rStyle w:val="IndexLink"/>
                <w:rtl w:val="true"/>
              </w:rPr>
              <w:tab/>
            </w:r>
            <w:r>
              <w:rPr>
                <w:rStyle w:val="IndexLink"/>
              </w:rPr>
              <w:t>222</w:t>
            </w:r>
          </w:hyperlink>
        </w:p>
        <w:p>
          <w:pPr>
            <w:pStyle w:val="Contents5"/>
            <w:tabs>
              <w:tab w:val="clear" w:pos="7892"/>
              <w:tab w:val="right" w:pos="9026" w:leader="dot"/>
            </w:tabs>
            <w:rPr/>
          </w:pPr>
          <w:hyperlink w:anchor="__RefHeading___Toc9696765_73709187">
            <w:r>
              <w:rPr>
                <w:webHidden/>
                <w:rStyle w:val="IndexLink"/>
                <w:rtl w:val="true"/>
              </w:rPr>
              <w:t>الأدلّة علی عدم اعتبار العدالة فی الرشید</w:t>
            </w:r>
            <w:r>
              <w:rPr>
                <w:rStyle w:val="IndexLink"/>
                <w:rtl w:val="true"/>
              </w:rPr>
              <w:tab/>
            </w:r>
            <w:r>
              <w:rPr>
                <w:rStyle w:val="IndexLink"/>
              </w:rPr>
              <w:t>223</w:t>
            </w:r>
          </w:hyperlink>
        </w:p>
        <w:p>
          <w:pPr>
            <w:pStyle w:val="Contents5"/>
            <w:tabs>
              <w:tab w:val="clear" w:pos="7892"/>
              <w:tab w:val="right" w:pos="9026" w:leader="dot"/>
            </w:tabs>
            <w:rPr/>
          </w:pPr>
          <w:hyperlink w:anchor="__RefHeading___Toc9696767_73709187">
            <w:r>
              <w:rPr>
                <w:webHidden/>
                <w:rStyle w:val="IndexLink"/>
                <w:rtl w:val="true"/>
              </w:rPr>
              <w:t>اعتبار الملکة النفسانیّة فی الرشد</w:t>
            </w:r>
            <w:r>
              <w:rPr>
                <w:rStyle w:val="IndexLink"/>
                <w:rtl w:val="true"/>
              </w:rPr>
              <w:tab/>
            </w:r>
            <w:r>
              <w:rPr>
                <w:rStyle w:val="IndexLink"/>
              </w:rPr>
              <w:t>226</w:t>
            </w:r>
          </w:hyperlink>
        </w:p>
        <w:p>
          <w:pPr>
            <w:pStyle w:val="Contents5"/>
            <w:tabs>
              <w:tab w:val="clear" w:pos="7892"/>
              <w:tab w:val="right" w:pos="9026" w:leader="dot"/>
            </w:tabs>
            <w:rPr/>
          </w:pPr>
          <w:hyperlink w:anchor="__RefHeading___Toc9696769_73709187">
            <w:r>
              <w:rPr>
                <w:webHidden/>
                <w:rStyle w:val="IndexLink"/>
                <w:rtl w:val="true"/>
              </w:rPr>
              <w:t>معنی السفیه لغةً و اصطلاحاً</w:t>
            </w:r>
            <w:r>
              <w:rPr>
                <w:rStyle w:val="IndexLink"/>
                <w:rtl w:val="true"/>
              </w:rPr>
              <w:tab/>
            </w:r>
            <w:r>
              <w:rPr>
                <w:rStyle w:val="IndexLink"/>
              </w:rPr>
              <w:t>228</w:t>
            </w:r>
          </w:hyperlink>
        </w:p>
        <w:p>
          <w:pPr>
            <w:pStyle w:val="Contents5"/>
            <w:tabs>
              <w:tab w:val="clear" w:pos="7892"/>
              <w:tab w:val="right" w:pos="9026" w:leader="dot"/>
            </w:tabs>
            <w:rPr/>
          </w:pPr>
          <w:hyperlink w:anchor="__RefHeading___Toc9696771_73709187">
            <w:r>
              <w:rPr>
                <w:webHidden/>
                <w:rStyle w:val="IndexLink"/>
                <w:rtl w:val="true"/>
              </w:rPr>
              <w:t>فرعان</w:t>
            </w:r>
            <w:r>
              <w:rPr>
                <w:rStyle w:val="IndexLink"/>
                <w:rtl w:val="true"/>
              </w:rPr>
              <w:tab/>
            </w:r>
            <w:r>
              <w:rPr>
                <w:rStyle w:val="IndexLink"/>
              </w:rPr>
              <w:t>231</w:t>
            </w:r>
          </w:hyperlink>
        </w:p>
        <w:p>
          <w:pPr>
            <w:pStyle w:val="Contents5"/>
            <w:tabs>
              <w:tab w:val="clear" w:pos="7892"/>
              <w:tab w:val="right" w:pos="9026" w:leader="dot"/>
            </w:tabs>
            <w:rPr/>
          </w:pPr>
          <w:hyperlink w:anchor="__RefHeading___Toc9696773_73709187">
            <w:r>
              <w:rPr>
                <w:webHidden/>
                <w:rStyle w:val="IndexLink"/>
                <w:rtl w:val="true"/>
              </w:rPr>
              <w:t>الرشد عند أهل السنّة</w:t>
            </w:r>
            <w:r>
              <w:rPr>
                <w:rStyle w:val="IndexLink"/>
                <w:rtl w:val="true"/>
              </w:rPr>
              <w:tab/>
            </w:r>
            <w:r>
              <w:rPr>
                <w:rStyle w:val="IndexLink"/>
              </w:rPr>
              <w:t>234</w:t>
            </w:r>
          </w:hyperlink>
        </w:p>
        <w:p>
          <w:pPr>
            <w:pStyle w:val="Contents4"/>
            <w:tabs>
              <w:tab w:val="clear" w:pos="8176"/>
              <w:tab w:val="right" w:pos="9026" w:leader="dot"/>
            </w:tabs>
            <w:rPr/>
          </w:pPr>
          <w:hyperlink w:anchor="__RefHeading___Toc9696775_73709187">
            <w:r>
              <w:rPr>
                <w:webHidden/>
                <w:rStyle w:val="IndexLink"/>
                <w:rtl w:val="true"/>
              </w:rPr>
              <w:t>المطلب الثانی</w:t>
            </w:r>
            <w:r>
              <w:rPr>
                <w:rStyle w:val="IndexLink"/>
                <w:rtl w:val="true"/>
              </w:rPr>
              <w:t xml:space="preserve">: </w:t>
            </w:r>
            <w:r>
              <w:rPr>
                <w:rStyle w:val="IndexLink"/>
                <w:rtl w:val="true"/>
              </w:rPr>
              <w:t>اختبار الرشد</w:t>
            </w:r>
            <w:r>
              <w:rPr>
                <w:rStyle w:val="IndexLink"/>
                <w:rtl w:val="true"/>
              </w:rPr>
              <w:tab/>
            </w:r>
            <w:r>
              <w:rPr>
                <w:rStyle w:val="IndexLink"/>
              </w:rPr>
              <w:t>238</w:t>
            </w:r>
          </w:hyperlink>
        </w:p>
        <w:p>
          <w:pPr>
            <w:pStyle w:val="Contents5"/>
            <w:tabs>
              <w:tab w:val="clear" w:pos="7892"/>
              <w:tab w:val="right" w:pos="9026" w:leader="dot"/>
            </w:tabs>
            <w:rPr/>
          </w:pPr>
          <w:hyperlink w:anchor="__RefHeading___Toc9696777_73709187">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9696779_73709187">
            <w:r>
              <w:rPr>
                <w:webHidden/>
                <w:rStyle w:val="IndexLink"/>
                <w:rtl w:val="true"/>
              </w:rPr>
              <w:t>فروع</w:t>
            </w:r>
            <w:r>
              <w:rPr>
                <w:rStyle w:val="IndexLink"/>
                <w:rtl w:val="true"/>
              </w:rPr>
              <w:tab/>
            </w:r>
            <w:r>
              <w:rPr>
                <w:rStyle w:val="IndexLink"/>
              </w:rPr>
              <w:t>241</w:t>
            </w:r>
          </w:hyperlink>
        </w:p>
        <w:p>
          <w:pPr>
            <w:pStyle w:val="Contents5"/>
            <w:tabs>
              <w:tab w:val="clear" w:pos="7892"/>
              <w:tab w:val="right" w:pos="9026" w:leader="dot"/>
            </w:tabs>
            <w:rPr/>
          </w:pPr>
          <w:hyperlink w:anchor="__RefHeading___Toc9696781_73709187">
            <w:r>
              <w:rPr>
                <w:webHidden/>
                <w:rStyle w:val="IndexLink"/>
                <w:rtl w:val="true"/>
              </w:rPr>
              <w:t>أدلّة وجوب اختبار الصبیّ قبل بلوغه</w:t>
            </w:r>
            <w:r>
              <w:rPr>
                <w:rStyle w:val="IndexLink"/>
                <w:rtl w:val="true"/>
              </w:rPr>
              <w:tab/>
            </w:r>
            <w:r>
              <w:rPr>
                <w:rStyle w:val="IndexLink"/>
              </w:rPr>
              <w:t>243</w:t>
            </w:r>
          </w:hyperlink>
        </w:p>
        <w:p>
          <w:pPr>
            <w:pStyle w:val="Contents5"/>
            <w:tabs>
              <w:tab w:val="clear" w:pos="7892"/>
              <w:tab w:val="right" w:pos="9026" w:leader="dot"/>
            </w:tabs>
            <w:rPr/>
          </w:pPr>
          <w:hyperlink w:anchor="__RefHeading___Toc9696783_73709187">
            <w:r>
              <w:rPr>
                <w:webHidden/>
                <w:rStyle w:val="IndexLink"/>
                <w:rtl w:val="true"/>
              </w:rPr>
              <w:t>تذکرة</w:t>
            </w:r>
            <w:r>
              <w:rPr>
                <w:rStyle w:val="IndexLink"/>
                <w:rtl w:val="true"/>
              </w:rPr>
              <w:tab/>
            </w:r>
            <w:r>
              <w:rPr>
                <w:rStyle w:val="IndexLink"/>
              </w:rPr>
              <w:t>246</w:t>
            </w:r>
          </w:hyperlink>
        </w:p>
        <w:p>
          <w:pPr>
            <w:pStyle w:val="Contents5"/>
            <w:tabs>
              <w:tab w:val="clear" w:pos="7892"/>
              <w:tab w:val="right" w:pos="9026" w:leader="dot"/>
            </w:tabs>
            <w:rPr/>
          </w:pPr>
          <w:hyperlink w:anchor="__RefHeading___Toc9696785_73709187">
            <w:r>
              <w:rPr>
                <w:webHidden/>
                <w:rStyle w:val="IndexLink"/>
                <w:rtl w:val="true"/>
              </w:rPr>
              <w:t>وقت اختبار الرشد و کیفیّته عند أهل السنّة</w:t>
            </w:r>
            <w:r>
              <w:rPr>
                <w:rStyle w:val="IndexLink"/>
                <w:rtl w:val="true"/>
              </w:rPr>
              <w:tab/>
            </w:r>
            <w:r>
              <w:rPr>
                <w:rStyle w:val="IndexLink"/>
              </w:rPr>
              <w:t>250</w:t>
            </w:r>
          </w:hyperlink>
        </w:p>
        <w:p>
          <w:pPr>
            <w:pStyle w:val="Contents4"/>
            <w:tabs>
              <w:tab w:val="clear" w:pos="8176"/>
              <w:tab w:val="right" w:pos="9026" w:leader="dot"/>
            </w:tabs>
            <w:rPr/>
          </w:pPr>
          <w:hyperlink w:anchor="__RefHeading___Toc9696787_73709187">
            <w:r>
              <w:rPr>
                <w:webHidden/>
                <w:rStyle w:val="IndexLink"/>
                <w:rtl w:val="true"/>
              </w:rPr>
              <w:t>المطلب الثالث</w:t>
            </w:r>
            <w:r>
              <w:rPr>
                <w:rStyle w:val="IndexLink"/>
                <w:rtl w:val="true"/>
              </w:rPr>
              <w:t xml:space="preserve">: </w:t>
            </w:r>
            <w:r>
              <w:rPr>
                <w:rStyle w:val="IndexLink"/>
                <w:rtl w:val="true"/>
              </w:rPr>
              <w:t>إثبات الرشد</w:t>
            </w:r>
            <w:r>
              <w:rPr>
                <w:rStyle w:val="IndexLink"/>
                <w:rtl w:val="true"/>
              </w:rPr>
              <w:tab/>
            </w:r>
            <w:r>
              <w:rPr>
                <w:rStyle w:val="IndexLink"/>
              </w:rPr>
              <w:t>254</w:t>
            </w:r>
          </w:hyperlink>
        </w:p>
        <w:p>
          <w:pPr>
            <w:pStyle w:val="Contents5"/>
            <w:tabs>
              <w:tab w:val="clear" w:pos="7892"/>
              <w:tab w:val="right" w:pos="9026" w:leader="dot"/>
            </w:tabs>
            <w:rPr/>
          </w:pPr>
          <w:hyperlink w:anchor="__RefHeading___Toc9696789_73709187">
            <w:r>
              <w:rPr>
                <w:webHidden/>
                <w:rStyle w:val="IndexLink"/>
                <w:rtl w:val="true"/>
              </w:rPr>
              <w:t>اشارة</w:t>
            </w:r>
            <w:r>
              <w:rPr>
                <w:rStyle w:val="IndexLink"/>
                <w:rtl w:val="true"/>
              </w:rPr>
              <w:tab/>
            </w:r>
            <w:r>
              <w:rPr>
                <w:rStyle w:val="IndexLink"/>
              </w:rPr>
              <w:t>254</w:t>
            </w:r>
          </w:hyperlink>
        </w:p>
        <w:p>
          <w:pPr>
            <w:pStyle w:val="Contents5"/>
            <w:tabs>
              <w:tab w:val="clear" w:pos="7892"/>
              <w:tab w:val="right" w:pos="9026" w:leader="dot"/>
            </w:tabs>
            <w:rPr/>
          </w:pPr>
          <w:hyperlink w:anchor="__RefHeading___Toc9696791_73709187">
            <w:r>
              <w:rPr>
                <w:webHidden/>
                <w:rStyle w:val="IndexLink"/>
                <w:rtl w:val="true"/>
              </w:rPr>
              <w:t>إثبات الرشد بخبر الثقة</w:t>
            </w:r>
            <w:r>
              <w:rPr>
                <w:rStyle w:val="IndexLink"/>
                <w:rtl w:val="true"/>
              </w:rPr>
              <w:tab/>
            </w:r>
            <w:r>
              <w:rPr>
                <w:rStyle w:val="IndexLink"/>
              </w:rPr>
              <w:t>260</w:t>
            </w:r>
          </w:hyperlink>
        </w:p>
        <w:p>
          <w:pPr>
            <w:pStyle w:val="Contents5"/>
            <w:tabs>
              <w:tab w:val="clear" w:pos="7892"/>
              <w:tab w:val="right" w:pos="9026" w:leader="dot"/>
            </w:tabs>
            <w:rPr/>
          </w:pPr>
          <w:hyperlink w:anchor="__RefHeading___Toc9696793_73709187">
            <w:r>
              <w:rPr>
                <w:webHidden/>
                <w:rStyle w:val="IndexLink"/>
                <w:rtl w:val="true"/>
              </w:rPr>
              <w:t>فرع</w:t>
            </w:r>
            <w:r>
              <w:rPr>
                <w:rStyle w:val="IndexLink"/>
                <w:rtl w:val="true"/>
              </w:rPr>
              <w:tab/>
            </w:r>
            <w:r>
              <w:rPr>
                <w:rStyle w:val="IndexLink"/>
              </w:rPr>
              <w:t>262</w:t>
            </w:r>
          </w:hyperlink>
        </w:p>
        <w:p>
          <w:pPr>
            <w:pStyle w:val="Contents3"/>
            <w:tabs>
              <w:tab w:val="clear" w:pos="8459"/>
              <w:tab w:val="right" w:pos="9026" w:leader="dot"/>
            </w:tabs>
            <w:rPr/>
          </w:pPr>
          <w:hyperlink w:anchor="__RefHeading___Toc9696795_73709187">
            <w:r>
              <w:rPr>
                <w:webHidden/>
                <w:rStyle w:val="IndexLink"/>
                <w:rtl w:val="true"/>
              </w:rPr>
              <w:t>الفصل السابع</w:t>
            </w:r>
            <w:r>
              <w:rPr>
                <w:rStyle w:val="IndexLink"/>
                <w:rtl w:val="true"/>
              </w:rPr>
              <w:t xml:space="preserve">: </w:t>
            </w:r>
            <w:r>
              <w:rPr>
                <w:rStyle w:val="IndexLink"/>
                <w:rtl w:val="true"/>
              </w:rPr>
              <w:t>ضمان الصبیّ و کفالته و حوالته</w:t>
            </w:r>
            <w:r>
              <w:rPr>
                <w:rStyle w:val="IndexLink"/>
                <w:rtl w:val="true"/>
              </w:rPr>
              <w:tab/>
            </w:r>
            <w:r>
              <w:rPr>
                <w:rStyle w:val="IndexLink"/>
              </w:rPr>
              <w:t>264</w:t>
            </w:r>
          </w:hyperlink>
        </w:p>
        <w:p>
          <w:pPr>
            <w:pStyle w:val="Contents4"/>
            <w:tabs>
              <w:tab w:val="clear" w:pos="8176"/>
              <w:tab w:val="right" w:pos="9026" w:leader="dot"/>
            </w:tabs>
            <w:rPr/>
          </w:pPr>
          <w:hyperlink w:anchor="__RefHeading___Toc9696797_73709187">
            <w:r>
              <w:rPr>
                <w:webHidden/>
                <w:rStyle w:val="IndexLink"/>
                <w:rtl w:val="true"/>
              </w:rPr>
              <w:t>اشارة</w:t>
            </w:r>
            <w:r>
              <w:rPr>
                <w:rStyle w:val="IndexLink"/>
                <w:rtl w:val="true"/>
              </w:rPr>
              <w:tab/>
            </w:r>
            <w:r>
              <w:rPr>
                <w:rStyle w:val="IndexLink"/>
              </w:rPr>
              <w:t>264</w:t>
            </w:r>
          </w:hyperlink>
        </w:p>
        <w:p>
          <w:pPr>
            <w:pStyle w:val="Contents4"/>
            <w:tabs>
              <w:tab w:val="clear" w:pos="8176"/>
              <w:tab w:val="right" w:pos="9026" w:leader="dot"/>
            </w:tabs>
            <w:rPr/>
          </w:pPr>
          <w:hyperlink w:anchor="__RefHeading___Toc9696799_73709187">
            <w:r>
              <w:rPr>
                <w:webHidden/>
                <w:rStyle w:val="IndexLink"/>
                <w:rtl w:val="true"/>
              </w:rPr>
              <w:t>المبحث الأوّل</w:t>
            </w:r>
            <w:r>
              <w:rPr>
                <w:rStyle w:val="IndexLink"/>
                <w:rtl w:val="true"/>
              </w:rPr>
              <w:t xml:space="preserve">: </w:t>
            </w:r>
            <w:r>
              <w:rPr>
                <w:rStyle w:val="IndexLink"/>
                <w:rtl w:val="true"/>
              </w:rPr>
              <w:t>ضمان الصبیّ‌</w:t>
            </w:r>
            <w:r>
              <w:rPr>
                <w:rStyle w:val="IndexLink"/>
                <w:rtl w:val="true"/>
              </w:rPr>
              <w:tab/>
            </w:r>
            <w:r>
              <w:rPr>
                <w:rStyle w:val="IndexLink"/>
              </w:rPr>
              <w:t>264</w:t>
            </w:r>
          </w:hyperlink>
        </w:p>
        <w:p>
          <w:pPr>
            <w:pStyle w:val="Contents5"/>
            <w:tabs>
              <w:tab w:val="clear" w:pos="7892"/>
              <w:tab w:val="right" w:pos="9026" w:leader="dot"/>
            </w:tabs>
            <w:rPr/>
          </w:pPr>
          <w:hyperlink w:anchor="__RefHeading___Toc9696801_73709187">
            <w:r>
              <w:rPr>
                <w:webHidden/>
                <w:rStyle w:val="IndexLink"/>
                <w:rtl w:val="true"/>
              </w:rPr>
              <w:t>الضمان لغةً و اصطلاحاً</w:t>
            </w:r>
            <w:r>
              <w:rPr>
                <w:rStyle w:val="IndexLink"/>
                <w:rtl w:val="true"/>
              </w:rPr>
              <w:tab/>
            </w:r>
            <w:r>
              <w:rPr>
                <w:rStyle w:val="IndexLink"/>
              </w:rPr>
              <w:t>264</w:t>
            </w:r>
          </w:hyperlink>
        </w:p>
        <w:p>
          <w:pPr>
            <w:pStyle w:val="Contents5"/>
            <w:tabs>
              <w:tab w:val="clear" w:pos="7892"/>
              <w:tab w:val="right" w:pos="9026" w:leader="dot"/>
            </w:tabs>
            <w:rPr/>
          </w:pPr>
          <w:hyperlink w:anchor="__RefHeading___Toc9696803_73709187">
            <w:r>
              <w:rPr>
                <w:webHidden/>
                <w:rStyle w:val="IndexLink"/>
                <w:rtl w:val="true"/>
              </w:rPr>
              <w:t>الأوّل</w:t>
            </w:r>
            <w:r>
              <w:rPr>
                <w:rStyle w:val="IndexLink"/>
                <w:rtl w:val="true"/>
              </w:rPr>
              <w:t xml:space="preserve">: </w:t>
            </w:r>
            <w:r>
              <w:rPr>
                <w:rStyle w:val="IndexLink"/>
                <w:rtl w:val="true"/>
              </w:rPr>
              <w:t>اعتبار البلوغ و الرّشد فی الضامن</w:t>
            </w:r>
            <w:r>
              <w:rPr>
                <w:rStyle w:val="IndexLink"/>
                <w:rtl w:val="true"/>
              </w:rPr>
              <w:tab/>
            </w:r>
            <w:r>
              <w:rPr>
                <w:rStyle w:val="IndexLink"/>
              </w:rPr>
              <w:t>268</w:t>
            </w:r>
          </w:hyperlink>
        </w:p>
        <w:p>
          <w:pPr>
            <w:pStyle w:val="Contents6"/>
            <w:tabs>
              <w:tab w:val="clear" w:pos="7609"/>
              <w:tab w:val="right" w:pos="9026" w:leader="dot"/>
            </w:tabs>
            <w:rPr/>
          </w:pPr>
          <w:hyperlink w:anchor="__RefHeading___Toc9696805_73709187">
            <w:r>
              <w:rPr>
                <w:webHidden/>
                <w:rStyle w:val="IndexLink"/>
                <w:rtl w:val="true"/>
              </w:rPr>
              <w:t>اشارة</w:t>
            </w:r>
            <w:r>
              <w:rPr>
                <w:rStyle w:val="IndexLink"/>
                <w:rtl w:val="true"/>
              </w:rPr>
              <w:tab/>
            </w:r>
            <w:r>
              <w:rPr>
                <w:rStyle w:val="IndexLink"/>
              </w:rPr>
              <w:t>268</w:t>
            </w:r>
          </w:hyperlink>
        </w:p>
        <w:p>
          <w:pPr>
            <w:pStyle w:val="Contents6"/>
            <w:tabs>
              <w:tab w:val="clear" w:pos="7609"/>
              <w:tab w:val="right" w:pos="9026" w:leader="dot"/>
            </w:tabs>
            <w:rPr/>
          </w:pPr>
          <w:hyperlink w:anchor="__RefHeading___Toc9696807_73709187">
            <w:r>
              <w:rPr>
                <w:webHidden/>
                <w:rStyle w:val="IndexLink"/>
                <w:rtl w:val="true"/>
              </w:rPr>
              <w:t>أدلّة اعتبار البلوغ فی الضامن</w:t>
            </w:r>
            <w:r>
              <w:rPr>
                <w:rStyle w:val="IndexLink"/>
                <w:rtl w:val="true"/>
              </w:rPr>
              <w:tab/>
            </w:r>
            <w:r>
              <w:rPr>
                <w:rStyle w:val="IndexLink"/>
              </w:rPr>
              <w:t>269</w:t>
            </w:r>
          </w:hyperlink>
        </w:p>
        <w:p>
          <w:pPr>
            <w:pStyle w:val="Contents6"/>
            <w:tabs>
              <w:tab w:val="clear" w:pos="7609"/>
              <w:tab w:val="right" w:pos="9026" w:leader="dot"/>
            </w:tabs>
            <w:rPr/>
          </w:pPr>
          <w:hyperlink w:anchor="__RefHeading___Toc9696809_73709187">
            <w:r>
              <w:rPr>
                <w:webHidden/>
                <w:rStyle w:val="IndexLink"/>
                <w:rtl w:val="true"/>
              </w:rPr>
              <w:t>فرع</w:t>
            </w:r>
            <w:r>
              <w:rPr>
                <w:rStyle w:val="IndexLink"/>
                <w:rtl w:val="true"/>
              </w:rPr>
              <w:tab/>
            </w:r>
            <w:r>
              <w:rPr>
                <w:rStyle w:val="IndexLink"/>
              </w:rPr>
              <w:t>273</w:t>
            </w:r>
          </w:hyperlink>
        </w:p>
        <w:p>
          <w:pPr>
            <w:pStyle w:val="Contents5"/>
            <w:tabs>
              <w:tab w:val="clear" w:pos="7892"/>
              <w:tab w:val="right" w:pos="9026" w:leader="dot"/>
            </w:tabs>
            <w:rPr/>
          </w:pPr>
          <w:hyperlink w:anchor="__RefHeading___Toc9696811_73709187">
            <w:r>
              <w:rPr>
                <w:webHidden/>
                <w:rStyle w:val="IndexLink"/>
                <w:rtl w:val="true"/>
              </w:rPr>
              <w:t>المطلب الثانی</w:t>
            </w:r>
            <w:r>
              <w:rPr>
                <w:rStyle w:val="IndexLink"/>
                <w:rtl w:val="true"/>
              </w:rPr>
              <w:t xml:space="preserve">: </w:t>
            </w:r>
            <w:r>
              <w:rPr>
                <w:rStyle w:val="IndexLink"/>
                <w:rtl w:val="true"/>
              </w:rPr>
              <w:t>اعتبار البلوغ فی المضمون له</w:t>
            </w:r>
            <w:r>
              <w:rPr>
                <w:rStyle w:val="IndexLink"/>
                <w:rtl w:val="true"/>
              </w:rPr>
              <w:tab/>
            </w:r>
            <w:r>
              <w:rPr>
                <w:rStyle w:val="IndexLink"/>
              </w:rPr>
              <w:t>273</w:t>
            </w:r>
          </w:hyperlink>
        </w:p>
        <w:p>
          <w:pPr>
            <w:pStyle w:val="Contents6"/>
            <w:tabs>
              <w:tab w:val="clear" w:pos="7609"/>
              <w:tab w:val="right" w:pos="9026" w:leader="dot"/>
            </w:tabs>
            <w:rPr/>
          </w:pPr>
          <w:hyperlink w:anchor="__RefHeading___Toc9696813_73709187">
            <w:r>
              <w:rPr>
                <w:webHidden/>
                <w:rStyle w:val="IndexLink"/>
                <w:rtl w:val="true"/>
              </w:rPr>
              <w:t>اشارة</w:t>
            </w:r>
            <w:r>
              <w:rPr>
                <w:rStyle w:val="IndexLink"/>
                <w:rtl w:val="true"/>
              </w:rPr>
              <w:tab/>
            </w:r>
            <w:r>
              <w:rPr>
                <w:rStyle w:val="IndexLink"/>
              </w:rPr>
              <w:t>273</w:t>
            </w:r>
          </w:hyperlink>
        </w:p>
        <w:p>
          <w:pPr>
            <w:pStyle w:val="Contents6"/>
            <w:tabs>
              <w:tab w:val="clear" w:pos="7609"/>
              <w:tab w:val="right" w:pos="9026" w:leader="dot"/>
            </w:tabs>
            <w:rPr/>
          </w:pPr>
          <w:hyperlink w:anchor="__RefHeading___Toc9696815_73709187">
            <w:r>
              <w:rPr>
                <w:webHidden/>
                <w:rStyle w:val="IndexLink"/>
                <w:rtl w:val="true"/>
              </w:rPr>
              <w:t>أدلّة هذا الحکم</w:t>
            </w:r>
            <w:r>
              <w:rPr>
                <w:rStyle w:val="IndexLink"/>
                <w:rtl w:val="true"/>
              </w:rPr>
              <w:tab/>
            </w:r>
            <w:r>
              <w:rPr>
                <w:rStyle w:val="IndexLink"/>
              </w:rPr>
              <w:t>274</w:t>
            </w:r>
          </w:hyperlink>
        </w:p>
        <w:p>
          <w:pPr>
            <w:pStyle w:val="Contents5"/>
            <w:tabs>
              <w:tab w:val="clear" w:pos="7892"/>
              <w:tab w:val="right" w:pos="9026" w:leader="dot"/>
            </w:tabs>
            <w:rPr/>
          </w:pPr>
          <w:hyperlink w:anchor="__RefHeading___Toc9696817_73709187">
            <w:r>
              <w:rPr>
                <w:webHidden/>
                <w:rStyle w:val="IndexLink"/>
                <w:rtl w:val="true"/>
              </w:rPr>
              <w:t>المطلب الثالث</w:t>
            </w:r>
            <w:r>
              <w:rPr>
                <w:rStyle w:val="IndexLink"/>
                <w:rtl w:val="true"/>
              </w:rPr>
              <w:t xml:space="preserve">: </w:t>
            </w:r>
            <w:r>
              <w:rPr>
                <w:rStyle w:val="IndexLink"/>
                <w:rtl w:val="true"/>
              </w:rPr>
              <w:t>عدم اعتبار البلوغ فی المضمون عنه</w:t>
            </w:r>
            <w:r>
              <w:rPr>
                <w:rStyle w:val="IndexLink"/>
                <w:rtl w:val="true"/>
              </w:rPr>
              <w:tab/>
            </w:r>
            <w:r>
              <w:rPr>
                <w:rStyle w:val="IndexLink"/>
              </w:rPr>
              <w:t>275</w:t>
            </w:r>
          </w:hyperlink>
        </w:p>
        <w:p>
          <w:pPr>
            <w:pStyle w:val="Contents6"/>
            <w:tabs>
              <w:tab w:val="clear" w:pos="7609"/>
              <w:tab w:val="right" w:pos="9026" w:leader="dot"/>
            </w:tabs>
            <w:rPr/>
          </w:pPr>
          <w:hyperlink w:anchor="__RefHeading___Toc9696819_73709187">
            <w:r>
              <w:rPr>
                <w:webHidden/>
                <w:rStyle w:val="IndexLink"/>
                <w:rtl w:val="true"/>
              </w:rPr>
              <w:t>اشارة</w:t>
            </w:r>
            <w:r>
              <w:rPr>
                <w:rStyle w:val="IndexLink"/>
                <w:rtl w:val="true"/>
              </w:rPr>
              <w:tab/>
            </w:r>
            <w:r>
              <w:rPr>
                <w:rStyle w:val="IndexLink"/>
              </w:rPr>
              <w:t>275</w:t>
            </w:r>
          </w:hyperlink>
        </w:p>
        <w:p>
          <w:pPr>
            <w:pStyle w:val="Contents6"/>
            <w:tabs>
              <w:tab w:val="clear" w:pos="7609"/>
              <w:tab w:val="right" w:pos="9026" w:leader="dot"/>
            </w:tabs>
            <w:rPr/>
          </w:pPr>
          <w:hyperlink w:anchor="__RefHeading___Toc9696821_73709187">
            <w:r>
              <w:rPr>
                <w:webHidden/>
                <w:rStyle w:val="IndexLink"/>
                <w:rtl w:val="true"/>
              </w:rPr>
              <w:t>أدلّة عدم اعتبار البلوغ و العقل فی المضمون عنه</w:t>
            </w:r>
            <w:r>
              <w:rPr>
                <w:rStyle w:val="IndexLink"/>
                <w:rtl w:val="true"/>
              </w:rPr>
              <w:t>:</w:t>
              <w:tab/>
            </w:r>
            <w:r>
              <w:rPr>
                <w:rStyle w:val="IndexLink"/>
              </w:rPr>
              <w:t>275</w:t>
            </w:r>
          </w:hyperlink>
        </w:p>
        <w:p>
          <w:pPr>
            <w:pStyle w:val="Contents6"/>
            <w:tabs>
              <w:tab w:val="clear" w:pos="7609"/>
              <w:tab w:val="right" w:pos="9026" w:leader="dot"/>
            </w:tabs>
            <w:rPr/>
          </w:pPr>
          <w:hyperlink w:anchor="__RefHeading___Toc9696823_73709187">
            <w:r>
              <w:rPr>
                <w:webHidden/>
                <w:rStyle w:val="IndexLink"/>
                <w:rtl w:val="true"/>
              </w:rPr>
              <w:t>اعتبار البلوغ فی الضامن عند أهل السنّة</w:t>
            </w:r>
            <w:r>
              <w:rPr>
                <w:rStyle w:val="IndexLink"/>
                <w:rtl w:val="true"/>
              </w:rPr>
              <w:tab/>
            </w:r>
            <w:r>
              <w:rPr>
                <w:rStyle w:val="IndexLink"/>
              </w:rPr>
              <w:t>277</w:t>
            </w:r>
          </w:hyperlink>
        </w:p>
        <w:p>
          <w:pPr>
            <w:pStyle w:val="Contents4"/>
            <w:tabs>
              <w:tab w:val="clear" w:pos="8176"/>
              <w:tab w:val="right" w:pos="9026" w:leader="dot"/>
            </w:tabs>
            <w:rPr/>
          </w:pPr>
          <w:hyperlink w:anchor="__RefHeading___Toc9696825_73709187">
            <w:r>
              <w:rPr>
                <w:webHidden/>
                <w:rStyle w:val="IndexLink"/>
                <w:rtl w:val="true"/>
              </w:rPr>
              <w:t>المبحث الثانی</w:t>
            </w:r>
            <w:r>
              <w:rPr>
                <w:rStyle w:val="IndexLink"/>
                <w:rtl w:val="true"/>
              </w:rPr>
              <w:t xml:space="preserve">: </w:t>
            </w:r>
            <w:r>
              <w:rPr>
                <w:rStyle w:val="IndexLink"/>
                <w:rtl w:val="true"/>
              </w:rPr>
              <w:t>حوالة الصبیّ‌</w:t>
            </w:r>
            <w:r>
              <w:rPr>
                <w:rStyle w:val="IndexLink"/>
                <w:rtl w:val="true"/>
              </w:rPr>
              <w:tab/>
            </w:r>
            <w:r>
              <w:rPr>
                <w:rStyle w:val="IndexLink"/>
              </w:rPr>
              <w:t>279</w:t>
            </w:r>
          </w:hyperlink>
        </w:p>
        <w:p>
          <w:pPr>
            <w:pStyle w:val="Contents5"/>
            <w:tabs>
              <w:tab w:val="clear" w:pos="7892"/>
              <w:tab w:val="right" w:pos="9026" w:leader="dot"/>
            </w:tabs>
            <w:rPr/>
          </w:pPr>
          <w:hyperlink w:anchor="__RefHeading___Toc9696827_73709187">
            <w:r>
              <w:rPr>
                <w:webHidden/>
                <w:rStyle w:val="IndexLink"/>
                <w:rtl w:val="true"/>
              </w:rPr>
              <w:t>اشارة</w:t>
            </w:r>
            <w:r>
              <w:rPr>
                <w:rStyle w:val="IndexLink"/>
                <w:rtl w:val="true"/>
              </w:rPr>
              <w:tab/>
            </w:r>
            <w:r>
              <w:rPr>
                <w:rStyle w:val="IndexLink"/>
              </w:rPr>
              <w:t>279</w:t>
            </w:r>
          </w:hyperlink>
        </w:p>
        <w:p>
          <w:pPr>
            <w:pStyle w:val="Contents5"/>
            <w:tabs>
              <w:tab w:val="clear" w:pos="7892"/>
              <w:tab w:val="right" w:pos="9026" w:leader="dot"/>
            </w:tabs>
            <w:rPr/>
          </w:pPr>
          <w:hyperlink w:anchor="__RefHeading___Toc9696829_73709187">
            <w:r>
              <w:rPr>
                <w:webHidden/>
                <w:rStyle w:val="IndexLink"/>
                <w:rtl w:val="true"/>
              </w:rPr>
              <w:t>تکملة</w:t>
            </w:r>
            <w:r>
              <w:rPr>
                <w:rStyle w:val="IndexLink"/>
                <w:rtl w:val="true"/>
              </w:rPr>
              <w:tab/>
            </w:r>
            <w:r>
              <w:rPr>
                <w:rStyle w:val="IndexLink"/>
              </w:rPr>
              <w:t>282</w:t>
            </w:r>
          </w:hyperlink>
        </w:p>
        <w:p>
          <w:pPr>
            <w:pStyle w:val="Contents5"/>
            <w:tabs>
              <w:tab w:val="clear" w:pos="7892"/>
              <w:tab w:val="right" w:pos="9026" w:leader="dot"/>
            </w:tabs>
            <w:rPr/>
          </w:pPr>
          <w:hyperlink w:anchor="__RefHeading___Toc9696831_73709187">
            <w:r>
              <w:rPr>
                <w:webHidden/>
                <w:rStyle w:val="IndexLink"/>
                <w:rtl w:val="true"/>
              </w:rPr>
              <w:t>حوالة الصبیّ عند أهل السنّة</w:t>
            </w:r>
            <w:r>
              <w:rPr>
                <w:rStyle w:val="IndexLink"/>
                <w:rtl w:val="true"/>
              </w:rPr>
              <w:tab/>
            </w:r>
            <w:r>
              <w:rPr>
                <w:rStyle w:val="IndexLink"/>
              </w:rPr>
              <w:t>286</w:t>
            </w:r>
          </w:hyperlink>
        </w:p>
        <w:p>
          <w:pPr>
            <w:pStyle w:val="Contents4"/>
            <w:tabs>
              <w:tab w:val="clear" w:pos="8176"/>
              <w:tab w:val="right" w:pos="9026" w:leader="dot"/>
            </w:tabs>
            <w:rPr/>
          </w:pPr>
          <w:hyperlink w:anchor="__RefHeading___Toc9696833_73709187">
            <w:r>
              <w:rPr>
                <w:webHidden/>
                <w:rStyle w:val="IndexLink"/>
                <w:rtl w:val="true"/>
              </w:rPr>
              <w:t>المبحث الثالث</w:t>
            </w:r>
            <w:r>
              <w:rPr>
                <w:rStyle w:val="IndexLink"/>
                <w:rtl w:val="true"/>
              </w:rPr>
              <w:t>:</w:t>
              <w:tab/>
            </w:r>
            <w:r>
              <w:rPr>
                <w:rStyle w:val="IndexLink"/>
              </w:rPr>
              <w:t>288</w:t>
            </w:r>
          </w:hyperlink>
        </w:p>
        <w:p>
          <w:pPr>
            <w:pStyle w:val="Contents5"/>
            <w:tabs>
              <w:tab w:val="clear" w:pos="7892"/>
              <w:tab w:val="right" w:pos="9026" w:leader="dot"/>
            </w:tabs>
            <w:rPr/>
          </w:pPr>
          <w:hyperlink w:anchor="__RefHeading___Toc9696835_73709187">
            <w:r>
              <w:rPr>
                <w:webHidden/>
                <w:rStyle w:val="IndexLink"/>
                <w:rtl w:val="true"/>
              </w:rPr>
              <w:t>اشارة</w:t>
            </w:r>
            <w:r>
              <w:rPr>
                <w:rStyle w:val="IndexLink"/>
                <w:rtl w:val="true"/>
              </w:rPr>
              <w:tab/>
            </w:r>
            <w:r>
              <w:rPr>
                <w:rStyle w:val="IndexLink"/>
              </w:rPr>
              <w:t>288</w:t>
            </w:r>
          </w:hyperlink>
        </w:p>
        <w:p>
          <w:pPr>
            <w:pStyle w:val="Contents5"/>
            <w:tabs>
              <w:tab w:val="clear" w:pos="7892"/>
              <w:tab w:val="right" w:pos="9026" w:leader="dot"/>
            </w:tabs>
            <w:rPr/>
          </w:pPr>
          <w:hyperlink w:anchor="__RefHeading___Toc9696837_73709187">
            <w:r>
              <w:rPr>
                <w:webHidden/>
                <w:rStyle w:val="IndexLink"/>
                <w:rtl w:val="true"/>
              </w:rPr>
              <w:t>اعتبار البلوغ فی الکفیل</w:t>
            </w:r>
            <w:r>
              <w:rPr>
                <w:rStyle w:val="IndexLink"/>
                <w:rtl w:val="true"/>
              </w:rPr>
              <w:tab/>
            </w:r>
            <w:r>
              <w:rPr>
                <w:rStyle w:val="IndexLink"/>
              </w:rPr>
              <w:t>290</w:t>
            </w:r>
          </w:hyperlink>
        </w:p>
        <w:p>
          <w:pPr>
            <w:pStyle w:val="Contents5"/>
            <w:tabs>
              <w:tab w:val="clear" w:pos="7892"/>
              <w:tab w:val="right" w:pos="9026" w:leader="dot"/>
            </w:tabs>
            <w:rPr/>
          </w:pPr>
          <w:hyperlink w:anchor="__RefHeading___Toc9696839_73709187">
            <w:r>
              <w:rPr>
                <w:webHidden/>
                <w:rStyle w:val="IndexLink"/>
                <w:rtl w:val="true"/>
              </w:rPr>
              <w:t>أدلّة اشتراط البلوغ فی الکفیل</w:t>
            </w:r>
            <w:r>
              <w:rPr>
                <w:rStyle w:val="IndexLink"/>
                <w:rtl w:val="true"/>
              </w:rPr>
              <w:tab/>
            </w:r>
            <w:r>
              <w:rPr>
                <w:rStyle w:val="IndexLink"/>
              </w:rPr>
              <w:t>290</w:t>
            </w:r>
          </w:hyperlink>
        </w:p>
        <w:p>
          <w:pPr>
            <w:pStyle w:val="Contents5"/>
            <w:tabs>
              <w:tab w:val="clear" w:pos="7892"/>
              <w:tab w:val="right" w:pos="9026" w:leader="dot"/>
            </w:tabs>
            <w:rPr/>
          </w:pPr>
          <w:hyperlink w:anchor="__RefHeading___Toc9696841_73709187">
            <w:r>
              <w:rPr>
                <w:webHidden/>
                <w:rStyle w:val="IndexLink"/>
                <w:rtl w:val="true"/>
              </w:rPr>
              <w:t>کفالة الصبیّ عند أهل السنّة</w:t>
            </w:r>
            <w:r>
              <w:rPr>
                <w:rStyle w:val="IndexLink"/>
                <w:rtl w:val="true"/>
              </w:rPr>
              <w:tab/>
            </w:r>
            <w:r>
              <w:rPr>
                <w:rStyle w:val="IndexLink"/>
              </w:rPr>
              <w:t>293</w:t>
            </w:r>
          </w:hyperlink>
        </w:p>
        <w:p>
          <w:pPr>
            <w:pStyle w:val="Contents3"/>
            <w:tabs>
              <w:tab w:val="clear" w:pos="8459"/>
              <w:tab w:val="right" w:pos="9026" w:leader="dot"/>
            </w:tabs>
            <w:rPr/>
          </w:pPr>
          <w:hyperlink w:anchor="__RefHeading___Toc9696843_73709187">
            <w:r>
              <w:rPr>
                <w:webHidden/>
                <w:rStyle w:val="IndexLink"/>
                <w:rtl w:val="true"/>
              </w:rPr>
              <w:t>الفصل الثامن</w:t>
            </w:r>
            <w:r>
              <w:rPr>
                <w:rStyle w:val="IndexLink"/>
                <w:rtl w:val="true"/>
              </w:rPr>
              <w:t xml:space="preserve">: </w:t>
            </w:r>
            <w:r>
              <w:rPr>
                <w:rStyle w:val="IndexLink"/>
                <w:rtl w:val="true"/>
              </w:rPr>
              <w:t>صُلح الصبیّ</w:t>
            </w:r>
            <w:r>
              <w:rPr>
                <w:rStyle w:val="IndexLink"/>
                <w:rtl w:val="true"/>
              </w:rPr>
              <w:tab/>
            </w:r>
            <w:r>
              <w:rPr>
                <w:rStyle w:val="IndexLink"/>
              </w:rPr>
              <w:t>296</w:t>
            </w:r>
          </w:hyperlink>
        </w:p>
        <w:p>
          <w:pPr>
            <w:pStyle w:val="Contents4"/>
            <w:tabs>
              <w:tab w:val="clear" w:pos="8176"/>
              <w:tab w:val="right" w:pos="9026" w:leader="dot"/>
            </w:tabs>
            <w:rPr/>
          </w:pPr>
          <w:hyperlink w:anchor="__RefHeading___Toc9696845_73709187">
            <w:r>
              <w:rPr>
                <w:webHidden/>
                <w:rStyle w:val="IndexLink"/>
                <w:rtl w:val="true"/>
              </w:rPr>
              <w:t>الصلح لغةً و اصطلاحاً</w:t>
            </w:r>
            <w:r>
              <w:rPr>
                <w:rStyle w:val="IndexLink"/>
                <w:rtl w:val="true"/>
              </w:rPr>
              <w:tab/>
            </w:r>
            <w:r>
              <w:rPr>
                <w:rStyle w:val="IndexLink"/>
              </w:rPr>
              <w:t>296</w:t>
            </w:r>
          </w:hyperlink>
        </w:p>
        <w:p>
          <w:pPr>
            <w:pStyle w:val="Contents4"/>
            <w:tabs>
              <w:tab w:val="clear" w:pos="8176"/>
              <w:tab w:val="right" w:pos="9026" w:leader="dot"/>
            </w:tabs>
            <w:rPr/>
          </w:pPr>
          <w:hyperlink w:anchor="__RefHeading___Toc9696847_73709187">
            <w:r>
              <w:rPr>
                <w:webHidden/>
                <w:rStyle w:val="IndexLink"/>
                <w:rtl w:val="true"/>
              </w:rPr>
              <w:t>أرکانُ الصّلح</w:t>
            </w:r>
            <w:r>
              <w:rPr>
                <w:rStyle w:val="IndexLink"/>
                <w:rtl w:val="true"/>
              </w:rPr>
              <w:tab/>
            </w:r>
            <w:r>
              <w:rPr>
                <w:rStyle w:val="IndexLink"/>
              </w:rPr>
              <w:t>299</w:t>
            </w:r>
          </w:hyperlink>
        </w:p>
        <w:p>
          <w:pPr>
            <w:pStyle w:val="Contents4"/>
            <w:tabs>
              <w:tab w:val="clear" w:pos="8176"/>
              <w:tab w:val="right" w:pos="9026" w:leader="dot"/>
            </w:tabs>
            <w:rPr/>
          </w:pPr>
          <w:hyperlink w:anchor="__RefHeading___Toc9696849_73709187">
            <w:r>
              <w:rPr>
                <w:webHidden/>
                <w:rStyle w:val="IndexLink"/>
                <w:rtl w:val="true"/>
              </w:rPr>
              <w:t>أدلّة عدم جواز صلح الصبیّ‌</w:t>
            </w:r>
            <w:r>
              <w:rPr>
                <w:rStyle w:val="IndexLink"/>
                <w:rtl w:val="true"/>
              </w:rPr>
              <w:tab/>
            </w:r>
            <w:r>
              <w:rPr>
                <w:rStyle w:val="IndexLink"/>
              </w:rPr>
              <w:t>300</w:t>
            </w:r>
          </w:hyperlink>
        </w:p>
        <w:p>
          <w:pPr>
            <w:pStyle w:val="Contents4"/>
            <w:tabs>
              <w:tab w:val="clear" w:pos="8176"/>
              <w:tab w:val="right" w:pos="9026" w:leader="dot"/>
            </w:tabs>
            <w:rPr/>
          </w:pPr>
          <w:hyperlink w:anchor="__RefHeading___Toc9696851_73709187">
            <w:r>
              <w:rPr>
                <w:webHidden/>
                <w:rStyle w:val="IndexLink"/>
                <w:rtl w:val="true"/>
              </w:rPr>
              <w:t>صلح الصبیّ عند أهل السنّة</w:t>
            </w:r>
            <w:r>
              <w:rPr>
                <w:rStyle w:val="IndexLink"/>
                <w:rtl w:val="true"/>
              </w:rPr>
              <w:tab/>
            </w:r>
            <w:r>
              <w:rPr>
                <w:rStyle w:val="IndexLink"/>
              </w:rPr>
              <w:t>302</w:t>
            </w:r>
          </w:hyperlink>
        </w:p>
        <w:p>
          <w:pPr>
            <w:pStyle w:val="Contents5"/>
            <w:tabs>
              <w:tab w:val="clear" w:pos="7892"/>
              <w:tab w:val="right" w:pos="9026" w:leader="dot"/>
            </w:tabs>
            <w:rPr/>
          </w:pPr>
          <w:hyperlink w:anchor="__RefHeading___Toc9696853_73709187">
            <w:r>
              <w:rPr>
                <w:webHidden/>
                <w:rStyle w:val="IndexLink"/>
                <w:rtl w:val="true"/>
              </w:rPr>
              <w:t xml:space="preserve">أ </w:t>
            </w:r>
            <w:r>
              <w:rPr>
                <w:rStyle w:val="IndexLink"/>
                <w:rtl w:val="true"/>
              </w:rPr>
              <w:t xml:space="preserve">- </w:t>
            </w:r>
            <w:r>
              <w:rPr>
                <w:rStyle w:val="IndexLink"/>
                <w:rtl w:val="true"/>
              </w:rPr>
              <w:t>الحنفیّة</w:t>
            </w:r>
            <w:r>
              <w:rPr>
                <w:rStyle w:val="IndexLink"/>
                <w:rtl w:val="true"/>
              </w:rPr>
              <w:tab/>
            </w:r>
            <w:r>
              <w:rPr>
                <w:rStyle w:val="IndexLink"/>
              </w:rPr>
              <w:t>302</w:t>
            </w:r>
          </w:hyperlink>
        </w:p>
        <w:p>
          <w:pPr>
            <w:pStyle w:val="Contents5"/>
            <w:tabs>
              <w:tab w:val="clear" w:pos="7892"/>
              <w:tab w:val="right" w:pos="9026" w:leader="dot"/>
            </w:tabs>
            <w:rPr/>
          </w:pPr>
          <w:hyperlink w:anchor="__RefHeading___Toc9696855_73709187">
            <w:r>
              <w:rPr>
                <w:webHidden/>
                <w:rStyle w:val="IndexLink"/>
                <w:rtl w:val="true"/>
              </w:rPr>
              <w:t xml:space="preserve">ب </w:t>
            </w:r>
            <w:r>
              <w:rPr>
                <w:rStyle w:val="IndexLink"/>
                <w:rtl w:val="true"/>
              </w:rPr>
              <w:t xml:space="preserve">- </w:t>
            </w:r>
            <w:r>
              <w:rPr>
                <w:rStyle w:val="IndexLink"/>
                <w:rtl w:val="true"/>
              </w:rPr>
              <w:t>الحنابلة</w:t>
            </w:r>
            <w:r>
              <w:rPr>
                <w:rStyle w:val="IndexLink"/>
                <w:rtl w:val="true"/>
              </w:rPr>
              <w:tab/>
            </w:r>
            <w:r>
              <w:rPr>
                <w:rStyle w:val="IndexLink"/>
              </w:rPr>
              <w:t>303</w:t>
            </w:r>
          </w:hyperlink>
        </w:p>
        <w:p>
          <w:pPr>
            <w:pStyle w:val="Contents5"/>
            <w:tabs>
              <w:tab w:val="clear" w:pos="7892"/>
              <w:tab w:val="right" w:pos="9026" w:leader="dot"/>
            </w:tabs>
            <w:rPr/>
          </w:pPr>
          <w:hyperlink w:anchor="__RefHeading___Toc9696857_73709187">
            <w:r>
              <w:rPr>
                <w:webHidden/>
                <w:rStyle w:val="IndexLink"/>
                <w:rtl w:val="true"/>
              </w:rPr>
              <w:t xml:space="preserve">ج </w:t>
            </w:r>
            <w:r>
              <w:rPr>
                <w:rStyle w:val="IndexLink"/>
                <w:rtl w:val="true"/>
              </w:rPr>
              <w:t xml:space="preserve">- </w:t>
            </w:r>
            <w:r>
              <w:rPr>
                <w:rStyle w:val="IndexLink"/>
                <w:rtl w:val="true"/>
              </w:rPr>
              <w:t>الشافعیّة</w:t>
            </w:r>
            <w:r>
              <w:rPr>
                <w:rStyle w:val="IndexLink"/>
                <w:rtl w:val="true"/>
              </w:rPr>
              <w:tab/>
            </w:r>
            <w:r>
              <w:rPr>
                <w:rStyle w:val="IndexLink"/>
              </w:rPr>
              <w:t>304</w:t>
            </w:r>
          </w:hyperlink>
        </w:p>
        <w:p>
          <w:pPr>
            <w:pStyle w:val="Contents3"/>
            <w:tabs>
              <w:tab w:val="clear" w:pos="8459"/>
              <w:tab w:val="right" w:pos="9026" w:leader="dot"/>
            </w:tabs>
            <w:rPr/>
          </w:pPr>
          <w:hyperlink w:anchor="__RefHeading___Toc9696859_73709187">
            <w:r>
              <w:rPr>
                <w:webHidden/>
                <w:rStyle w:val="IndexLink"/>
                <w:rtl w:val="true"/>
              </w:rPr>
              <w:t>الفصل التاسع</w:t>
            </w:r>
            <w:r>
              <w:rPr>
                <w:rStyle w:val="IndexLink"/>
                <w:rtl w:val="true"/>
              </w:rPr>
              <w:t xml:space="preserve">: </w:t>
            </w:r>
            <w:r>
              <w:rPr>
                <w:rStyle w:val="IndexLink"/>
                <w:rtl w:val="true"/>
              </w:rPr>
              <w:t>شرکة الصبیّ</w:t>
            </w:r>
            <w:r>
              <w:rPr>
                <w:rStyle w:val="IndexLink"/>
                <w:rtl w:val="true"/>
              </w:rPr>
              <w:tab/>
            </w:r>
            <w:r>
              <w:rPr>
                <w:rStyle w:val="IndexLink"/>
              </w:rPr>
              <w:t>306</w:t>
            </w:r>
          </w:hyperlink>
        </w:p>
        <w:p>
          <w:pPr>
            <w:pStyle w:val="Contents4"/>
            <w:tabs>
              <w:tab w:val="clear" w:pos="8176"/>
              <w:tab w:val="right" w:pos="9026" w:leader="dot"/>
            </w:tabs>
            <w:rPr/>
          </w:pPr>
          <w:hyperlink w:anchor="__RefHeading___Toc9696861_73709187">
            <w:r>
              <w:rPr>
                <w:webHidden/>
                <w:rStyle w:val="IndexLink"/>
                <w:rtl w:val="true"/>
              </w:rPr>
              <w:t>الشرکة لغةً و اصطلاحاً</w:t>
            </w:r>
            <w:r>
              <w:rPr>
                <w:rStyle w:val="IndexLink"/>
                <w:rtl w:val="true"/>
              </w:rPr>
              <w:tab/>
            </w:r>
            <w:r>
              <w:rPr>
                <w:rStyle w:val="IndexLink"/>
              </w:rPr>
              <w:t>306</w:t>
            </w:r>
          </w:hyperlink>
        </w:p>
        <w:p>
          <w:pPr>
            <w:pStyle w:val="Contents4"/>
            <w:tabs>
              <w:tab w:val="clear" w:pos="8176"/>
              <w:tab w:val="right" w:pos="9026" w:leader="dot"/>
            </w:tabs>
            <w:rPr/>
          </w:pPr>
          <w:hyperlink w:anchor="__RefHeading___Toc9696863_73709187">
            <w:r>
              <w:rPr>
                <w:webHidden/>
                <w:rStyle w:val="IndexLink"/>
                <w:rtl w:val="true"/>
              </w:rPr>
              <w:t>أقسام شرکة الأملاک</w:t>
            </w:r>
            <w:r>
              <w:rPr>
                <w:rStyle w:val="IndexLink"/>
                <w:rtl w:val="true"/>
              </w:rPr>
              <w:tab/>
            </w:r>
            <w:r>
              <w:rPr>
                <w:rStyle w:val="IndexLink"/>
              </w:rPr>
              <w:t>309</w:t>
            </w:r>
          </w:hyperlink>
        </w:p>
        <w:p>
          <w:pPr>
            <w:pStyle w:val="Contents4"/>
            <w:tabs>
              <w:tab w:val="clear" w:pos="8176"/>
              <w:tab w:val="right" w:pos="9026" w:leader="dot"/>
            </w:tabs>
            <w:rPr/>
          </w:pPr>
          <w:hyperlink w:anchor="__RefHeading___Toc9696865_73709187">
            <w:r>
              <w:rPr>
                <w:webHidden/>
                <w:rStyle w:val="IndexLink"/>
                <w:rtl w:val="true"/>
              </w:rPr>
              <w:t>أسباب شرکة الأملاک</w:t>
            </w:r>
            <w:r>
              <w:rPr>
                <w:rStyle w:val="IndexLink"/>
                <w:rtl w:val="true"/>
              </w:rPr>
              <w:tab/>
            </w:r>
            <w:r>
              <w:rPr>
                <w:rStyle w:val="IndexLink"/>
              </w:rPr>
              <w:t>310</w:t>
            </w:r>
          </w:hyperlink>
        </w:p>
        <w:p>
          <w:pPr>
            <w:pStyle w:val="Contents4"/>
            <w:tabs>
              <w:tab w:val="clear" w:pos="8176"/>
              <w:tab w:val="right" w:pos="9026" w:leader="dot"/>
            </w:tabs>
            <w:rPr/>
          </w:pPr>
          <w:hyperlink w:anchor="__RefHeading___Toc9696867_73709187">
            <w:r>
              <w:rPr>
                <w:webHidden/>
                <w:rStyle w:val="IndexLink"/>
                <w:rtl w:val="true"/>
              </w:rPr>
              <w:t>أحکام شرکة الأملاک</w:t>
            </w:r>
            <w:r>
              <w:rPr>
                <w:rStyle w:val="IndexLink"/>
                <w:rtl w:val="true"/>
              </w:rPr>
              <w:tab/>
            </w:r>
            <w:r>
              <w:rPr>
                <w:rStyle w:val="IndexLink"/>
              </w:rPr>
              <w:t>310</w:t>
            </w:r>
          </w:hyperlink>
        </w:p>
        <w:p>
          <w:pPr>
            <w:pStyle w:val="Contents4"/>
            <w:tabs>
              <w:tab w:val="clear" w:pos="8176"/>
              <w:tab w:val="right" w:pos="9026" w:leader="dot"/>
            </w:tabs>
            <w:rPr/>
          </w:pPr>
          <w:hyperlink w:anchor="__RefHeading___Toc9696869_73709187">
            <w:r>
              <w:rPr>
                <w:webHidden/>
                <w:rStyle w:val="IndexLink"/>
                <w:rtl w:val="true"/>
              </w:rPr>
              <w:t>شرکة العقد</w:t>
            </w:r>
            <w:r>
              <w:rPr>
                <w:rStyle w:val="IndexLink"/>
                <w:rtl w:val="true"/>
              </w:rPr>
              <w:tab/>
            </w:r>
            <w:r>
              <w:rPr>
                <w:rStyle w:val="IndexLink"/>
              </w:rPr>
              <w:t>313</w:t>
            </w:r>
          </w:hyperlink>
        </w:p>
        <w:p>
          <w:pPr>
            <w:pStyle w:val="Contents4"/>
            <w:tabs>
              <w:tab w:val="clear" w:pos="8176"/>
              <w:tab w:val="right" w:pos="9026" w:leader="dot"/>
            </w:tabs>
            <w:rPr/>
          </w:pPr>
          <w:hyperlink w:anchor="__RefHeading___Toc9696871_73709187">
            <w:r>
              <w:rPr>
                <w:webHidden/>
                <w:rStyle w:val="IndexLink"/>
                <w:rtl w:val="true"/>
              </w:rPr>
              <w:t>عدم صحّة شرکة العنان من الصبیّ‌</w:t>
            </w:r>
            <w:r>
              <w:rPr>
                <w:rStyle w:val="IndexLink"/>
                <w:rtl w:val="true"/>
              </w:rPr>
              <w:tab/>
            </w:r>
            <w:r>
              <w:rPr>
                <w:rStyle w:val="IndexLink"/>
              </w:rPr>
              <w:t>316</w:t>
            </w:r>
          </w:hyperlink>
        </w:p>
        <w:p>
          <w:pPr>
            <w:pStyle w:val="Contents4"/>
            <w:tabs>
              <w:tab w:val="clear" w:pos="8176"/>
              <w:tab w:val="right" w:pos="9026" w:leader="dot"/>
            </w:tabs>
            <w:rPr/>
          </w:pPr>
          <w:hyperlink w:anchor="__RefHeading___Toc9696873_73709187">
            <w:r>
              <w:rPr>
                <w:webHidden/>
                <w:rStyle w:val="IndexLink"/>
                <w:rtl w:val="true"/>
              </w:rPr>
              <w:t>شرکة الصبیّ عند أهل السنّة</w:t>
            </w:r>
            <w:r>
              <w:rPr>
                <w:rStyle w:val="IndexLink"/>
                <w:rtl w:val="true"/>
              </w:rPr>
              <w:tab/>
            </w:r>
            <w:r>
              <w:rPr>
                <w:rStyle w:val="IndexLink"/>
              </w:rPr>
              <w:t>318</w:t>
            </w:r>
          </w:hyperlink>
        </w:p>
        <w:p>
          <w:pPr>
            <w:pStyle w:val="Contents5"/>
            <w:tabs>
              <w:tab w:val="clear" w:pos="7892"/>
              <w:tab w:val="right" w:pos="9026" w:leader="dot"/>
            </w:tabs>
            <w:rPr/>
          </w:pPr>
          <w:hyperlink w:anchor="__RefHeading___Toc9696875_73709187">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9696877_73709187">
            <w:r>
              <w:rPr>
                <w:webHidden/>
                <w:rStyle w:val="IndexLink"/>
                <w:rtl w:val="true"/>
              </w:rPr>
              <w:t xml:space="preserve">أ </w:t>
            </w:r>
            <w:r>
              <w:rPr>
                <w:rStyle w:val="IndexLink"/>
                <w:rtl w:val="true"/>
              </w:rPr>
              <w:t xml:space="preserve">- </w:t>
            </w:r>
            <w:r>
              <w:rPr>
                <w:rStyle w:val="IndexLink"/>
                <w:rtl w:val="true"/>
              </w:rPr>
              <w:t>الشافعیّة</w:t>
            </w:r>
            <w:r>
              <w:rPr>
                <w:rStyle w:val="IndexLink"/>
                <w:rtl w:val="true"/>
              </w:rPr>
              <w:tab/>
            </w:r>
            <w:r>
              <w:rPr>
                <w:rStyle w:val="IndexLink"/>
              </w:rPr>
              <w:t>319</w:t>
            </w:r>
          </w:hyperlink>
        </w:p>
        <w:p>
          <w:pPr>
            <w:pStyle w:val="Contents5"/>
            <w:tabs>
              <w:tab w:val="clear" w:pos="7892"/>
              <w:tab w:val="right" w:pos="9026" w:leader="dot"/>
            </w:tabs>
            <w:rPr/>
          </w:pPr>
          <w:hyperlink w:anchor="__RefHeading___Toc9696879_73709187">
            <w:r>
              <w:rPr>
                <w:webHidden/>
                <w:rStyle w:val="IndexLink"/>
                <w:rtl w:val="true"/>
              </w:rPr>
              <w:t xml:space="preserve">ب </w:t>
            </w:r>
            <w:r>
              <w:rPr>
                <w:rStyle w:val="IndexLink"/>
                <w:rtl w:val="true"/>
              </w:rPr>
              <w:t xml:space="preserve">- </w:t>
            </w:r>
            <w:r>
              <w:rPr>
                <w:rStyle w:val="IndexLink"/>
                <w:rtl w:val="true"/>
              </w:rPr>
              <w:t>المالکیّة</w:t>
            </w:r>
            <w:r>
              <w:rPr>
                <w:rStyle w:val="IndexLink"/>
                <w:rtl w:val="true"/>
              </w:rPr>
              <w:tab/>
            </w:r>
            <w:r>
              <w:rPr>
                <w:rStyle w:val="IndexLink"/>
              </w:rPr>
              <w:t>321</w:t>
            </w:r>
          </w:hyperlink>
        </w:p>
        <w:p>
          <w:pPr>
            <w:pStyle w:val="Contents5"/>
            <w:tabs>
              <w:tab w:val="clear" w:pos="7892"/>
              <w:tab w:val="right" w:pos="9026" w:leader="dot"/>
            </w:tabs>
            <w:rPr/>
          </w:pPr>
          <w:hyperlink w:anchor="__RefHeading___Toc9696881_73709187">
            <w:r>
              <w:rPr>
                <w:webHidden/>
                <w:rStyle w:val="IndexLink"/>
                <w:rtl w:val="true"/>
              </w:rPr>
              <w:t xml:space="preserve">ج </w:t>
            </w:r>
            <w:r>
              <w:rPr>
                <w:rStyle w:val="IndexLink"/>
                <w:rtl w:val="true"/>
              </w:rPr>
              <w:t xml:space="preserve">- </w:t>
            </w:r>
            <w:r>
              <w:rPr>
                <w:rStyle w:val="IndexLink"/>
                <w:rtl w:val="true"/>
              </w:rPr>
              <w:t>الحنفیّة</w:t>
            </w:r>
            <w:r>
              <w:rPr>
                <w:rStyle w:val="IndexLink"/>
                <w:rtl w:val="true"/>
              </w:rPr>
              <w:tab/>
            </w:r>
            <w:r>
              <w:rPr>
                <w:rStyle w:val="IndexLink"/>
              </w:rPr>
              <w:t>321</w:t>
            </w:r>
          </w:hyperlink>
        </w:p>
        <w:p>
          <w:pPr>
            <w:pStyle w:val="Contents5"/>
            <w:tabs>
              <w:tab w:val="clear" w:pos="7892"/>
              <w:tab w:val="right" w:pos="9026" w:leader="dot"/>
            </w:tabs>
            <w:rPr/>
          </w:pPr>
          <w:hyperlink w:anchor="__RefHeading___Toc9696883_73709187">
            <w:r>
              <w:rPr>
                <w:webHidden/>
                <w:rStyle w:val="IndexLink"/>
                <w:rtl w:val="true"/>
              </w:rPr>
              <w:t xml:space="preserve">د </w:t>
            </w:r>
            <w:r>
              <w:rPr>
                <w:rStyle w:val="IndexLink"/>
                <w:rtl w:val="true"/>
              </w:rPr>
              <w:t xml:space="preserve">- </w:t>
            </w:r>
            <w:r>
              <w:rPr>
                <w:rStyle w:val="IndexLink"/>
                <w:rtl w:val="true"/>
              </w:rPr>
              <w:t>الحنابلة</w:t>
            </w:r>
            <w:r>
              <w:rPr>
                <w:rStyle w:val="IndexLink"/>
                <w:rtl w:val="true"/>
              </w:rPr>
              <w:tab/>
            </w:r>
            <w:r>
              <w:rPr>
                <w:rStyle w:val="IndexLink"/>
              </w:rPr>
              <w:t>322</w:t>
            </w:r>
          </w:hyperlink>
        </w:p>
        <w:p>
          <w:pPr>
            <w:pStyle w:val="Contents3"/>
            <w:tabs>
              <w:tab w:val="clear" w:pos="8459"/>
              <w:tab w:val="right" w:pos="9026" w:leader="dot"/>
            </w:tabs>
            <w:rPr/>
          </w:pPr>
          <w:hyperlink w:anchor="__RefHeading___Toc9696885_73709187">
            <w:r>
              <w:rPr>
                <w:webHidden/>
                <w:rStyle w:val="IndexLink"/>
                <w:rtl w:val="true"/>
              </w:rPr>
              <w:t>الفصل العاشر</w:t>
            </w:r>
            <w:r>
              <w:rPr>
                <w:rStyle w:val="IndexLink"/>
                <w:rtl w:val="true"/>
              </w:rPr>
              <w:t xml:space="preserve">: </w:t>
            </w:r>
            <w:r>
              <w:rPr>
                <w:rStyle w:val="IndexLink"/>
                <w:rtl w:val="true"/>
              </w:rPr>
              <w:t>مضاربة الصبیّ</w:t>
            </w:r>
            <w:r>
              <w:rPr>
                <w:rStyle w:val="IndexLink"/>
                <w:rtl w:val="true"/>
              </w:rPr>
              <w:tab/>
            </w:r>
            <w:r>
              <w:rPr>
                <w:rStyle w:val="IndexLink"/>
              </w:rPr>
              <w:t>323</w:t>
            </w:r>
          </w:hyperlink>
        </w:p>
        <w:p>
          <w:pPr>
            <w:pStyle w:val="Contents4"/>
            <w:tabs>
              <w:tab w:val="clear" w:pos="8176"/>
              <w:tab w:val="right" w:pos="9026" w:leader="dot"/>
            </w:tabs>
            <w:rPr/>
          </w:pPr>
          <w:hyperlink w:anchor="__RefHeading___Toc9696887_73709187">
            <w:r>
              <w:rPr>
                <w:webHidden/>
                <w:rStyle w:val="IndexLink"/>
                <w:rtl w:val="true"/>
              </w:rPr>
              <w:t>المضاربة لغةً و اصطلاحاً</w:t>
            </w:r>
            <w:r>
              <w:rPr>
                <w:rStyle w:val="IndexLink"/>
                <w:rtl w:val="true"/>
              </w:rPr>
              <w:tab/>
            </w:r>
            <w:r>
              <w:rPr>
                <w:rStyle w:val="IndexLink"/>
              </w:rPr>
              <w:t>323</w:t>
            </w:r>
          </w:hyperlink>
        </w:p>
        <w:p>
          <w:pPr>
            <w:pStyle w:val="Contents4"/>
            <w:tabs>
              <w:tab w:val="clear" w:pos="8176"/>
              <w:tab w:val="right" w:pos="9026" w:leader="dot"/>
            </w:tabs>
            <w:rPr/>
          </w:pPr>
          <w:hyperlink w:anchor="__RefHeading___Toc9696889_73709187">
            <w:r>
              <w:rPr>
                <w:webHidden/>
                <w:rStyle w:val="IndexLink"/>
                <w:rtl w:val="true"/>
              </w:rPr>
              <w:t>أدلّة عدم جواز مضاربة الصبیّ‌</w:t>
            </w:r>
            <w:r>
              <w:rPr>
                <w:rStyle w:val="IndexLink"/>
                <w:rtl w:val="true"/>
              </w:rPr>
              <w:tab/>
            </w:r>
            <w:r>
              <w:rPr>
                <w:rStyle w:val="IndexLink"/>
              </w:rPr>
              <w:t>325</w:t>
            </w:r>
          </w:hyperlink>
        </w:p>
        <w:p>
          <w:pPr>
            <w:pStyle w:val="Contents4"/>
            <w:tabs>
              <w:tab w:val="clear" w:pos="8176"/>
              <w:tab w:val="right" w:pos="9026" w:leader="dot"/>
            </w:tabs>
            <w:rPr/>
          </w:pPr>
          <w:hyperlink w:anchor="__RefHeading___Toc9696891_73709187">
            <w:r>
              <w:rPr>
                <w:webHidden/>
                <w:rStyle w:val="IndexLink"/>
                <w:rtl w:val="true"/>
              </w:rPr>
              <w:t>مضاربة الصبیّ عند أهل السنّة</w:t>
            </w:r>
            <w:r>
              <w:rPr>
                <w:rStyle w:val="IndexLink"/>
                <w:rtl w:val="true"/>
              </w:rPr>
              <w:tab/>
            </w:r>
            <w:r>
              <w:rPr>
                <w:rStyle w:val="IndexLink"/>
              </w:rPr>
              <w:t>327</w:t>
            </w:r>
          </w:hyperlink>
        </w:p>
        <w:p>
          <w:pPr>
            <w:pStyle w:val="Contents3"/>
            <w:tabs>
              <w:tab w:val="clear" w:pos="8459"/>
              <w:tab w:val="right" w:pos="9026" w:leader="dot"/>
            </w:tabs>
            <w:rPr/>
          </w:pPr>
          <w:hyperlink w:anchor="__RefHeading___Toc9696893_73709187">
            <w:r>
              <w:rPr>
                <w:webHidden/>
                <w:rStyle w:val="IndexLink"/>
                <w:rtl w:val="true"/>
              </w:rPr>
              <w:t>الفصل الحادی عشر</w:t>
            </w:r>
            <w:r>
              <w:rPr>
                <w:rStyle w:val="IndexLink"/>
                <w:rtl w:val="true"/>
              </w:rPr>
              <w:t xml:space="preserve">: </w:t>
            </w:r>
            <w:r>
              <w:rPr>
                <w:rStyle w:val="IndexLink"/>
                <w:rtl w:val="true"/>
              </w:rPr>
              <w:t>مزارعة الصبیّ</w:t>
            </w:r>
            <w:r>
              <w:rPr>
                <w:rStyle w:val="IndexLink"/>
                <w:rtl w:val="true"/>
              </w:rPr>
              <w:tab/>
            </w:r>
            <w:r>
              <w:rPr>
                <w:rStyle w:val="IndexLink"/>
              </w:rPr>
              <w:t>331</w:t>
            </w:r>
          </w:hyperlink>
        </w:p>
        <w:p>
          <w:pPr>
            <w:pStyle w:val="Contents4"/>
            <w:tabs>
              <w:tab w:val="clear" w:pos="8176"/>
              <w:tab w:val="right" w:pos="9026" w:leader="dot"/>
            </w:tabs>
            <w:rPr/>
          </w:pPr>
          <w:hyperlink w:anchor="__RefHeading___Toc9696895_73709187">
            <w:r>
              <w:rPr>
                <w:webHidden/>
                <w:rStyle w:val="IndexLink"/>
                <w:rtl w:val="true"/>
              </w:rPr>
              <w:t>المزارعة لغةً و اصطلاحاً</w:t>
            </w:r>
            <w:r>
              <w:rPr>
                <w:rStyle w:val="IndexLink"/>
                <w:rtl w:val="true"/>
              </w:rPr>
              <w:tab/>
            </w:r>
            <w:r>
              <w:rPr>
                <w:rStyle w:val="IndexLink"/>
              </w:rPr>
              <w:t>331</w:t>
            </w:r>
          </w:hyperlink>
        </w:p>
        <w:p>
          <w:pPr>
            <w:pStyle w:val="Contents4"/>
            <w:tabs>
              <w:tab w:val="clear" w:pos="8176"/>
              <w:tab w:val="right" w:pos="9026" w:leader="dot"/>
            </w:tabs>
            <w:rPr/>
          </w:pPr>
          <w:hyperlink w:anchor="__RefHeading___Toc9696897_73709187">
            <w:r>
              <w:rPr>
                <w:webHidden/>
                <w:rStyle w:val="IndexLink"/>
                <w:rtl w:val="true"/>
              </w:rPr>
              <w:t xml:space="preserve">فرع </w:t>
            </w:r>
            <w:r>
              <w:rPr>
                <w:rStyle w:val="IndexLink"/>
                <w:rtl w:val="true"/>
              </w:rPr>
              <w:t xml:space="preserve">- </w:t>
            </w:r>
            <w:r>
              <w:rPr>
                <w:rStyle w:val="IndexLink"/>
                <w:rtl w:val="true"/>
              </w:rPr>
              <w:t>فی بیان حکم المزارعة الفاسدة</w:t>
            </w:r>
            <w:r>
              <w:rPr>
                <w:rStyle w:val="IndexLink"/>
                <w:rtl w:val="true"/>
              </w:rPr>
              <w:tab/>
            </w:r>
            <w:r>
              <w:rPr>
                <w:rStyle w:val="IndexLink"/>
              </w:rPr>
              <w:t>335</w:t>
            </w:r>
          </w:hyperlink>
        </w:p>
        <w:p>
          <w:pPr>
            <w:pStyle w:val="Contents4"/>
            <w:tabs>
              <w:tab w:val="clear" w:pos="8176"/>
              <w:tab w:val="right" w:pos="9026" w:leader="dot"/>
            </w:tabs>
            <w:rPr/>
          </w:pPr>
          <w:hyperlink w:anchor="__RefHeading___Toc9696899_73709187">
            <w:r>
              <w:rPr>
                <w:webHidden/>
                <w:rStyle w:val="IndexLink"/>
                <w:rtl w:val="true"/>
              </w:rPr>
              <w:t>مزارعة الصبیّ عند أهل السنّة</w:t>
            </w:r>
            <w:r>
              <w:rPr>
                <w:rStyle w:val="IndexLink"/>
                <w:rtl w:val="true"/>
              </w:rPr>
              <w:tab/>
            </w:r>
            <w:r>
              <w:rPr>
                <w:rStyle w:val="IndexLink"/>
              </w:rPr>
              <w:t>337</w:t>
            </w:r>
          </w:hyperlink>
        </w:p>
        <w:p>
          <w:pPr>
            <w:pStyle w:val="Contents3"/>
            <w:tabs>
              <w:tab w:val="clear" w:pos="8459"/>
              <w:tab w:val="right" w:pos="9026" w:leader="dot"/>
            </w:tabs>
            <w:rPr/>
          </w:pPr>
          <w:hyperlink w:anchor="__RefHeading___Toc9696901_73709187">
            <w:r>
              <w:rPr>
                <w:webHidden/>
                <w:rStyle w:val="IndexLink"/>
                <w:rtl w:val="true"/>
              </w:rPr>
              <w:t>الفصل الثانی عشر</w:t>
            </w:r>
            <w:r>
              <w:rPr>
                <w:rStyle w:val="IndexLink"/>
                <w:rtl w:val="true"/>
              </w:rPr>
              <w:t xml:space="preserve">: </w:t>
            </w:r>
            <w:r>
              <w:rPr>
                <w:rStyle w:val="IndexLink"/>
                <w:rtl w:val="true"/>
              </w:rPr>
              <w:t>ودیعة الصبیّ</w:t>
            </w:r>
            <w:r>
              <w:rPr>
                <w:rStyle w:val="IndexLink"/>
                <w:rtl w:val="true"/>
              </w:rPr>
              <w:tab/>
            </w:r>
            <w:r>
              <w:rPr>
                <w:rStyle w:val="IndexLink"/>
              </w:rPr>
              <w:t>340</w:t>
            </w:r>
          </w:hyperlink>
        </w:p>
        <w:p>
          <w:pPr>
            <w:pStyle w:val="Contents4"/>
            <w:tabs>
              <w:tab w:val="clear" w:pos="8176"/>
              <w:tab w:val="right" w:pos="9026" w:leader="dot"/>
            </w:tabs>
            <w:rPr/>
          </w:pPr>
          <w:hyperlink w:anchor="__RefHeading___Toc9696903_73709187">
            <w:r>
              <w:rPr>
                <w:webHidden/>
                <w:rStyle w:val="IndexLink"/>
                <w:rtl w:val="true"/>
              </w:rPr>
              <w:t>الودیعة لغةً و شرعاً</w:t>
            </w:r>
            <w:r>
              <w:rPr>
                <w:rStyle w:val="IndexLink"/>
                <w:rtl w:val="true"/>
              </w:rPr>
              <w:tab/>
            </w:r>
            <w:r>
              <w:rPr>
                <w:rStyle w:val="IndexLink"/>
              </w:rPr>
              <w:t>340</w:t>
            </w:r>
          </w:hyperlink>
        </w:p>
        <w:p>
          <w:pPr>
            <w:pStyle w:val="Contents4"/>
            <w:tabs>
              <w:tab w:val="clear" w:pos="8176"/>
              <w:tab w:val="right" w:pos="9026" w:leader="dot"/>
            </w:tabs>
            <w:rPr/>
          </w:pPr>
          <w:hyperlink w:anchor="__RefHeading___Toc9696905_73709187">
            <w:r>
              <w:rPr>
                <w:webHidden/>
                <w:rStyle w:val="IndexLink"/>
                <w:rtl w:val="true"/>
              </w:rPr>
              <w:t>إیضاح</w:t>
            </w:r>
            <w:r>
              <w:rPr>
                <w:rStyle w:val="IndexLink"/>
                <w:rtl w:val="true"/>
              </w:rPr>
              <w:tab/>
            </w:r>
            <w:r>
              <w:rPr>
                <w:rStyle w:val="IndexLink"/>
              </w:rPr>
              <w:t>343</w:t>
            </w:r>
          </w:hyperlink>
        </w:p>
        <w:p>
          <w:pPr>
            <w:pStyle w:val="Contents4"/>
            <w:tabs>
              <w:tab w:val="clear" w:pos="8176"/>
              <w:tab w:val="right" w:pos="9026" w:leader="dot"/>
            </w:tabs>
            <w:rPr/>
          </w:pPr>
          <w:hyperlink w:anchor="__RefHeading___Toc9696907_73709187">
            <w:r>
              <w:rPr>
                <w:webHidden/>
                <w:rStyle w:val="IndexLink"/>
                <w:rtl w:val="true"/>
              </w:rPr>
              <w:t>إیداع الصبیّ یوجب ضمان المستودع</w:t>
            </w:r>
            <w:r>
              <w:rPr>
                <w:rStyle w:val="IndexLink"/>
                <w:rtl w:val="true"/>
              </w:rPr>
              <w:tab/>
            </w:r>
            <w:r>
              <w:rPr>
                <w:rStyle w:val="IndexLink"/>
              </w:rPr>
              <w:t>344</w:t>
            </w:r>
          </w:hyperlink>
        </w:p>
        <w:p>
          <w:pPr>
            <w:pStyle w:val="Contents5"/>
            <w:tabs>
              <w:tab w:val="clear" w:pos="7892"/>
              <w:tab w:val="right" w:pos="9026" w:leader="dot"/>
            </w:tabs>
            <w:rPr/>
          </w:pPr>
          <w:hyperlink w:anchor="__RefHeading___Toc9696909_73709187">
            <w:r>
              <w:rPr>
                <w:webHidden/>
                <w:rStyle w:val="IndexLink"/>
                <w:rtl w:val="true"/>
              </w:rPr>
              <w:t>اشارة</w:t>
            </w:r>
            <w:r>
              <w:rPr>
                <w:rStyle w:val="IndexLink"/>
                <w:rtl w:val="true"/>
              </w:rPr>
              <w:tab/>
            </w:r>
            <w:r>
              <w:rPr>
                <w:rStyle w:val="IndexLink"/>
              </w:rPr>
              <w:t>344</w:t>
            </w:r>
          </w:hyperlink>
        </w:p>
        <w:p>
          <w:pPr>
            <w:pStyle w:val="Contents5"/>
            <w:tabs>
              <w:tab w:val="clear" w:pos="7892"/>
              <w:tab w:val="right" w:pos="9026" w:leader="dot"/>
            </w:tabs>
            <w:rPr/>
          </w:pPr>
          <w:hyperlink w:anchor="__RefHeading___Toc9696911_73709187">
            <w:r>
              <w:rPr>
                <w:webHidden/>
                <w:rStyle w:val="IndexLink"/>
                <w:rtl w:val="true"/>
              </w:rPr>
              <w:t>عدم ضمان المستودع إذا خاف التّلف</w:t>
            </w:r>
            <w:r>
              <w:rPr>
                <w:rStyle w:val="IndexLink"/>
                <w:rtl w:val="true"/>
              </w:rPr>
              <w:tab/>
            </w:r>
            <w:r>
              <w:rPr>
                <w:rStyle w:val="IndexLink"/>
              </w:rPr>
              <w:t>346</w:t>
            </w:r>
          </w:hyperlink>
        </w:p>
        <w:p>
          <w:pPr>
            <w:pStyle w:val="Contents5"/>
            <w:tabs>
              <w:tab w:val="clear" w:pos="7892"/>
              <w:tab w:val="right" w:pos="9026" w:leader="dot"/>
            </w:tabs>
            <w:rPr/>
          </w:pPr>
          <w:hyperlink w:anchor="__RefHeading___Toc9696913_73709187">
            <w:r>
              <w:rPr>
                <w:webHidden/>
                <w:rStyle w:val="IndexLink"/>
                <w:rtl w:val="true"/>
              </w:rPr>
              <w:t>عدم ضمان الصبیّ بتلف الودیعة</w:t>
            </w:r>
            <w:r>
              <w:rPr>
                <w:rStyle w:val="IndexLink"/>
                <w:rtl w:val="true"/>
              </w:rPr>
              <w:tab/>
            </w:r>
            <w:r>
              <w:rPr>
                <w:rStyle w:val="IndexLink"/>
              </w:rPr>
              <w:t>347</w:t>
            </w:r>
          </w:hyperlink>
        </w:p>
        <w:p>
          <w:pPr>
            <w:pStyle w:val="Contents4"/>
            <w:tabs>
              <w:tab w:val="clear" w:pos="8176"/>
              <w:tab w:val="right" w:pos="9026" w:leader="dot"/>
            </w:tabs>
            <w:rPr/>
          </w:pPr>
          <w:hyperlink w:anchor="__RefHeading___Toc9696915_73709187">
            <w:r>
              <w:rPr>
                <w:webHidden/>
                <w:rStyle w:val="IndexLink"/>
                <w:rtl w:val="true"/>
              </w:rPr>
              <w:t>ودیعة الصبیّ عند أهل السنّة</w:t>
            </w:r>
            <w:r>
              <w:rPr>
                <w:rStyle w:val="IndexLink"/>
                <w:rtl w:val="true"/>
              </w:rPr>
              <w:tab/>
            </w:r>
            <w:r>
              <w:rPr>
                <w:rStyle w:val="IndexLink"/>
              </w:rPr>
              <w:t>352</w:t>
            </w:r>
          </w:hyperlink>
        </w:p>
        <w:p>
          <w:pPr>
            <w:pStyle w:val="Contents3"/>
            <w:tabs>
              <w:tab w:val="clear" w:pos="8459"/>
              <w:tab w:val="right" w:pos="9026" w:leader="dot"/>
            </w:tabs>
            <w:rPr/>
          </w:pPr>
          <w:hyperlink w:anchor="__RefHeading___Toc9696917_73709187">
            <w:r>
              <w:rPr>
                <w:webHidden/>
                <w:rStyle w:val="IndexLink"/>
                <w:rtl w:val="true"/>
              </w:rPr>
              <w:t>الفصل الثالث عشر</w:t>
            </w:r>
            <w:r>
              <w:rPr>
                <w:rStyle w:val="IndexLink"/>
                <w:rtl w:val="true"/>
              </w:rPr>
              <w:t xml:space="preserve">: </w:t>
            </w:r>
            <w:r>
              <w:rPr>
                <w:rStyle w:val="IndexLink"/>
                <w:rtl w:val="true"/>
              </w:rPr>
              <w:t>عاریة الصبیّ</w:t>
            </w:r>
            <w:r>
              <w:rPr>
                <w:rStyle w:val="IndexLink"/>
                <w:rtl w:val="true"/>
              </w:rPr>
              <w:tab/>
            </w:r>
            <w:r>
              <w:rPr>
                <w:rStyle w:val="IndexLink"/>
              </w:rPr>
              <w:t>355</w:t>
            </w:r>
          </w:hyperlink>
        </w:p>
        <w:p>
          <w:pPr>
            <w:pStyle w:val="Contents4"/>
            <w:tabs>
              <w:tab w:val="clear" w:pos="8176"/>
              <w:tab w:val="right" w:pos="9026" w:leader="dot"/>
            </w:tabs>
            <w:rPr/>
          </w:pPr>
          <w:hyperlink w:anchor="__RefHeading___Toc9696919_73709187">
            <w:r>
              <w:rPr>
                <w:webHidden/>
                <w:rStyle w:val="IndexLink"/>
                <w:rtl w:val="true"/>
              </w:rPr>
              <w:t>العاریة لغةً و اصطلاحاً</w:t>
            </w:r>
            <w:r>
              <w:rPr>
                <w:rStyle w:val="IndexLink"/>
                <w:rtl w:val="true"/>
              </w:rPr>
              <w:tab/>
            </w:r>
            <w:r>
              <w:rPr>
                <w:rStyle w:val="IndexLink"/>
              </w:rPr>
              <w:t>355</w:t>
            </w:r>
          </w:hyperlink>
        </w:p>
        <w:p>
          <w:pPr>
            <w:pStyle w:val="Contents4"/>
            <w:tabs>
              <w:tab w:val="clear" w:pos="8176"/>
              <w:tab w:val="right" w:pos="9026" w:leader="dot"/>
            </w:tabs>
            <w:rPr/>
          </w:pPr>
          <w:hyperlink w:anchor="__RefHeading___Toc9696921_73709187">
            <w:r>
              <w:rPr>
                <w:webHidden/>
                <w:rStyle w:val="IndexLink"/>
                <w:rtl w:val="true"/>
              </w:rPr>
              <w:t>شروط الإعارة</w:t>
            </w:r>
            <w:r>
              <w:rPr>
                <w:rStyle w:val="IndexLink"/>
                <w:rtl w:val="true"/>
              </w:rPr>
              <w:tab/>
            </w:r>
            <w:r>
              <w:rPr>
                <w:rStyle w:val="IndexLink"/>
              </w:rPr>
              <w:t>357</w:t>
            </w:r>
          </w:hyperlink>
        </w:p>
        <w:p>
          <w:pPr>
            <w:pStyle w:val="Contents4"/>
            <w:tabs>
              <w:tab w:val="clear" w:pos="8176"/>
              <w:tab w:val="right" w:pos="9026" w:leader="dot"/>
            </w:tabs>
            <w:rPr/>
          </w:pPr>
          <w:hyperlink w:anchor="__RefHeading___Toc9696923_73709187">
            <w:r>
              <w:rPr>
                <w:webHidden/>
                <w:rStyle w:val="IndexLink"/>
                <w:rtl w:val="true"/>
              </w:rPr>
              <w:t>صحّة إعارة الصبیّ‌</w:t>
            </w:r>
            <w:r>
              <w:rPr>
                <w:rStyle w:val="IndexLink"/>
                <w:rtl w:val="true"/>
              </w:rPr>
              <w:tab/>
            </w:r>
            <w:r>
              <w:rPr>
                <w:rStyle w:val="IndexLink"/>
              </w:rPr>
              <w:t>358</w:t>
            </w:r>
          </w:hyperlink>
        </w:p>
        <w:p>
          <w:pPr>
            <w:pStyle w:val="Contents4"/>
            <w:tabs>
              <w:tab w:val="clear" w:pos="8176"/>
              <w:tab w:val="right" w:pos="9026" w:leader="dot"/>
            </w:tabs>
            <w:rPr/>
          </w:pPr>
          <w:hyperlink w:anchor="__RefHeading___Toc9696925_73709187">
            <w:r>
              <w:rPr>
                <w:webHidden/>
                <w:rStyle w:val="IndexLink"/>
                <w:rtl w:val="true"/>
              </w:rPr>
              <w:t>تکملة</w:t>
            </w:r>
            <w:r>
              <w:rPr>
                <w:rStyle w:val="IndexLink"/>
                <w:rtl w:val="true"/>
              </w:rPr>
              <w:tab/>
            </w:r>
            <w:r>
              <w:rPr>
                <w:rStyle w:val="IndexLink"/>
              </w:rPr>
              <w:t>362</w:t>
            </w:r>
          </w:hyperlink>
        </w:p>
        <w:p>
          <w:pPr>
            <w:pStyle w:val="Contents4"/>
            <w:tabs>
              <w:tab w:val="clear" w:pos="8176"/>
              <w:tab w:val="right" w:pos="9026" w:leader="dot"/>
            </w:tabs>
            <w:rPr/>
          </w:pPr>
          <w:hyperlink w:anchor="__RefHeading___Toc9696927_73709187">
            <w:r>
              <w:rPr>
                <w:webHidden/>
                <w:rStyle w:val="IndexLink"/>
                <w:rtl w:val="true"/>
              </w:rPr>
              <w:t>عاریة الصبیّ عند أهل السنّة</w:t>
            </w:r>
            <w:r>
              <w:rPr>
                <w:rStyle w:val="IndexLink"/>
                <w:rtl w:val="true"/>
              </w:rPr>
              <w:tab/>
            </w:r>
            <w:r>
              <w:rPr>
                <w:rStyle w:val="IndexLink"/>
              </w:rPr>
              <w:t>363</w:t>
            </w:r>
          </w:hyperlink>
        </w:p>
        <w:p>
          <w:pPr>
            <w:pStyle w:val="Contents3"/>
            <w:tabs>
              <w:tab w:val="clear" w:pos="8459"/>
              <w:tab w:val="right" w:pos="9026" w:leader="dot"/>
            </w:tabs>
            <w:rPr/>
          </w:pPr>
          <w:hyperlink w:anchor="__RefHeading___Toc9696929_73709187">
            <w:r>
              <w:rPr>
                <w:webHidden/>
                <w:rStyle w:val="IndexLink"/>
                <w:rtl w:val="true"/>
              </w:rPr>
              <w:t>الفصل الرابع عشر</w:t>
            </w:r>
            <w:r>
              <w:rPr>
                <w:rStyle w:val="IndexLink"/>
                <w:rtl w:val="true"/>
              </w:rPr>
              <w:t xml:space="preserve">: </w:t>
            </w:r>
            <w:r>
              <w:rPr>
                <w:rStyle w:val="IndexLink"/>
                <w:rtl w:val="true"/>
              </w:rPr>
              <w:t>إجارة الصبیّ</w:t>
            </w:r>
            <w:r>
              <w:rPr>
                <w:rStyle w:val="IndexLink"/>
                <w:rtl w:val="true"/>
              </w:rPr>
              <w:tab/>
            </w:r>
            <w:r>
              <w:rPr>
                <w:rStyle w:val="IndexLink"/>
              </w:rPr>
              <w:t>365</w:t>
            </w:r>
          </w:hyperlink>
        </w:p>
        <w:p>
          <w:pPr>
            <w:pStyle w:val="Contents4"/>
            <w:tabs>
              <w:tab w:val="clear" w:pos="8176"/>
              <w:tab w:val="right" w:pos="9026" w:leader="dot"/>
            </w:tabs>
            <w:rPr/>
          </w:pPr>
          <w:hyperlink w:anchor="__RefHeading___Toc9696931_73709187">
            <w:r>
              <w:rPr>
                <w:webHidden/>
                <w:rStyle w:val="IndexLink"/>
                <w:rtl w:val="true"/>
              </w:rPr>
              <w:t>تعریف الإجارة</w:t>
            </w:r>
            <w:r>
              <w:rPr>
                <w:rStyle w:val="IndexLink"/>
                <w:rtl w:val="true"/>
              </w:rPr>
              <w:tab/>
            </w:r>
            <w:r>
              <w:rPr>
                <w:rStyle w:val="IndexLink"/>
              </w:rPr>
              <w:t>365</w:t>
            </w:r>
          </w:hyperlink>
        </w:p>
        <w:p>
          <w:pPr>
            <w:pStyle w:val="Contents5"/>
            <w:tabs>
              <w:tab w:val="clear" w:pos="7892"/>
              <w:tab w:val="right" w:pos="9026" w:leader="dot"/>
            </w:tabs>
            <w:rPr/>
          </w:pPr>
          <w:hyperlink w:anchor="__RefHeading___Toc9696933_73709187">
            <w:r>
              <w:rPr>
                <w:webHidden/>
                <w:rStyle w:val="IndexLink"/>
                <w:rtl w:val="true"/>
              </w:rPr>
              <w:t>اشارة</w:t>
            </w:r>
            <w:r>
              <w:rPr>
                <w:rStyle w:val="IndexLink"/>
                <w:rtl w:val="true"/>
              </w:rPr>
              <w:tab/>
            </w:r>
            <w:r>
              <w:rPr>
                <w:rStyle w:val="IndexLink"/>
              </w:rPr>
              <w:t>365</w:t>
            </w:r>
          </w:hyperlink>
        </w:p>
        <w:p>
          <w:pPr>
            <w:pStyle w:val="Contents5"/>
            <w:tabs>
              <w:tab w:val="clear" w:pos="7892"/>
              <w:tab w:val="right" w:pos="9026" w:leader="dot"/>
            </w:tabs>
            <w:rPr/>
          </w:pPr>
          <w:hyperlink w:anchor="__RefHeading___Toc9696935_73709187">
            <w:r>
              <w:rPr>
                <w:webHidden/>
                <w:rStyle w:val="IndexLink"/>
                <w:rtl w:val="true"/>
              </w:rPr>
              <w:t>المقام الأوّل</w:t>
            </w:r>
            <w:r>
              <w:rPr>
                <w:rStyle w:val="IndexLink"/>
                <w:rtl w:val="true"/>
              </w:rPr>
              <w:t xml:space="preserve">: </w:t>
            </w:r>
            <w:r>
              <w:rPr>
                <w:rStyle w:val="IndexLink"/>
                <w:rtl w:val="true"/>
              </w:rPr>
              <w:t>إیجار الصبیّ منافع الأعیان</w:t>
            </w:r>
            <w:r>
              <w:rPr>
                <w:rStyle w:val="IndexLink"/>
                <w:rtl w:val="true"/>
              </w:rPr>
              <w:tab/>
            </w:r>
            <w:r>
              <w:rPr>
                <w:rStyle w:val="IndexLink"/>
              </w:rPr>
              <w:t>366</w:t>
            </w:r>
          </w:hyperlink>
        </w:p>
        <w:p>
          <w:pPr>
            <w:pStyle w:val="Contents6"/>
            <w:tabs>
              <w:tab w:val="clear" w:pos="7609"/>
              <w:tab w:val="right" w:pos="9026" w:leader="dot"/>
            </w:tabs>
            <w:rPr/>
          </w:pPr>
          <w:hyperlink w:anchor="__RefHeading___Toc9696937_73709187">
            <w:r>
              <w:rPr>
                <w:webHidden/>
                <w:rStyle w:val="IndexLink"/>
                <w:rtl w:val="true"/>
              </w:rPr>
              <w:t>اشارة</w:t>
            </w:r>
            <w:r>
              <w:rPr>
                <w:rStyle w:val="IndexLink"/>
                <w:rtl w:val="true"/>
              </w:rPr>
              <w:tab/>
            </w:r>
            <w:r>
              <w:rPr>
                <w:rStyle w:val="IndexLink"/>
              </w:rPr>
              <w:t>366</w:t>
            </w:r>
          </w:hyperlink>
        </w:p>
        <w:p>
          <w:pPr>
            <w:pStyle w:val="Contents6"/>
            <w:tabs>
              <w:tab w:val="clear" w:pos="7609"/>
              <w:tab w:val="right" w:pos="9026" w:leader="dot"/>
            </w:tabs>
            <w:rPr/>
          </w:pPr>
          <w:hyperlink w:anchor="__RefHeading___Toc9696939_73709187">
            <w:r>
              <w:rPr>
                <w:webHidden/>
                <w:rStyle w:val="IndexLink"/>
                <w:rtl w:val="true"/>
              </w:rPr>
              <w:t>القول الأوّل</w:t>
            </w:r>
            <w:r>
              <w:rPr>
                <w:rStyle w:val="IndexLink"/>
                <w:rtl w:val="true"/>
              </w:rPr>
              <w:t xml:space="preserve">: </w:t>
            </w:r>
            <w:r>
              <w:rPr>
                <w:rStyle w:val="IndexLink"/>
                <w:rtl w:val="true"/>
              </w:rPr>
              <w:t>بطلانها</w:t>
            </w:r>
            <w:r>
              <w:rPr>
                <w:rStyle w:val="IndexLink"/>
                <w:rtl w:val="true"/>
              </w:rPr>
              <w:t>:</w:t>
              <w:tab/>
            </w:r>
            <w:r>
              <w:rPr>
                <w:rStyle w:val="IndexLink"/>
              </w:rPr>
              <w:t>367</w:t>
            </w:r>
          </w:hyperlink>
        </w:p>
        <w:p>
          <w:pPr>
            <w:pStyle w:val="Contents6"/>
            <w:tabs>
              <w:tab w:val="clear" w:pos="7609"/>
              <w:tab w:val="right" w:pos="9026" w:leader="dot"/>
            </w:tabs>
            <w:rPr/>
          </w:pPr>
          <w:hyperlink w:anchor="__RefHeading___Toc9696941_73709187">
            <w:r>
              <w:rPr>
                <w:webHidden/>
                <w:rStyle w:val="IndexLink"/>
                <w:rtl w:val="true"/>
              </w:rPr>
              <w:t>القول الثانی التردّد فی الحکم</w:t>
            </w:r>
            <w:r>
              <w:rPr>
                <w:rStyle w:val="IndexLink"/>
                <w:rtl w:val="true"/>
              </w:rPr>
              <w:t>:</w:t>
              <w:tab/>
            </w:r>
            <w:r>
              <w:rPr>
                <w:rStyle w:val="IndexLink"/>
              </w:rPr>
              <w:t>369</w:t>
            </w:r>
          </w:hyperlink>
        </w:p>
        <w:p>
          <w:pPr>
            <w:pStyle w:val="Contents6"/>
            <w:tabs>
              <w:tab w:val="clear" w:pos="7609"/>
              <w:tab w:val="right" w:pos="9026" w:leader="dot"/>
            </w:tabs>
            <w:rPr/>
          </w:pPr>
          <w:hyperlink w:anchor="__RefHeading___Toc9696943_73709187">
            <w:r>
              <w:rPr>
                <w:webHidden/>
                <w:rStyle w:val="IndexLink"/>
                <w:rtl w:val="true"/>
              </w:rPr>
              <w:t xml:space="preserve">القول الثالث </w:t>
            </w:r>
            <w:r>
              <w:rPr>
                <w:rStyle w:val="IndexLink"/>
                <w:rtl w:val="true"/>
              </w:rPr>
              <w:t xml:space="preserve">- </w:t>
            </w:r>
            <w:r>
              <w:rPr>
                <w:rStyle w:val="IndexLink"/>
                <w:rtl w:val="true"/>
              </w:rPr>
              <w:t>أنّها تصحّ</w:t>
            </w:r>
            <w:r>
              <w:rPr>
                <w:rStyle w:val="IndexLink"/>
                <w:rtl w:val="true"/>
              </w:rPr>
              <w:t>:</w:t>
              <w:tab/>
            </w:r>
            <w:r>
              <w:rPr>
                <w:rStyle w:val="IndexLink"/>
              </w:rPr>
              <w:t>370</w:t>
            </w:r>
          </w:hyperlink>
        </w:p>
        <w:p>
          <w:pPr>
            <w:pStyle w:val="Contents5"/>
            <w:tabs>
              <w:tab w:val="clear" w:pos="7892"/>
              <w:tab w:val="right" w:pos="9026" w:leader="dot"/>
            </w:tabs>
            <w:rPr/>
          </w:pPr>
          <w:hyperlink w:anchor="__RefHeading___Toc9696945_73709187">
            <w:r>
              <w:rPr>
                <w:webHidden/>
                <w:rStyle w:val="IndexLink"/>
                <w:rtl w:val="true"/>
              </w:rPr>
              <w:t>المقام الثانی</w:t>
            </w:r>
            <w:r>
              <w:rPr>
                <w:rStyle w:val="IndexLink"/>
                <w:rtl w:val="true"/>
              </w:rPr>
              <w:t xml:space="preserve">: </w:t>
            </w:r>
            <w:r>
              <w:rPr>
                <w:rStyle w:val="IndexLink"/>
                <w:rtl w:val="true"/>
              </w:rPr>
              <w:t>إیجار الصبیّ نفسه للعمل</w:t>
            </w:r>
            <w:r>
              <w:rPr>
                <w:rStyle w:val="IndexLink"/>
                <w:rtl w:val="true"/>
              </w:rPr>
              <w:tab/>
            </w:r>
            <w:r>
              <w:rPr>
                <w:rStyle w:val="IndexLink"/>
              </w:rPr>
              <w:t>372</w:t>
            </w:r>
          </w:hyperlink>
        </w:p>
        <w:p>
          <w:pPr>
            <w:pStyle w:val="Contents4"/>
            <w:tabs>
              <w:tab w:val="clear" w:pos="8176"/>
              <w:tab w:val="right" w:pos="9026" w:leader="dot"/>
            </w:tabs>
            <w:rPr/>
          </w:pPr>
          <w:hyperlink w:anchor="__RefHeading___Toc9696947_73709187">
            <w:r>
              <w:rPr>
                <w:webHidden/>
                <w:rStyle w:val="IndexLink"/>
                <w:rtl w:val="true"/>
              </w:rPr>
              <w:t>استحقاق الصبیّ اجرة المثل لعمله</w:t>
            </w:r>
            <w:r>
              <w:rPr>
                <w:rStyle w:val="IndexLink"/>
                <w:rtl w:val="true"/>
              </w:rPr>
              <w:tab/>
            </w:r>
            <w:r>
              <w:rPr>
                <w:rStyle w:val="IndexLink"/>
              </w:rPr>
              <w:t>374</w:t>
            </w:r>
          </w:hyperlink>
        </w:p>
        <w:p>
          <w:pPr>
            <w:pStyle w:val="Contents4"/>
            <w:tabs>
              <w:tab w:val="clear" w:pos="8176"/>
              <w:tab w:val="right" w:pos="9026" w:leader="dot"/>
            </w:tabs>
            <w:rPr/>
          </w:pPr>
          <w:hyperlink w:anchor="__RefHeading___Toc9696949_73709187">
            <w:r>
              <w:rPr>
                <w:webHidden/>
                <w:rStyle w:val="IndexLink"/>
                <w:rtl w:val="true"/>
              </w:rPr>
              <w:t>أدلّة استحقاق الصبیّ اجرة المثل</w:t>
            </w:r>
            <w:r>
              <w:rPr>
                <w:rStyle w:val="IndexLink"/>
                <w:rtl w:val="true"/>
              </w:rPr>
              <w:tab/>
            </w:r>
            <w:r>
              <w:rPr>
                <w:rStyle w:val="IndexLink"/>
              </w:rPr>
              <w:t>375</w:t>
            </w:r>
          </w:hyperlink>
        </w:p>
        <w:p>
          <w:pPr>
            <w:pStyle w:val="Contents4"/>
            <w:tabs>
              <w:tab w:val="clear" w:pos="8176"/>
              <w:tab w:val="right" w:pos="9026" w:leader="dot"/>
            </w:tabs>
            <w:rPr/>
          </w:pPr>
          <w:hyperlink w:anchor="__RefHeading___Toc9696951_73709187">
            <w:r>
              <w:rPr>
                <w:webHidden/>
                <w:rStyle w:val="IndexLink"/>
                <w:rtl w:val="true"/>
              </w:rPr>
              <w:t>إیجار الصبیّ ماله أو نفسه عند أهل السنّة</w:t>
            </w:r>
            <w:r>
              <w:rPr>
                <w:rStyle w:val="IndexLink"/>
                <w:rtl w:val="true"/>
              </w:rPr>
              <w:tab/>
            </w:r>
            <w:r>
              <w:rPr>
                <w:rStyle w:val="IndexLink"/>
              </w:rPr>
              <w:t>382</w:t>
            </w:r>
          </w:hyperlink>
        </w:p>
        <w:p>
          <w:pPr>
            <w:pStyle w:val="Contents3"/>
            <w:tabs>
              <w:tab w:val="clear" w:pos="8459"/>
              <w:tab w:val="right" w:pos="9026" w:leader="dot"/>
            </w:tabs>
            <w:rPr/>
          </w:pPr>
          <w:hyperlink w:anchor="__RefHeading___Toc9696953_73709187">
            <w:r>
              <w:rPr>
                <w:webHidden/>
                <w:rStyle w:val="IndexLink"/>
                <w:rtl w:val="true"/>
              </w:rPr>
              <w:t>الفصل الخامس عشر</w:t>
            </w:r>
            <w:r>
              <w:rPr>
                <w:rStyle w:val="IndexLink"/>
                <w:rtl w:val="true"/>
              </w:rPr>
              <w:t xml:space="preserve">: </w:t>
            </w:r>
            <w:r>
              <w:rPr>
                <w:rStyle w:val="IndexLink"/>
                <w:rtl w:val="true"/>
              </w:rPr>
              <w:t>وکالة الصبیّ</w:t>
            </w:r>
            <w:r>
              <w:rPr>
                <w:rStyle w:val="IndexLink"/>
                <w:rtl w:val="true"/>
              </w:rPr>
              <w:tab/>
            </w:r>
            <w:r>
              <w:rPr>
                <w:rStyle w:val="IndexLink"/>
              </w:rPr>
              <w:t>386</w:t>
            </w:r>
          </w:hyperlink>
        </w:p>
        <w:p>
          <w:pPr>
            <w:pStyle w:val="Contents4"/>
            <w:tabs>
              <w:tab w:val="clear" w:pos="8176"/>
              <w:tab w:val="right" w:pos="9026" w:leader="dot"/>
            </w:tabs>
            <w:rPr/>
          </w:pPr>
          <w:hyperlink w:anchor="__RefHeading___Toc9696955_73709187">
            <w:r>
              <w:rPr>
                <w:webHidden/>
                <w:rStyle w:val="IndexLink"/>
                <w:rtl w:val="true"/>
              </w:rPr>
              <w:t>تعریف الوکالة</w:t>
            </w:r>
            <w:r>
              <w:rPr>
                <w:rStyle w:val="IndexLink"/>
                <w:rtl w:val="true"/>
              </w:rPr>
              <w:tab/>
            </w:r>
            <w:r>
              <w:rPr>
                <w:rStyle w:val="IndexLink"/>
              </w:rPr>
              <w:t>386</w:t>
            </w:r>
          </w:hyperlink>
        </w:p>
        <w:p>
          <w:pPr>
            <w:pStyle w:val="Contents5"/>
            <w:tabs>
              <w:tab w:val="clear" w:pos="7892"/>
              <w:tab w:val="right" w:pos="9026" w:leader="dot"/>
            </w:tabs>
            <w:rPr/>
          </w:pPr>
          <w:hyperlink w:anchor="__RefHeading___Toc9696957_73709187">
            <w:r>
              <w:rPr>
                <w:webHidden/>
                <w:rStyle w:val="IndexLink"/>
                <w:rtl w:val="true"/>
              </w:rPr>
              <w:t>اشارة</w:t>
            </w:r>
            <w:r>
              <w:rPr>
                <w:rStyle w:val="IndexLink"/>
                <w:rtl w:val="true"/>
              </w:rPr>
              <w:tab/>
            </w:r>
            <w:r>
              <w:rPr>
                <w:rStyle w:val="IndexLink"/>
              </w:rPr>
              <w:t>386</w:t>
            </w:r>
          </w:hyperlink>
        </w:p>
        <w:p>
          <w:pPr>
            <w:pStyle w:val="Contents5"/>
            <w:tabs>
              <w:tab w:val="clear" w:pos="7892"/>
              <w:tab w:val="right" w:pos="9026" w:leader="dot"/>
            </w:tabs>
            <w:rPr/>
          </w:pPr>
          <w:hyperlink w:anchor="__RefHeading___Toc9696959_73709187">
            <w:r>
              <w:rPr>
                <w:webHidden/>
                <w:rStyle w:val="IndexLink"/>
                <w:rtl w:val="true"/>
              </w:rPr>
              <w:t>المقام الأوّل</w:t>
            </w:r>
            <w:r>
              <w:rPr>
                <w:rStyle w:val="IndexLink"/>
                <w:rtl w:val="true"/>
              </w:rPr>
              <w:t xml:space="preserve">: </w:t>
            </w:r>
            <w:r>
              <w:rPr>
                <w:rStyle w:val="IndexLink"/>
                <w:rtl w:val="true"/>
              </w:rPr>
              <w:t>وکالة الصبیّ عن الغیر</w:t>
            </w:r>
            <w:r>
              <w:rPr>
                <w:rStyle w:val="IndexLink"/>
                <w:rtl w:val="true"/>
              </w:rPr>
              <w:tab/>
            </w:r>
            <w:r>
              <w:rPr>
                <w:rStyle w:val="IndexLink"/>
              </w:rPr>
              <w:t>388</w:t>
            </w:r>
          </w:hyperlink>
        </w:p>
        <w:p>
          <w:pPr>
            <w:pStyle w:val="Contents6"/>
            <w:tabs>
              <w:tab w:val="clear" w:pos="7609"/>
              <w:tab w:val="right" w:pos="9026" w:leader="dot"/>
            </w:tabs>
            <w:rPr/>
          </w:pPr>
          <w:hyperlink w:anchor="__RefHeading___Toc9696961_73709187">
            <w:r>
              <w:rPr>
                <w:webHidden/>
                <w:rStyle w:val="IndexLink"/>
                <w:rtl w:val="true"/>
              </w:rPr>
              <w:t>اشارة</w:t>
            </w:r>
            <w:r>
              <w:rPr>
                <w:rStyle w:val="IndexLink"/>
                <w:rtl w:val="true"/>
              </w:rPr>
              <w:tab/>
            </w:r>
            <w:r>
              <w:rPr>
                <w:rStyle w:val="IndexLink"/>
              </w:rPr>
              <w:t>388</w:t>
            </w:r>
          </w:hyperlink>
        </w:p>
        <w:p>
          <w:pPr>
            <w:pStyle w:val="Contents6"/>
            <w:tabs>
              <w:tab w:val="clear" w:pos="7609"/>
              <w:tab w:val="right" w:pos="9026" w:leader="dot"/>
            </w:tabs>
            <w:rPr/>
          </w:pPr>
          <w:hyperlink w:anchor="__RefHeading___Toc9696963_73709187">
            <w:r>
              <w:rPr>
                <w:webHidden/>
                <w:rStyle w:val="IndexLink"/>
                <w:rtl w:val="true"/>
              </w:rPr>
              <w:t xml:space="preserve">الأوّل </w:t>
            </w:r>
            <w:r>
              <w:rPr>
                <w:rStyle w:val="IndexLink"/>
                <w:rtl w:val="true"/>
              </w:rPr>
              <w:t xml:space="preserve">- </w:t>
            </w:r>
            <w:r>
              <w:rPr>
                <w:rStyle w:val="IndexLink"/>
                <w:rtl w:val="true"/>
              </w:rPr>
              <w:t>عدم الصحّة مطلقاً</w:t>
            </w:r>
            <w:r>
              <w:rPr>
                <w:rStyle w:val="IndexLink"/>
                <w:rtl w:val="true"/>
              </w:rPr>
              <w:t>:</w:t>
              <w:tab/>
            </w:r>
            <w:r>
              <w:rPr>
                <w:rStyle w:val="IndexLink"/>
              </w:rPr>
              <w:t>388</w:t>
            </w:r>
          </w:hyperlink>
        </w:p>
        <w:p>
          <w:pPr>
            <w:pStyle w:val="Contents6"/>
            <w:tabs>
              <w:tab w:val="clear" w:pos="7609"/>
              <w:tab w:val="right" w:pos="9026" w:leader="dot"/>
            </w:tabs>
            <w:rPr/>
          </w:pPr>
          <w:hyperlink w:anchor="__RefHeading___Toc9696965_73709187">
            <w:r>
              <w:rPr>
                <w:webHidden/>
                <w:rStyle w:val="IndexLink"/>
                <w:rtl w:val="true"/>
              </w:rPr>
              <w:t xml:space="preserve">القول الثانی </w:t>
            </w:r>
            <w:r>
              <w:rPr>
                <w:rStyle w:val="IndexLink"/>
                <w:rtl w:val="true"/>
              </w:rPr>
              <w:t xml:space="preserve">- </w:t>
            </w:r>
            <w:r>
              <w:rPr>
                <w:rStyle w:val="IndexLink"/>
                <w:rtl w:val="true"/>
              </w:rPr>
              <w:t>صحّة وکالة الصبیّ سیّما إذا کان بإذن الولیّ</w:t>
            </w:r>
            <w:r>
              <w:rPr>
                <w:rStyle w:val="IndexLink"/>
                <w:rtl w:val="true"/>
              </w:rPr>
              <w:t>:</w:t>
              <w:tab/>
            </w:r>
            <w:r>
              <w:rPr>
                <w:rStyle w:val="IndexLink"/>
              </w:rPr>
              <w:t>391</w:t>
            </w:r>
          </w:hyperlink>
        </w:p>
        <w:p>
          <w:pPr>
            <w:pStyle w:val="Contents6"/>
            <w:tabs>
              <w:tab w:val="clear" w:pos="7609"/>
              <w:tab w:val="right" w:pos="9026" w:leader="dot"/>
            </w:tabs>
            <w:rPr/>
          </w:pPr>
          <w:hyperlink w:anchor="__RefHeading___Toc9696967_73709187">
            <w:r>
              <w:rPr>
                <w:webHidden/>
                <w:rStyle w:val="IndexLink"/>
                <w:rtl w:val="true"/>
              </w:rPr>
              <w:t>القول الثالث</w:t>
            </w:r>
            <w:r>
              <w:rPr>
                <w:rStyle w:val="IndexLink"/>
                <w:rtl w:val="true"/>
              </w:rPr>
              <w:t xml:space="preserve">: </w:t>
            </w:r>
            <w:r>
              <w:rPr>
                <w:rStyle w:val="IndexLink"/>
                <w:rtl w:val="true"/>
              </w:rPr>
              <w:t>التفصیل</w:t>
            </w:r>
            <w:r>
              <w:rPr>
                <w:rStyle w:val="IndexLink"/>
                <w:rtl w:val="true"/>
              </w:rPr>
              <w:tab/>
            </w:r>
            <w:r>
              <w:rPr>
                <w:rStyle w:val="IndexLink"/>
              </w:rPr>
              <w:t>393</w:t>
            </w:r>
          </w:hyperlink>
        </w:p>
        <w:p>
          <w:pPr>
            <w:pStyle w:val="Contents5"/>
            <w:tabs>
              <w:tab w:val="clear" w:pos="7892"/>
              <w:tab w:val="right" w:pos="9026" w:leader="dot"/>
            </w:tabs>
            <w:rPr/>
          </w:pPr>
          <w:hyperlink w:anchor="__RefHeading___Toc9696969_73709187">
            <w:r>
              <w:rPr>
                <w:webHidden/>
                <w:rStyle w:val="IndexLink"/>
                <w:rtl w:val="true"/>
              </w:rPr>
              <w:t>المقام الثانی</w:t>
            </w:r>
            <w:r>
              <w:rPr>
                <w:rStyle w:val="IndexLink"/>
                <w:rtl w:val="true"/>
              </w:rPr>
              <w:t xml:space="preserve">: </w:t>
            </w:r>
            <w:r>
              <w:rPr>
                <w:rStyle w:val="IndexLink"/>
                <w:rtl w:val="true"/>
              </w:rPr>
              <w:t>توکیل الصبیّ للغیر</w:t>
            </w:r>
            <w:r>
              <w:rPr>
                <w:rStyle w:val="IndexLink"/>
                <w:rtl w:val="true"/>
              </w:rPr>
              <w:tab/>
            </w:r>
            <w:r>
              <w:rPr>
                <w:rStyle w:val="IndexLink"/>
              </w:rPr>
              <w:t>394</w:t>
            </w:r>
          </w:hyperlink>
        </w:p>
        <w:p>
          <w:pPr>
            <w:pStyle w:val="Contents4"/>
            <w:tabs>
              <w:tab w:val="clear" w:pos="8176"/>
              <w:tab w:val="right" w:pos="9026" w:leader="dot"/>
            </w:tabs>
            <w:rPr/>
          </w:pPr>
          <w:hyperlink w:anchor="__RefHeading___Toc9696971_73709187">
            <w:r>
              <w:rPr>
                <w:webHidden/>
                <w:rStyle w:val="IndexLink"/>
                <w:rtl w:val="true"/>
              </w:rPr>
              <w:t>آراء أهل السنّة فی وکالة الصبیّ‌</w:t>
            </w:r>
            <w:r>
              <w:rPr>
                <w:rStyle w:val="IndexLink"/>
                <w:rtl w:val="true"/>
              </w:rPr>
              <w:tab/>
            </w:r>
            <w:r>
              <w:rPr>
                <w:rStyle w:val="IndexLink"/>
              </w:rPr>
              <w:t>399</w:t>
            </w:r>
          </w:hyperlink>
        </w:p>
        <w:p>
          <w:pPr>
            <w:pStyle w:val="Contents3"/>
            <w:tabs>
              <w:tab w:val="clear" w:pos="8459"/>
              <w:tab w:val="right" w:pos="9026" w:leader="dot"/>
            </w:tabs>
            <w:rPr/>
          </w:pPr>
          <w:hyperlink w:anchor="__RefHeading___Toc9696973_73709187">
            <w:r>
              <w:rPr>
                <w:webHidden/>
                <w:rStyle w:val="IndexLink"/>
                <w:rtl w:val="true"/>
              </w:rPr>
              <w:t>الفصل السادس عشر</w:t>
            </w:r>
            <w:r>
              <w:rPr>
                <w:rStyle w:val="IndexLink"/>
                <w:rtl w:val="true"/>
              </w:rPr>
              <w:t xml:space="preserve">: </w:t>
            </w:r>
            <w:r>
              <w:rPr>
                <w:rStyle w:val="IndexLink"/>
                <w:rtl w:val="true"/>
              </w:rPr>
              <w:t>وقف الصبیّ و صدقته وهبته</w:t>
            </w:r>
            <w:r>
              <w:rPr>
                <w:rStyle w:val="IndexLink"/>
                <w:rtl w:val="true"/>
              </w:rPr>
              <w:tab/>
            </w:r>
            <w:r>
              <w:rPr>
                <w:rStyle w:val="IndexLink"/>
              </w:rPr>
              <w:t>403</w:t>
            </w:r>
          </w:hyperlink>
        </w:p>
        <w:p>
          <w:pPr>
            <w:pStyle w:val="Contents4"/>
            <w:tabs>
              <w:tab w:val="clear" w:pos="8176"/>
              <w:tab w:val="right" w:pos="9026" w:leader="dot"/>
            </w:tabs>
            <w:rPr/>
          </w:pPr>
          <w:hyperlink w:anchor="__RefHeading___Toc9696975_73709187">
            <w:r>
              <w:rPr>
                <w:webHidden/>
                <w:rStyle w:val="IndexLink"/>
                <w:rtl w:val="true"/>
              </w:rPr>
              <w:t>اشارة</w:t>
            </w:r>
            <w:r>
              <w:rPr>
                <w:rStyle w:val="IndexLink"/>
                <w:rtl w:val="true"/>
              </w:rPr>
              <w:tab/>
            </w:r>
            <w:r>
              <w:rPr>
                <w:rStyle w:val="IndexLink"/>
              </w:rPr>
              <w:t>403</w:t>
            </w:r>
          </w:hyperlink>
        </w:p>
        <w:p>
          <w:pPr>
            <w:pStyle w:val="Contents4"/>
            <w:tabs>
              <w:tab w:val="clear" w:pos="8176"/>
              <w:tab w:val="right" w:pos="9026" w:leader="dot"/>
            </w:tabs>
            <w:rPr/>
          </w:pPr>
          <w:hyperlink w:anchor="__RefHeading___Toc9696977_73709187">
            <w:r>
              <w:rPr>
                <w:webHidden/>
                <w:rStyle w:val="IndexLink"/>
                <w:rtl w:val="true"/>
              </w:rPr>
              <w:t>المبحث الأوّل</w:t>
            </w:r>
            <w:r>
              <w:rPr>
                <w:rStyle w:val="IndexLink"/>
                <w:rtl w:val="true"/>
              </w:rPr>
              <w:t xml:space="preserve">: </w:t>
            </w:r>
            <w:r>
              <w:rPr>
                <w:rStyle w:val="IndexLink"/>
                <w:rtl w:val="true"/>
              </w:rPr>
              <w:t>وقف الصبیّ‌</w:t>
            </w:r>
            <w:r>
              <w:rPr>
                <w:rStyle w:val="IndexLink"/>
                <w:rtl w:val="true"/>
              </w:rPr>
              <w:tab/>
            </w:r>
            <w:r>
              <w:rPr>
                <w:rStyle w:val="IndexLink"/>
              </w:rPr>
              <w:t>403</w:t>
            </w:r>
          </w:hyperlink>
        </w:p>
        <w:p>
          <w:pPr>
            <w:pStyle w:val="Contents5"/>
            <w:tabs>
              <w:tab w:val="clear" w:pos="7892"/>
              <w:tab w:val="right" w:pos="9026" w:leader="dot"/>
            </w:tabs>
            <w:rPr/>
          </w:pPr>
          <w:hyperlink w:anchor="__RefHeading___Toc9696979_73709187">
            <w:r>
              <w:rPr>
                <w:webHidden/>
                <w:rStyle w:val="IndexLink"/>
                <w:rtl w:val="true"/>
              </w:rPr>
              <w:t>اشارة</w:t>
            </w:r>
            <w:r>
              <w:rPr>
                <w:rStyle w:val="IndexLink"/>
                <w:rtl w:val="true"/>
              </w:rPr>
              <w:tab/>
            </w:r>
            <w:r>
              <w:rPr>
                <w:rStyle w:val="IndexLink"/>
              </w:rPr>
              <w:t>403</w:t>
            </w:r>
          </w:hyperlink>
        </w:p>
        <w:p>
          <w:pPr>
            <w:pStyle w:val="Contents5"/>
            <w:tabs>
              <w:tab w:val="clear" w:pos="7892"/>
              <w:tab w:val="right" w:pos="9026" w:leader="dot"/>
            </w:tabs>
            <w:rPr/>
          </w:pPr>
          <w:hyperlink w:anchor="__RefHeading___Toc9696981_73709187">
            <w:r>
              <w:rPr>
                <w:webHidden/>
                <w:rStyle w:val="IndexLink"/>
                <w:rtl w:val="true"/>
              </w:rPr>
              <w:t>الأدلّة علی عدم صحّة وقف الصبیّ‌</w:t>
            </w:r>
            <w:r>
              <w:rPr>
                <w:rStyle w:val="IndexLink"/>
                <w:rtl w:val="true"/>
              </w:rPr>
              <w:tab/>
            </w:r>
            <w:r>
              <w:rPr>
                <w:rStyle w:val="IndexLink"/>
              </w:rPr>
              <w:t>407</w:t>
            </w:r>
          </w:hyperlink>
        </w:p>
        <w:p>
          <w:pPr>
            <w:pStyle w:val="Contents5"/>
            <w:tabs>
              <w:tab w:val="clear" w:pos="7892"/>
              <w:tab w:val="right" w:pos="9026" w:leader="dot"/>
            </w:tabs>
            <w:rPr/>
          </w:pPr>
          <w:hyperlink w:anchor="__RefHeading___Toc9696983_73709187">
            <w:r>
              <w:rPr>
                <w:webHidden/>
                <w:rStyle w:val="IndexLink"/>
                <w:rtl w:val="true"/>
              </w:rPr>
              <w:t>أدلّة جواز وقف الصبیّ إذا بلغ عشر سنین</w:t>
            </w:r>
            <w:r>
              <w:rPr>
                <w:rStyle w:val="IndexLink"/>
                <w:rtl w:val="true"/>
              </w:rPr>
              <w:tab/>
            </w:r>
            <w:r>
              <w:rPr>
                <w:rStyle w:val="IndexLink"/>
              </w:rPr>
              <w:t>411</w:t>
            </w:r>
          </w:hyperlink>
        </w:p>
        <w:p>
          <w:pPr>
            <w:pStyle w:val="Contents5"/>
            <w:tabs>
              <w:tab w:val="clear" w:pos="7892"/>
              <w:tab w:val="right" w:pos="9026" w:leader="dot"/>
            </w:tabs>
            <w:rPr/>
          </w:pPr>
          <w:hyperlink w:anchor="__RefHeading___Toc9696985_73709187">
            <w:r>
              <w:rPr>
                <w:webHidden/>
                <w:rStyle w:val="IndexLink"/>
                <w:rtl w:val="true"/>
              </w:rPr>
              <w:t>وقف الصبیّ عند أهل السنّة</w:t>
            </w:r>
            <w:r>
              <w:rPr>
                <w:rStyle w:val="IndexLink"/>
                <w:rtl w:val="true"/>
              </w:rPr>
              <w:tab/>
            </w:r>
            <w:r>
              <w:rPr>
                <w:rStyle w:val="IndexLink"/>
              </w:rPr>
              <w:t>417</w:t>
            </w:r>
          </w:hyperlink>
        </w:p>
        <w:p>
          <w:pPr>
            <w:pStyle w:val="Contents4"/>
            <w:tabs>
              <w:tab w:val="clear" w:pos="8176"/>
              <w:tab w:val="right" w:pos="9026" w:leader="dot"/>
            </w:tabs>
            <w:rPr/>
          </w:pPr>
          <w:hyperlink w:anchor="__RefHeading___Toc9696987_73709187">
            <w:r>
              <w:rPr>
                <w:webHidden/>
                <w:rStyle w:val="IndexLink"/>
                <w:rtl w:val="true"/>
              </w:rPr>
              <w:t>المبحث الثانی</w:t>
            </w:r>
            <w:r>
              <w:rPr>
                <w:rStyle w:val="IndexLink"/>
                <w:rtl w:val="true"/>
              </w:rPr>
              <w:t xml:space="preserve">: </w:t>
            </w:r>
            <w:r>
              <w:rPr>
                <w:rStyle w:val="IndexLink"/>
                <w:rtl w:val="true"/>
              </w:rPr>
              <w:t>صدقة الصبیّ‌</w:t>
            </w:r>
            <w:r>
              <w:rPr>
                <w:rStyle w:val="IndexLink"/>
                <w:rtl w:val="true"/>
              </w:rPr>
              <w:tab/>
            </w:r>
            <w:r>
              <w:rPr>
                <w:rStyle w:val="IndexLink"/>
              </w:rPr>
              <w:t>418</w:t>
            </w:r>
          </w:hyperlink>
        </w:p>
        <w:p>
          <w:pPr>
            <w:pStyle w:val="Contents5"/>
            <w:tabs>
              <w:tab w:val="clear" w:pos="7892"/>
              <w:tab w:val="right" w:pos="9026" w:leader="dot"/>
            </w:tabs>
            <w:rPr/>
          </w:pPr>
          <w:hyperlink w:anchor="__RefHeading___Toc9696989_73709187">
            <w:r>
              <w:rPr>
                <w:webHidden/>
                <w:rStyle w:val="IndexLink"/>
                <w:rtl w:val="true"/>
              </w:rPr>
              <w:t>اشارة</w:t>
            </w:r>
            <w:r>
              <w:rPr>
                <w:rStyle w:val="IndexLink"/>
                <w:rtl w:val="true"/>
              </w:rPr>
              <w:tab/>
            </w:r>
            <w:r>
              <w:rPr>
                <w:rStyle w:val="IndexLink"/>
              </w:rPr>
              <w:t>418</w:t>
            </w:r>
          </w:hyperlink>
        </w:p>
        <w:p>
          <w:pPr>
            <w:pStyle w:val="Contents5"/>
            <w:tabs>
              <w:tab w:val="clear" w:pos="7892"/>
              <w:tab w:val="right" w:pos="9026" w:leader="dot"/>
            </w:tabs>
            <w:rPr/>
          </w:pPr>
          <w:hyperlink w:anchor="__RefHeading___Toc9696991_73709187">
            <w:r>
              <w:rPr>
                <w:webHidden/>
                <w:rStyle w:val="IndexLink"/>
                <w:rtl w:val="true"/>
              </w:rPr>
              <w:t>أدلّة عدم صحّة صدقة الصبیّ‌</w:t>
            </w:r>
            <w:r>
              <w:rPr>
                <w:rStyle w:val="IndexLink"/>
                <w:rtl w:val="true"/>
              </w:rPr>
              <w:tab/>
            </w:r>
            <w:r>
              <w:rPr>
                <w:rStyle w:val="IndexLink"/>
              </w:rPr>
              <w:t>422</w:t>
            </w:r>
          </w:hyperlink>
        </w:p>
        <w:p>
          <w:pPr>
            <w:pStyle w:val="Contents5"/>
            <w:tabs>
              <w:tab w:val="clear" w:pos="7892"/>
              <w:tab w:val="right" w:pos="9026" w:leader="dot"/>
            </w:tabs>
            <w:rPr/>
          </w:pPr>
          <w:hyperlink w:anchor="__RefHeading___Toc9696993_73709187">
            <w:r>
              <w:rPr>
                <w:webHidden/>
                <w:rStyle w:val="IndexLink"/>
                <w:rtl w:val="true"/>
              </w:rPr>
              <w:t>الصدقات المندوبة من الصبیّ عند أهل السنّة</w:t>
            </w:r>
            <w:r>
              <w:rPr>
                <w:rStyle w:val="IndexLink"/>
                <w:rtl w:val="true"/>
              </w:rPr>
              <w:tab/>
            </w:r>
            <w:r>
              <w:rPr>
                <w:rStyle w:val="IndexLink"/>
              </w:rPr>
              <w:t>428</w:t>
            </w:r>
          </w:hyperlink>
        </w:p>
        <w:p>
          <w:pPr>
            <w:pStyle w:val="Contents4"/>
            <w:tabs>
              <w:tab w:val="clear" w:pos="8176"/>
              <w:tab w:val="right" w:pos="9026" w:leader="dot"/>
            </w:tabs>
            <w:rPr/>
          </w:pPr>
          <w:hyperlink w:anchor="__RefHeading___Toc9696995_73709187">
            <w:r>
              <w:rPr>
                <w:webHidden/>
                <w:rStyle w:val="IndexLink"/>
                <w:rtl w:val="true"/>
              </w:rPr>
              <w:t>المبحث الثالث</w:t>
            </w:r>
            <w:r>
              <w:rPr>
                <w:rStyle w:val="IndexLink"/>
                <w:rtl w:val="true"/>
              </w:rPr>
              <w:t xml:space="preserve">: </w:t>
            </w:r>
            <w:r>
              <w:rPr>
                <w:rStyle w:val="IndexLink"/>
                <w:rtl w:val="true"/>
              </w:rPr>
              <w:t>هبة الصبیّ‌</w:t>
            </w:r>
            <w:r>
              <w:rPr>
                <w:rStyle w:val="IndexLink"/>
                <w:rtl w:val="true"/>
              </w:rPr>
              <w:tab/>
            </w:r>
            <w:r>
              <w:rPr>
                <w:rStyle w:val="IndexLink"/>
              </w:rPr>
              <w:t>431</w:t>
            </w:r>
          </w:hyperlink>
        </w:p>
        <w:p>
          <w:pPr>
            <w:pStyle w:val="Contents5"/>
            <w:tabs>
              <w:tab w:val="clear" w:pos="7892"/>
              <w:tab w:val="right" w:pos="9026" w:leader="dot"/>
            </w:tabs>
            <w:rPr/>
          </w:pPr>
          <w:hyperlink w:anchor="__RefHeading___Toc9696997_73709187">
            <w:r>
              <w:rPr>
                <w:webHidden/>
                <w:rStyle w:val="IndexLink"/>
                <w:rtl w:val="true"/>
              </w:rPr>
              <w:t>اشارة</w:t>
            </w:r>
            <w:r>
              <w:rPr>
                <w:rStyle w:val="IndexLink"/>
                <w:rtl w:val="true"/>
              </w:rPr>
              <w:tab/>
            </w:r>
            <w:r>
              <w:rPr>
                <w:rStyle w:val="IndexLink"/>
              </w:rPr>
              <w:t>431</w:t>
            </w:r>
          </w:hyperlink>
        </w:p>
        <w:p>
          <w:pPr>
            <w:pStyle w:val="Contents5"/>
            <w:tabs>
              <w:tab w:val="clear" w:pos="7892"/>
              <w:tab w:val="right" w:pos="9026" w:leader="dot"/>
            </w:tabs>
            <w:rPr/>
          </w:pPr>
          <w:hyperlink w:anchor="__RefHeading___Toc9696999_73709187">
            <w:r>
              <w:rPr>
                <w:webHidden/>
                <w:rStyle w:val="IndexLink"/>
                <w:rtl w:val="true"/>
              </w:rPr>
              <w:t>المقام الأوّل</w:t>
            </w:r>
            <w:r>
              <w:rPr>
                <w:rStyle w:val="IndexLink"/>
                <w:rtl w:val="true"/>
              </w:rPr>
              <w:t xml:space="preserve">: </w:t>
            </w:r>
            <w:r>
              <w:rPr>
                <w:rStyle w:val="IndexLink"/>
                <w:rtl w:val="true"/>
              </w:rPr>
              <w:t>کون الصبیّ واهباً</w:t>
            </w:r>
            <w:r>
              <w:rPr>
                <w:rStyle w:val="IndexLink"/>
                <w:rtl w:val="true"/>
              </w:rPr>
              <w:tab/>
            </w:r>
            <w:r>
              <w:rPr>
                <w:rStyle w:val="IndexLink"/>
              </w:rPr>
              <w:t>433</w:t>
            </w:r>
          </w:hyperlink>
        </w:p>
        <w:p>
          <w:pPr>
            <w:pStyle w:val="Contents6"/>
            <w:tabs>
              <w:tab w:val="clear" w:pos="7609"/>
              <w:tab w:val="right" w:pos="9026" w:leader="dot"/>
            </w:tabs>
            <w:rPr/>
          </w:pPr>
          <w:hyperlink w:anchor="__RefHeading___Toc9697001_73709187">
            <w:r>
              <w:rPr>
                <w:webHidden/>
                <w:rStyle w:val="IndexLink"/>
                <w:rtl w:val="true"/>
              </w:rPr>
              <w:t>اشارة</w:t>
            </w:r>
            <w:r>
              <w:rPr>
                <w:rStyle w:val="IndexLink"/>
                <w:rtl w:val="true"/>
              </w:rPr>
              <w:tab/>
            </w:r>
            <w:r>
              <w:rPr>
                <w:rStyle w:val="IndexLink"/>
              </w:rPr>
              <w:t>433</w:t>
            </w:r>
          </w:hyperlink>
        </w:p>
        <w:p>
          <w:pPr>
            <w:pStyle w:val="Contents6"/>
            <w:tabs>
              <w:tab w:val="clear" w:pos="7609"/>
              <w:tab w:val="right" w:pos="9026" w:leader="dot"/>
            </w:tabs>
            <w:rPr/>
          </w:pPr>
          <w:hyperlink w:anchor="__RefHeading___Toc9697003_73709187">
            <w:r>
              <w:rPr>
                <w:webHidden/>
                <w:rStyle w:val="IndexLink"/>
                <w:rtl w:val="true"/>
              </w:rPr>
              <w:t>آراء أهل السنّة فی کون الصبیّ واهباً</w:t>
            </w:r>
            <w:r>
              <w:rPr>
                <w:rStyle w:val="IndexLink"/>
                <w:rtl w:val="true"/>
              </w:rPr>
              <w:tab/>
            </w:r>
            <w:r>
              <w:rPr>
                <w:rStyle w:val="IndexLink"/>
              </w:rPr>
              <w:t>436</w:t>
            </w:r>
          </w:hyperlink>
        </w:p>
        <w:p>
          <w:pPr>
            <w:pStyle w:val="Contents5"/>
            <w:tabs>
              <w:tab w:val="clear" w:pos="7892"/>
              <w:tab w:val="right" w:pos="9026" w:leader="dot"/>
            </w:tabs>
            <w:rPr/>
          </w:pPr>
          <w:hyperlink w:anchor="__RefHeading___Toc9697005_73709187">
            <w:r>
              <w:rPr>
                <w:webHidden/>
                <w:rStyle w:val="IndexLink"/>
                <w:rtl w:val="true"/>
              </w:rPr>
              <w:t>المقام الثانی</w:t>
            </w:r>
            <w:r>
              <w:rPr>
                <w:rStyle w:val="IndexLink"/>
                <w:rtl w:val="true"/>
              </w:rPr>
              <w:t xml:space="preserve">: </w:t>
            </w:r>
            <w:r>
              <w:rPr>
                <w:rStyle w:val="IndexLink"/>
                <w:rtl w:val="true"/>
              </w:rPr>
              <w:t>قبول الصبیّ للهبة</w:t>
            </w:r>
            <w:r>
              <w:rPr>
                <w:rStyle w:val="IndexLink"/>
                <w:rtl w:val="true"/>
              </w:rPr>
              <w:tab/>
            </w:r>
            <w:r>
              <w:rPr>
                <w:rStyle w:val="IndexLink"/>
              </w:rPr>
              <w:t>436</w:t>
            </w:r>
          </w:hyperlink>
        </w:p>
        <w:p>
          <w:pPr>
            <w:pStyle w:val="Contents6"/>
            <w:tabs>
              <w:tab w:val="clear" w:pos="7609"/>
              <w:tab w:val="right" w:pos="9026" w:leader="dot"/>
            </w:tabs>
            <w:rPr/>
          </w:pPr>
          <w:hyperlink w:anchor="__RefHeading___Toc9697007_73709187">
            <w:r>
              <w:rPr>
                <w:webHidden/>
                <w:rStyle w:val="IndexLink"/>
                <w:rtl w:val="true"/>
              </w:rPr>
              <w:t>اشارة</w:t>
            </w:r>
            <w:r>
              <w:rPr>
                <w:rStyle w:val="IndexLink"/>
                <w:rtl w:val="true"/>
              </w:rPr>
              <w:tab/>
            </w:r>
            <w:r>
              <w:rPr>
                <w:rStyle w:val="IndexLink"/>
              </w:rPr>
              <w:t>436</w:t>
            </w:r>
          </w:hyperlink>
        </w:p>
        <w:p>
          <w:pPr>
            <w:pStyle w:val="Contents6"/>
            <w:tabs>
              <w:tab w:val="clear" w:pos="7609"/>
              <w:tab w:val="right" w:pos="9026" w:leader="dot"/>
            </w:tabs>
            <w:rPr/>
          </w:pPr>
          <w:hyperlink w:anchor="__RefHeading___Toc9697009_73709187">
            <w:r>
              <w:rPr>
                <w:webHidden/>
                <w:rStyle w:val="IndexLink"/>
                <w:rtl w:val="true"/>
              </w:rPr>
              <w:t>آراء أهل السنّة فی قبول الصبیّ للهبة</w:t>
            </w:r>
            <w:r>
              <w:rPr>
                <w:rStyle w:val="IndexLink"/>
                <w:rtl w:val="true"/>
              </w:rPr>
              <w:tab/>
            </w:r>
            <w:r>
              <w:rPr>
                <w:rStyle w:val="IndexLink"/>
              </w:rPr>
              <w:t>438</w:t>
            </w:r>
          </w:hyperlink>
        </w:p>
        <w:p>
          <w:pPr>
            <w:pStyle w:val="Contents6"/>
            <w:tabs>
              <w:tab w:val="clear" w:pos="7609"/>
              <w:tab w:val="right" w:pos="9026" w:leader="dot"/>
            </w:tabs>
            <w:rPr/>
          </w:pPr>
          <w:hyperlink w:anchor="__RefHeading___Toc9697011_73709187">
            <w:r>
              <w:rPr>
                <w:webHidden/>
                <w:rStyle w:val="IndexLink"/>
                <w:rtl w:val="true"/>
              </w:rPr>
              <w:t xml:space="preserve">ألف </w:t>
            </w:r>
            <w:r>
              <w:rPr>
                <w:rStyle w:val="IndexLink"/>
                <w:rtl w:val="true"/>
              </w:rPr>
              <w:t xml:space="preserve">- </w:t>
            </w:r>
            <w:r>
              <w:rPr>
                <w:rStyle w:val="IndexLink"/>
                <w:rtl w:val="true"/>
              </w:rPr>
              <w:t>الحنابلة</w:t>
            </w:r>
            <w:r>
              <w:rPr>
                <w:rStyle w:val="IndexLink"/>
                <w:rtl w:val="true"/>
              </w:rPr>
              <w:tab/>
            </w:r>
            <w:r>
              <w:rPr>
                <w:rStyle w:val="IndexLink"/>
              </w:rPr>
              <w:t>439</w:t>
            </w:r>
          </w:hyperlink>
        </w:p>
        <w:p>
          <w:pPr>
            <w:pStyle w:val="Contents6"/>
            <w:tabs>
              <w:tab w:val="clear" w:pos="7609"/>
              <w:tab w:val="right" w:pos="9026" w:leader="dot"/>
            </w:tabs>
            <w:rPr/>
          </w:pPr>
          <w:hyperlink w:anchor="__RefHeading___Toc9697013_73709187">
            <w:r>
              <w:rPr>
                <w:webHidden/>
                <w:rStyle w:val="IndexLink"/>
                <w:rtl w:val="true"/>
              </w:rPr>
              <w:t xml:space="preserve">ب </w:t>
            </w:r>
            <w:r>
              <w:rPr>
                <w:rStyle w:val="IndexLink"/>
                <w:rtl w:val="true"/>
              </w:rPr>
              <w:t xml:space="preserve">- </w:t>
            </w:r>
            <w:r>
              <w:rPr>
                <w:rStyle w:val="IndexLink"/>
                <w:rtl w:val="true"/>
              </w:rPr>
              <w:t>الحنفیّة</w:t>
            </w:r>
            <w:r>
              <w:rPr>
                <w:rStyle w:val="IndexLink"/>
                <w:rtl w:val="true"/>
              </w:rPr>
              <w:tab/>
            </w:r>
            <w:r>
              <w:rPr>
                <w:rStyle w:val="IndexLink"/>
              </w:rPr>
              <w:t>439</w:t>
            </w:r>
          </w:hyperlink>
        </w:p>
        <w:p>
          <w:pPr>
            <w:pStyle w:val="Contents6"/>
            <w:tabs>
              <w:tab w:val="clear" w:pos="7609"/>
              <w:tab w:val="right" w:pos="9026" w:leader="dot"/>
            </w:tabs>
            <w:rPr/>
          </w:pPr>
          <w:hyperlink w:anchor="__RefHeading___Toc9697015_73709187">
            <w:r>
              <w:rPr>
                <w:webHidden/>
                <w:rStyle w:val="IndexLink"/>
                <w:rtl w:val="true"/>
              </w:rPr>
              <w:t xml:space="preserve">ج </w:t>
            </w:r>
            <w:r>
              <w:rPr>
                <w:rStyle w:val="IndexLink"/>
                <w:rtl w:val="true"/>
              </w:rPr>
              <w:t xml:space="preserve">- </w:t>
            </w:r>
            <w:r>
              <w:rPr>
                <w:rStyle w:val="IndexLink"/>
                <w:rtl w:val="true"/>
              </w:rPr>
              <w:t>الشافعیّة و المالکیّة</w:t>
            </w:r>
            <w:r>
              <w:rPr>
                <w:rStyle w:val="IndexLink"/>
                <w:rtl w:val="true"/>
              </w:rPr>
              <w:tab/>
            </w:r>
            <w:r>
              <w:rPr>
                <w:rStyle w:val="IndexLink"/>
              </w:rPr>
              <w:t>440</w:t>
            </w:r>
          </w:hyperlink>
        </w:p>
        <w:p>
          <w:pPr>
            <w:pStyle w:val="Contents3"/>
            <w:tabs>
              <w:tab w:val="clear" w:pos="8459"/>
              <w:tab w:val="right" w:pos="9026" w:leader="dot"/>
            </w:tabs>
            <w:rPr/>
          </w:pPr>
          <w:hyperlink w:anchor="__RefHeading___Toc9697017_73709187">
            <w:r>
              <w:rPr>
                <w:webHidden/>
                <w:rStyle w:val="IndexLink"/>
                <w:rtl w:val="true"/>
              </w:rPr>
              <w:t>الفصل السابع عشر</w:t>
            </w:r>
            <w:r>
              <w:rPr>
                <w:rStyle w:val="IndexLink"/>
                <w:rtl w:val="true"/>
              </w:rPr>
              <w:t xml:space="preserve">: </w:t>
            </w:r>
            <w:r>
              <w:rPr>
                <w:rStyle w:val="IndexLink"/>
                <w:rtl w:val="true"/>
              </w:rPr>
              <w:t>وصیّة الصبیّ ، و الوصیّة إلیه</w:t>
            </w:r>
            <w:r>
              <w:rPr>
                <w:rStyle w:val="IndexLink"/>
                <w:rtl w:val="true"/>
              </w:rPr>
              <w:tab/>
            </w:r>
            <w:r>
              <w:rPr>
                <w:rStyle w:val="IndexLink"/>
              </w:rPr>
              <w:t>441</w:t>
            </w:r>
          </w:hyperlink>
        </w:p>
        <w:p>
          <w:pPr>
            <w:pStyle w:val="Contents4"/>
            <w:tabs>
              <w:tab w:val="clear" w:pos="8176"/>
              <w:tab w:val="right" w:pos="9026" w:leader="dot"/>
            </w:tabs>
            <w:rPr/>
          </w:pPr>
          <w:hyperlink w:anchor="__RefHeading___Toc9697019_73709187">
            <w:r>
              <w:rPr>
                <w:webHidden/>
                <w:rStyle w:val="IndexLink"/>
                <w:rtl w:val="true"/>
              </w:rPr>
              <w:t>اشارة</w:t>
            </w:r>
            <w:r>
              <w:rPr>
                <w:rStyle w:val="IndexLink"/>
                <w:rtl w:val="true"/>
              </w:rPr>
              <w:tab/>
            </w:r>
            <w:r>
              <w:rPr>
                <w:rStyle w:val="IndexLink"/>
              </w:rPr>
              <w:t>441</w:t>
            </w:r>
          </w:hyperlink>
        </w:p>
        <w:p>
          <w:pPr>
            <w:pStyle w:val="Contents4"/>
            <w:tabs>
              <w:tab w:val="clear" w:pos="8176"/>
              <w:tab w:val="right" w:pos="9026" w:leader="dot"/>
            </w:tabs>
            <w:rPr/>
          </w:pPr>
          <w:hyperlink w:anchor="__RefHeading___Toc9697021_73709187">
            <w:r>
              <w:rPr>
                <w:webHidden/>
                <w:rStyle w:val="IndexLink"/>
                <w:rtl w:val="true"/>
              </w:rPr>
              <w:t>المبحث الأوّل</w:t>
            </w:r>
            <w:r>
              <w:rPr>
                <w:rStyle w:val="IndexLink"/>
                <w:rtl w:val="true"/>
              </w:rPr>
              <w:t xml:space="preserve">: </w:t>
            </w:r>
            <w:r>
              <w:rPr>
                <w:rStyle w:val="IndexLink"/>
                <w:rtl w:val="true"/>
              </w:rPr>
              <w:t>وصیّة الصبیّ‌</w:t>
            </w:r>
            <w:r>
              <w:rPr>
                <w:rStyle w:val="IndexLink"/>
                <w:rtl w:val="true"/>
              </w:rPr>
              <w:tab/>
            </w:r>
            <w:r>
              <w:rPr>
                <w:rStyle w:val="IndexLink"/>
              </w:rPr>
              <w:t>441</w:t>
            </w:r>
          </w:hyperlink>
        </w:p>
        <w:p>
          <w:pPr>
            <w:pStyle w:val="Contents5"/>
            <w:tabs>
              <w:tab w:val="clear" w:pos="7892"/>
              <w:tab w:val="right" w:pos="9026" w:leader="dot"/>
            </w:tabs>
            <w:rPr/>
          </w:pPr>
          <w:hyperlink w:anchor="__RefHeading___Toc9697023_73709187">
            <w:r>
              <w:rPr>
                <w:webHidden/>
                <w:rStyle w:val="IndexLink"/>
                <w:rtl w:val="true"/>
              </w:rPr>
              <w:t>اشارة</w:t>
            </w:r>
            <w:r>
              <w:rPr>
                <w:rStyle w:val="IndexLink"/>
                <w:rtl w:val="true"/>
              </w:rPr>
              <w:tab/>
            </w:r>
            <w:r>
              <w:rPr>
                <w:rStyle w:val="IndexLink"/>
              </w:rPr>
              <w:t>441</w:t>
            </w:r>
          </w:hyperlink>
        </w:p>
        <w:p>
          <w:pPr>
            <w:pStyle w:val="Contents5"/>
            <w:tabs>
              <w:tab w:val="clear" w:pos="7892"/>
              <w:tab w:val="right" w:pos="9026" w:leader="dot"/>
            </w:tabs>
            <w:rPr/>
          </w:pPr>
          <w:hyperlink w:anchor="__RefHeading___Toc9697025_73709187">
            <w:r>
              <w:rPr>
                <w:webHidden/>
                <w:rStyle w:val="IndexLink"/>
                <w:rtl w:val="true"/>
              </w:rPr>
              <w:t>القول الأوّل</w:t>
            </w:r>
            <w:r>
              <w:rPr>
                <w:rStyle w:val="IndexLink"/>
                <w:rtl w:val="true"/>
              </w:rPr>
              <w:t xml:space="preserve">: </w:t>
            </w:r>
            <w:r>
              <w:rPr>
                <w:rStyle w:val="IndexLink"/>
                <w:rtl w:val="true"/>
              </w:rPr>
              <w:t>عدم نفوذ وصیّة الصبیّ مطلقاً</w:t>
            </w:r>
            <w:r>
              <w:rPr>
                <w:rStyle w:val="IndexLink"/>
                <w:rtl w:val="true"/>
              </w:rPr>
              <w:tab/>
            </w:r>
            <w:r>
              <w:rPr>
                <w:rStyle w:val="IndexLink"/>
              </w:rPr>
              <w:t>443</w:t>
            </w:r>
          </w:hyperlink>
        </w:p>
        <w:p>
          <w:pPr>
            <w:pStyle w:val="Contents5"/>
            <w:tabs>
              <w:tab w:val="clear" w:pos="7892"/>
              <w:tab w:val="right" w:pos="9026" w:leader="dot"/>
            </w:tabs>
            <w:rPr/>
          </w:pPr>
          <w:hyperlink w:anchor="__RefHeading___Toc9697027_73709187">
            <w:r>
              <w:rPr>
                <w:webHidden/>
                <w:rStyle w:val="IndexLink"/>
                <w:rtl w:val="true"/>
              </w:rPr>
              <w:t>القول الثانی</w:t>
            </w:r>
            <w:r>
              <w:rPr>
                <w:rStyle w:val="IndexLink"/>
                <w:rtl w:val="true"/>
              </w:rPr>
              <w:t xml:space="preserve">: </w:t>
            </w:r>
            <w:r>
              <w:rPr>
                <w:rStyle w:val="IndexLink"/>
                <w:rtl w:val="true"/>
              </w:rPr>
              <w:t>نفوذ وصیّته إذا کان له عشر سنین</w:t>
            </w:r>
            <w:r>
              <w:rPr>
                <w:rStyle w:val="IndexLink"/>
                <w:rtl w:val="true"/>
              </w:rPr>
              <w:tab/>
            </w:r>
            <w:r>
              <w:rPr>
                <w:rStyle w:val="IndexLink"/>
              </w:rPr>
              <w:t>445</w:t>
            </w:r>
          </w:hyperlink>
        </w:p>
        <w:p>
          <w:pPr>
            <w:pStyle w:val="Contents6"/>
            <w:tabs>
              <w:tab w:val="clear" w:pos="7609"/>
              <w:tab w:val="right" w:pos="9026" w:leader="dot"/>
            </w:tabs>
            <w:rPr/>
          </w:pPr>
          <w:hyperlink w:anchor="__RefHeading___Toc9697029_73709187">
            <w:r>
              <w:rPr>
                <w:webHidden/>
                <w:rStyle w:val="IndexLink"/>
                <w:rtl w:val="true"/>
              </w:rPr>
              <w:t>اشارة</w:t>
            </w:r>
            <w:r>
              <w:rPr>
                <w:rStyle w:val="IndexLink"/>
                <w:rtl w:val="true"/>
              </w:rPr>
              <w:tab/>
            </w:r>
            <w:r>
              <w:rPr>
                <w:rStyle w:val="IndexLink"/>
              </w:rPr>
              <w:t>445</w:t>
            </w:r>
          </w:hyperlink>
        </w:p>
        <w:p>
          <w:pPr>
            <w:pStyle w:val="Contents6"/>
            <w:tabs>
              <w:tab w:val="clear" w:pos="7609"/>
              <w:tab w:val="right" w:pos="9026" w:leader="dot"/>
            </w:tabs>
            <w:rPr/>
          </w:pPr>
          <w:hyperlink w:anchor="__RefHeading___Toc9697031_73709187">
            <w:r>
              <w:rPr>
                <w:webHidden/>
                <w:rStyle w:val="IndexLink"/>
                <w:rtl w:val="true"/>
              </w:rPr>
              <w:t>الأدلّة علی صحّة وصیّة الصبیّ‌</w:t>
            </w:r>
            <w:r>
              <w:rPr>
                <w:rStyle w:val="IndexLink"/>
                <w:rtl w:val="true"/>
              </w:rPr>
              <w:tab/>
            </w:r>
            <w:r>
              <w:rPr>
                <w:rStyle w:val="IndexLink"/>
              </w:rPr>
              <w:t>446</w:t>
            </w:r>
          </w:hyperlink>
        </w:p>
        <w:p>
          <w:pPr>
            <w:pStyle w:val="Contents6"/>
            <w:tabs>
              <w:tab w:val="clear" w:pos="7609"/>
              <w:tab w:val="right" w:pos="9026" w:leader="dot"/>
            </w:tabs>
            <w:rPr/>
          </w:pPr>
          <w:hyperlink w:anchor="__RefHeading___Toc9697033_73709187">
            <w:r>
              <w:rPr>
                <w:webHidden/>
                <w:rStyle w:val="IndexLink"/>
                <w:rtl w:val="true"/>
              </w:rPr>
              <w:t>الجمع بین الروایات</w:t>
            </w:r>
            <w:r>
              <w:rPr>
                <w:rStyle w:val="IndexLink"/>
                <w:rtl w:val="true"/>
              </w:rPr>
              <w:tab/>
            </w:r>
            <w:r>
              <w:rPr>
                <w:rStyle w:val="IndexLink"/>
              </w:rPr>
              <w:t>448</w:t>
            </w:r>
          </w:hyperlink>
        </w:p>
        <w:p>
          <w:pPr>
            <w:pStyle w:val="Contents6"/>
            <w:tabs>
              <w:tab w:val="clear" w:pos="7609"/>
              <w:tab w:val="right" w:pos="9026" w:leader="dot"/>
            </w:tabs>
            <w:rPr/>
          </w:pPr>
          <w:hyperlink w:anchor="__RefHeading___Toc9697035_73709187">
            <w:r>
              <w:rPr>
                <w:webHidden/>
                <w:rStyle w:val="IndexLink"/>
                <w:rtl w:val="true"/>
              </w:rPr>
              <w:t>آراء أهل السنّة فی وصیّة الصبیّ‌</w:t>
            </w:r>
            <w:r>
              <w:rPr>
                <w:rStyle w:val="IndexLink"/>
                <w:rtl w:val="true"/>
              </w:rPr>
              <w:tab/>
            </w:r>
            <w:r>
              <w:rPr>
                <w:rStyle w:val="IndexLink"/>
              </w:rPr>
              <w:t>458</w:t>
            </w:r>
          </w:hyperlink>
        </w:p>
        <w:p>
          <w:pPr>
            <w:pStyle w:val="Contents6"/>
            <w:tabs>
              <w:tab w:val="clear" w:pos="7609"/>
              <w:tab w:val="right" w:pos="9026" w:leader="dot"/>
            </w:tabs>
            <w:rPr/>
          </w:pPr>
          <w:hyperlink w:anchor="__RefHeading___Toc9697037_73709187">
            <w:r>
              <w:rPr>
                <w:webHidden/>
                <w:rStyle w:val="IndexLink"/>
                <w:rtl w:val="true"/>
              </w:rPr>
              <w:t xml:space="preserve">أ </w:t>
            </w:r>
            <w:r>
              <w:rPr>
                <w:rStyle w:val="IndexLink"/>
                <w:rtl w:val="true"/>
              </w:rPr>
              <w:t xml:space="preserve">- </w:t>
            </w:r>
            <w:r>
              <w:rPr>
                <w:rStyle w:val="IndexLink"/>
                <w:rtl w:val="true"/>
              </w:rPr>
              <w:t>الحنفیّة</w:t>
            </w:r>
            <w:r>
              <w:rPr>
                <w:rStyle w:val="IndexLink"/>
                <w:rtl w:val="true"/>
              </w:rPr>
              <w:tab/>
            </w:r>
            <w:r>
              <w:rPr>
                <w:rStyle w:val="IndexLink"/>
              </w:rPr>
              <w:t>458</w:t>
            </w:r>
          </w:hyperlink>
        </w:p>
        <w:p>
          <w:pPr>
            <w:pStyle w:val="Contents6"/>
            <w:tabs>
              <w:tab w:val="clear" w:pos="7609"/>
              <w:tab w:val="right" w:pos="9026" w:leader="dot"/>
            </w:tabs>
            <w:rPr/>
          </w:pPr>
          <w:hyperlink w:anchor="__RefHeading___Toc9697039_73709187">
            <w:r>
              <w:rPr>
                <w:webHidden/>
                <w:rStyle w:val="IndexLink"/>
                <w:rtl w:val="true"/>
              </w:rPr>
              <w:t xml:space="preserve">ب </w:t>
            </w:r>
            <w:r>
              <w:rPr>
                <w:rStyle w:val="IndexLink"/>
                <w:rtl w:val="true"/>
              </w:rPr>
              <w:t xml:space="preserve">- </w:t>
            </w:r>
            <w:r>
              <w:rPr>
                <w:rStyle w:val="IndexLink"/>
                <w:rtl w:val="true"/>
              </w:rPr>
              <w:t>الحنابلة</w:t>
            </w:r>
            <w:r>
              <w:rPr>
                <w:rStyle w:val="IndexLink"/>
                <w:rtl w:val="true"/>
              </w:rPr>
              <w:tab/>
            </w:r>
            <w:r>
              <w:rPr>
                <w:rStyle w:val="IndexLink"/>
              </w:rPr>
              <w:t>459</w:t>
            </w:r>
          </w:hyperlink>
        </w:p>
        <w:p>
          <w:pPr>
            <w:pStyle w:val="Contents6"/>
            <w:tabs>
              <w:tab w:val="clear" w:pos="7609"/>
              <w:tab w:val="right" w:pos="9026" w:leader="dot"/>
            </w:tabs>
            <w:rPr/>
          </w:pPr>
          <w:hyperlink w:anchor="__RefHeading___Toc9697041_73709187">
            <w:r>
              <w:rPr>
                <w:webHidden/>
                <w:rStyle w:val="IndexLink"/>
                <w:rtl w:val="true"/>
              </w:rPr>
              <w:t xml:space="preserve">ج </w:t>
            </w:r>
            <w:r>
              <w:rPr>
                <w:rStyle w:val="IndexLink"/>
                <w:rtl w:val="true"/>
              </w:rPr>
              <w:t xml:space="preserve">- </w:t>
            </w:r>
            <w:r>
              <w:rPr>
                <w:rStyle w:val="IndexLink"/>
                <w:rtl w:val="true"/>
              </w:rPr>
              <w:t>المالکیّة</w:t>
            </w:r>
            <w:r>
              <w:rPr>
                <w:rStyle w:val="IndexLink"/>
                <w:rtl w:val="true"/>
              </w:rPr>
              <w:tab/>
            </w:r>
            <w:r>
              <w:rPr>
                <w:rStyle w:val="IndexLink"/>
              </w:rPr>
              <w:t>460</w:t>
            </w:r>
          </w:hyperlink>
        </w:p>
        <w:p>
          <w:pPr>
            <w:pStyle w:val="Contents6"/>
            <w:tabs>
              <w:tab w:val="clear" w:pos="7609"/>
              <w:tab w:val="right" w:pos="9026" w:leader="dot"/>
            </w:tabs>
            <w:rPr/>
          </w:pPr>
          <w:hyperlink w:anchor="__RefHeading___Toc9697043_73709187">
            <w:r>
              <w:rPr>
                <w:webHidden/>
                <w:rStyle w:val="IndexLink"/>
                <w:rtl w:val="true"/>
              </w:rPr>
              <w:t xml:space="preserve">د </w:t>
            </w:r>
            <w:r>
              <w:rPr>
                <w:rStyle w:val="IndexLink"/>
                <w:rtl w:val="true"/>
              </w:rPr>
              <w:t xml:space="preserve">- </w:t>
            </w:r>
            <w:r>
              <w:rPr>
                <w:rStyle w:val="IndexLink"/>
                <w:rtl w:val="true"/>
              </w:rPr>
              <w:t>الشافعیّة</w:t>
            </w:r>
            <w:r>
              <w:rPr>
                <w:rStyle w:val="IndexLink"/>
                <w:rtl w:val="true"/>
              </w:rPr>
              <w:tab/>
            </w:r>
            <w:r>
              <w:rPr>
                <w:rStyle w:val="IndexLink"/>
              </w:rPr>
              <w:t>461</w:t>
            </w:r>
          </w:hyperlink>
        </w:p>
        <w:p>
          <w:pPr>
            <w:pStyle w:val="Contents4"/>
            <w:tabs>
              <w:tab w:val="clear" w:pos="8176"/>
              <w:tab w:val="right" w:pos="9026" w:leader="dot"/>
            </w:tabs>
            <w:rPr/>
          </w:pPr>
          <w:hyperlink w:anchor="__RefHeading___Toc9697045_73709187">
            <w:r>
              <w:rPr>
                <w:webHidden/>
                <w:rStyle w:val="IndexLink"/>
                <w:rtl w:val="true"/>
              </w:rPr>
              <w:t>المبحث الثانی</w:t>
            </w:r>
            <w:r>
              <w:rPr>
                <w:rStyle w:val="IndexLink"/>
                <w:rtl w:val="true"/>
              </w:rPr>
              <w:t xml:space="preserve">: </w:t>
            </w:r>
            <w:r>
              <w:rPr>
                <w:rStyle w:val="IndexLink"/>
                <w:rtl w:val="true"/>
              </w:rPr>
              <w:t>وصایة الصبیّ‌</w:t>
            </w:r>
            <w:r>
              <w:rPr>
                <w:rStyle w:val="IndexLink"/>
                <w:rtl w:val="true"/>
              </w:rPr>
              <w:tab/>
            </w:r>
            <w:r>
              <w:rPr>
                <w:rStyle w:val="IndexLink"/>
              </w:rPr>
              <w:t>462</w:t>
            </w:r>
          </w:hyperlink>
        </w:p>
        <w:p>
          <w:pPr>
            <w:pStyle w:val="Contents5"/>
            <w:tabs>
              <w:tab w:val="clear" w:pos="7892"/>
              <w:tab w:val="right" w:pos="9026" w:leader="dot"/>
            </w:tabs>
            <w:rPr/>
          </w:pPr>
          <w:hyperlink w:anchor="__RefHeading___Toc9697047_73709187">
            <w:r>
              <w:rPr>
                <w:webHidden/>
                <w:rStyle w:val="IndexLink"/>
                <w:rtl w:val="true"/>
              </w:rPr>
              <w:t>اشارة</w:t>
            </w:r>
            <w:r>
              <w:rPr>
                <w:rStyle w:val="IndexLink"/>
                <w:rtl w:val="true"/>
              </w:rPr>
              <w:tab/>
            </w:r>
            <w:r>
              <w:rPr>
                <w:rStyle w:val="IndexLink"/>
              </w:rPr>
              <w:t>462</w:t>
            </w:r>
          </w:hyperlink>
        </w:p>
        <w:p>
          <w:pPr>
            <w:pStyle w:val="Contents5"/>
            <w:tabs>
              <w:tab w:val="clear" w:pos="7892"/>
              <w:tab w:val="right" w:pos="9026" w:leader="dot"/>
            </w:tabs>
            <w:rPr/>
          </w:pPr>
          <w:hyperlink w:anchor="__RefHeading___Toc9697049_73709187">
            <w:r>
              <w:rPr>
                <w:webHidden/>
                <w:rStyle w:val="IndexLink"/>
                <w:rtl w:val="true"/>
              </w:rPr>
              <w:t>الأوّل</w:t>
            </w:r>
            <w:r>
              <w:rPr>
                <w:rStyle w:val="IndexLink"/>
                <w:rtl w:val="true"/>
              </w:rPr>
              <w:t xml:space="preserve">: </w:t>
            </w:r>
            <w:r>
              <w:rPr>
                <w:rStyle w:val="IndexLink"/>
                <w:rtl w:val="true"/>
              </w:rPr>
              <w:t>وصایة الصبیّ منفرداً</w:t>
            </w:r>
            <w:r>
              <w:rPr>
                <w:rStyle w:val="IndexLink"/>
                <w:rtl w:val="true"/>
              </w:rPr>
              <w:tab/>
            </w:r>
            <w:r>
              <w:rPr>
                <w:rStyle w:val="IndexLink"/>
              </w:rPr>
              <w:t>462</w:t>
            </w:r>
          </w:hyperlink>
        </w:p>
        <w:p>
          <w:pPr>
            <w:pStyle w:val="Contents6"/>
            <w:tabs>
              <w:tab w:val="clear" w:pos="7609"/>
              <w:tab w:val="right" w:pos="9026" w:leader="dot"/>
            </w:tabs>
            <w:rPr/>
          </w:pPr>
          <w:hyperlink w:anchor="__RefHeading___Toc9697051_73709187">
            <w:r>
              <w:rPr>
                <w:webHidden/>
                <w:rStyle w:val="IndexLink"/>
                <w:rtl w:val="true"/>
              </w:rPr>
              <w:t>اشارة</w:t>
            </w:r>
            <w:r>
              <w:rPr>
                <w:rStyle w:val="IndexLink"/>
                <w:rtl w:val="true"/>
              </w:rPr>
              <w:tab/>
            </w:r>
            <w:r>
              <w:rPr>
                <w:rStyle w:val="IndexLink"/>
              </w:rPr>
              <w:t>462</w:t>
            </w:r>
          </w:hyperlink>
        </w:p>
        <w:p>
          <w:pPr>
            <w:pStyle w:val="Contents6"/>
            <w:tabs>
              <w:tab w:val="clear" w:pos="7609"/>
              <w:tab w:val="right" w:pos="9026" w:leader="dot"/>
            </w:tabs>
            <w:rPr/>
          </w:pPr>
          <w:hyperlink w:anchor="__RefHeading___Toc9697053_73709187">
            <w:r>
              <w:rPr>
                <w:webHidden/>
                <w:rStyle w:val="IndexLink"/>
                <w:rtl w:val="true"/>
              </w:rPr>
              <w:t>أدلّة عدم جواز وصایة الصبیّ منفرداً</w:t>
            </w:r>
            <w:r>
              <w:rPr>
                <w:rStyle w:val="IndexLink"/>
                <w:rtl w:val="true"/>
              </w:rPr>
              <w:tab/>
            </w:r>
            <w:r>
              <w:rPr>
                <w:rStyle w:val="IndexLink"/>
              </w:rPr>
              <w:t>464</w:t>
            </w:r>
          </w:hyperlink>
        </w:p>
        <w:p>
          <w:pPr>
            <w:pStyle w:val="Contents6"/>
            <w:tabs>
              <w:tab w:val="clear" w:pos="7609"/>
              <w:tab w:val="right" w:pos="9026" w:leader="dot"/>
            </w:tabs>
            <w:rPr/>
          </w:pPr>
          <w:hyperlink w:anchor="__RefHeading___Toc9697055_73709187">
            <w:r>
              <w:rPr>
                <w:webHidden/>
                <w:rStyle w:val="IndexLink"/>
                <w:rtl w:val="true"/>
              </w:rPr>
              <w:t>الأدلّة علی صحّة وصایة الصبیّ منفرداً</w:t>
            </w:r>
            <w:r>
              <w:rPr>
                <w:rStyle w:val="IndexLink"/>
                <w:rtl w:val="true"/>
              </w:rPr>
              <w:tab/>
            </w:r>
            <w:r>
              <w:rPr>
                <w:rStyle w:val="IndexLink"/>
              </w:rPr>
              <w:t>466</w:t>
            </w:r>
          </w:hyperlink>
        </w:p>
        <w:p>
          <w:pPr>
            <w:pStyle w:val="Contents6"/>
            <w:tabs>
              <w:tab w:val="clear" w:pos="7609"/>
              <w:tab w:val="right" w:pos="9026" w:leader="dot"/>
            </w:tabs>
            <w:rPr/>
          </w:pPr>
          <w:hyperlink w:anchor="__RefHeading___Toc9697057_73709187">
            <w:r>
              <w:rPr>
                <w:webHidden/>
                <w:rStyle w:val="IndexLink"/>
                <w:rtl w:val="true"/>
              </w:rPr>
              <w:t>جواز تصرّف الصبیّ مع إذن الولیّ‌</w:t>
            </w:r>
            <w:r>
              <w:rPr>
                <w:rStyle w:val="IndexLink"/>
                <w:rtl w:val="true"/>
              </w:rPr>
              <w:tab/>
            </w:r>
            <w:r>
              <w:rPr>
                <w:rStyle w:val="IndexLink"/>
              </w:rPr>
              <w:t>469</w:t>
            </w:r>
          </w:hyperlink>
        </w:p>
        <w:p>
          <w:pPr>
            <w:pStyle w:val="Contents6"/>
            <w:tabs>
              <w:tab w:val="clear" w:pos="7609"/>
              <w:tab w:val="right" w:pos="9026" w:leader="dot"/>
            </w:tabs>
            <w:rPr/>
          </w:pPr>
          <w:hyperlink w:anchor="__RefHeading___Toc9697059_73709187">
            <w:r>
              <w:rPr>
                <w:webHidden/>
                <w:rStyle w:val="IndexLink"/>
                <w:rtl w:val="true"/>
              </w:rPr>
              <w:t>وصایة الصبیّ عند أهل السنّة</w:t>
            </w:r>
            <w:r>
              <w:rPr>
                <w:rStyle w:val="IndexLink"/>
                <w:rtl w:val="true"/>
              </w:rPr>
              <w:tab/>
            </w:r>
            <w:r>
              <w:rPr>
                <w:rStyle w:val="IndexLink"/>
              </w:rPr>
              <w:t>470</w:t>
            </w:r>
          </w:hyperlink>
        </w:p>
        <w:p>
          <w:pPr>
            <w:pStyle w:val="Contents5"/>
            <w:tabs>
              <w:tab w:val="clear" w:pos="7892"/>
              <w:tab w:val="right" w:pos="9026" w:leader="dot"/>
            </w:tabs>
            <w:rPr/>
          </w:pPr>
          <w:hyperlink w:anchor="__RefHeading___Toc9697061_73709187">
            <w:r>
              <w:rPr>
                <w:webHidden/>
                <w:rStyle w:val="IndexLink"/>
                <w:rtl w:val="true"/>
              </w:rPr>
              <w:t>المطلب الثانی</w:t>
            </w:r>
            <w:r>
              <w:rPr>
                <w:rStyle w:val="IndexLink"/>
                <w:rtl w:val="true"/>
              </w:rPr>
              <w:t xml:space="preserve">: </w:t>
            </w:r>
            <w:r>
              <w:rPr>
                <w:rStyle w:val="IndexLink"/>
                <w:rtl w:val="true"/>
              </w:rPr>
              <w:t>تعلیق الوصایة علی البلوغ</w:t>
            </w:r>
            <w:r>
              <w:rPr>
                <w:rStyle w:val="IndexLink"/>
                <w:rtl w:val="true"/>
              </w:rPr>
              <w:tab/>
            </w:r>
            <w:r>
              <w:rPr>
                <w:rStyle w:val="IndexLink"/>
              </w:rPr>
              <w:t>471</w:t>
            </w:r>
          </w:hyperlink>
        </w:p>
        <w:p>
          <w:pPr>
            <w:pStyle w:val="Contents6"/>
            <w:tabs>
              <w:tab w:val="clear" w:pos="7609"/>
              <w:tab w:val="right" w:pos="9026" w:leader="dot"/>
            </w:tabs>
            <w:rPr/>
          </w:pPr>
          <w:hyperlink w:anchor="__RefHeading___Toc9697063_73709187">
            <w:r>
              <w:rPr>
                <w:webHidden/>
                <w:rStyle w:val="IndexLink"/>
                <w:rtl w:val="true"/>
              </w:rPr>
              <w:t>اشارة</w:t>
            </w:r>
            <w:r>
              <w:rPr>
                <w:rStyle w:val="IndexLink"/>
                <w:rtl w:val="true"/>
              </w:rPr>
              <w:tab/>
            </w:r>
            <w:r>
              <w:rPr>
                <w:rStyle w:val="IndexLink"/>
              </w:rPr>
              <w:t>471</w:t>
            </w:r>
          </w:hyperlink>
        </w:p>
        <w:p>
          <w:pPr>
            <w:pStyle w:val="Contents6"/>
            <w:tabs>
              <w:tab w:val="clear" w:pos="7609"/>
              <w:tab w:val="right" w:pos="9026" w:leader="dot"/>
            </w:tabs>
            <w:rPr/>
          </w:pPr>
          <w:hyperlink w:anchor="__RefHeading___Toc9697065_73709187">
            <w:r>
              <w:rPr>
                <w:webHidden/>
                <w:rStyle w:val="IndexLink"/>
                <w:rtl w:val="true"/>
              </w:rPr>
              <w:t>القول الثانی</w:t>
            </w:r>
            <w:r>
              <w:rPr>
                <w:rStyle w:val="IndexLink"/>
                <w:rtl w:val="true"/>
              </w:rPr>
              <w:t xml:space="preserve">: </w:t>
            </w:r>
            <w:r>
              <w:rPr>
                <w:rStyle w:val="IndexLink"/>
                <w:rtl w:val="true"/>
              </w:rPr>
              <w:t>أنّه لا یصحّ‌</w:t>
            </w:r>
            <w:r>
              <w:rPr>
                <w:rStyle w:val="IndexLink"/>
                <w:rtl w:val="true"/>
              </w:rPr>
              <w:tab/>
            </w:r>
            <w:r>
              <w:rPr>
                <w:rStyle w:val="IndexLink"/>
              </w:rPr>
              <w:t>473</w:t>
            </w:r>
          </w:hyperlink>
        </w:p>
        <w:p>
          <w:pPr>
            <w:pStyle w:val="Contents6"/>
            <w:tabs>
              <w:tab w:val="clear" w:pos="7609"/>
              <w:tab w:val="right" w:pos="9026" w:leader="dot"/>
            </w:tabs>
            <w:rPr/>
          </w:pPr>
          <w:hyperlink w:anchor="__RefHeading___Toc9697067_73709187">
            <w:r>
              <w:rPr>
                <w:webHidden/>
                <w:rStyle w:val="IndexLink"/>
                <w:rtl w:val="true"/>
              </w:rPr>
              <w:t>تعلیق وصایة الصبیّ علی بلوغه عند أهل السنّة</w:t>
            </w:r>
            <w:r>
              <w:rPr>
                <w:rStyle w:val="IndexLink"/>
                <w:rtl w:val="true"/>
              </w:rPr>
              <w:tab/>
            </w:r>
            <w:r>
              <w:rPr>
                <w:rStyle w:val="IndexLink"/>
              </w:rPr>
              <w:t>474</w:t>
            </w:r>
          </w:hyperlink>
        </w:p>
        <w:p>
          <w:pPr>
            <w:pStyle w:val="Contents5"/>
            <w:tabs>
              <w:tab w:val="clear" w:pos="7892"/>
              <w:tab w:val="right" w:pos="9026" w:leader="dot"/>
            </w:tabs>
            <w:rPr/>
          </w:pPr>
          <w:hyperlink w:anchor="__RefHeading___Toc9697069_73709187">
            <w:r>
              <w:rPr>
                <w:webHidden/>
                <w:rStyle w:val="IndexLink"/>
                <w:rtl w:val="true"/>
              </w:rPr>
              <w:t>المطلب الثالث</w:t>
            </w:r>
            <w:r>
              <w:rPr>
                <w:rStyle w:val="IndexLink"/>
                <w:rtl w:val="true"/>
              </w:rPr>
              <w:t xml:space="preserve">: </w:t>
            </w:r>
            <w:r>
              <w:rPr>
                <w:rStyle w:val="IndexLink"/>
                <w:rtl w:val="true"/>
              </w:rPr>
              <w:t>وقت اعتبار البلوغ فی الوصیّ‌</w:t>
            </w:r>
            <w:r>
              <w:rPr>
                <w:rStyle w:val="IndexLink"/>
                <w:rtl w:val="true"/>
              </w:rPr>
              <w:tab/>
            </w:r>
            <w:r>
              <w:rPr>
                <w:rStyle w:val="IndexLink"/>
              </w:rPr>
              <w:t>475</w:t>
            </w:r>
          </w:hyperlink>
        </w:p>
        <w:p>
          <w:pPr>
            <w:pStyle w:val="Contents6"/>
            <w:tabs>
              <w:tab w:val="clear" w:pos="7609"/>
              <w:tab w:val="right" w:pos="9026" w:leader="dot"/>
            </w:tabs>
            <w:rPr/>
          </w:pPr>
          <w:hyperlink w:anchor="__RefHeading___Toc9697071_73709187">
            <w:r>
              <w:rPr>
                <w:webHidden/>
                <w:rStyle w:val="IndexLink"/>
                <w:rtl w:val="true"/>
              </w:rPr>
              <w:t>اشارة</w:t>
            </w:r>
            <w:r>
              <w:rPr>
                <w:rStyle w:val="IndexLink"/>
                <w:rtl w:val="true"/>
              </w:rPr>
              <w:tab/>
            </w:r>
            <w:r>
              <w:rPr>
                <w:rStyle w:val="IndexLink"/>
              </w:rPr>
              <w:t>475</w:t>
            </w:r>
          </w:hyperlink>
        </w:p>
        <w:p>
          <w:pPr>
            <w:pStyle w:val="Contents6"/>
            <w:tabs>
              <w:tab w:val="clear" w:pos="7609"/>
              <w:tab w:val="right" w:pos="9026" w:leader="dot"/>
            </w:tabs>
            <w:rPr/>
          </w:pPr>
          <w:hyperlink w:anchor="__RefHeading___Toc9697073_73709187">
            <w:r>
              <w:rPr>
                <w:webHidden/>
                <w:rStyle w:val="IndexLink"/>
                <w:rtl w:val="true"/>
              </w:rPr>
              <w:t>وقت اعتبار البلوغ فی الوصیّ عند أهل السنّة</w:t>
            </w:r>
            <w:r>
              <w:rPr>
                <w:rStyle w:val="IndexLink"/>
                <w:rtl w:val="true"/>
              </w:rPr>
              <w:tab/>
            </w:r>
            <w:r>
              <w:rPr>
                <w:rStyle w:val="IndexLink"/>
              </w:rPr>
              <w:t>481</w:t>
            </w:r>
          </w:hyperlink>
        </w:p>
        <w:p>
          <w:pPr>
            <w:pStyle w:val="Contents5"/>
            <w:tabs>
              <w:tab w:val="clear" w:pos="7892"/>
              <w:tab w:val="right" w:pos="9026" w:leader="dot"/>
            </w:tabs>
            <w:rPr/>
          </w:pPr>
          <w:hyperlink w:anchor="__RefHeading___Toc9697075_73709187">
            <w:r>
              <w:rPr>
                <w:webHidden/>
                <w:rStyle w:val="IndexLink"/>
                <w:rtl w:val="true"/>
              </w:rPr>
              <w:t>المطلب الرابع</w:t>
            </w:r>
            <w:r>
              <w:rPr>
                <w:rStyle w:val="IndexLink"/>
                <w:rtl w:val="true"/>
              </w:rPr>
              <w:t xml:space="preserve">: </w:t>
            </w:r>
            <w:r>
              <w:rPr>
                <w:rStyle w:val="IndexLink"/>
                <w:rtl w:val="true"/>
              </w:rPr>
              <w:t>الإیصاء إلی الصبیّ منضمّاً إلی البالغ</w:t>
            </w:r>
            <w:r>
              <w:rPr>
                <w:rStyle w:val="IndexLink"/>
                <w:rtl w:val="true"/>
              </w:rPr>
              <w:tab/>
            </w:r>
            <w:r>
              <w:rPr>
                <w:rStyle w:val="IndexLink"/>
              </w:rPr>
              <w:t>483</w:t>
            </w:r>
          </w:hyperlink>
        </w:p>
        <w:p>
          <w:pPr>
            <w:pStyle w:val="Contents6"/>
            <w:tabs>
              <w:tab w:val="clear" w:pos="7609"/>
              <w:tab w:val="right" w:pos="9026" w:leader="dot"/>
            </w:tabs>
            <w:rPr/>
          </w:pPr>
          <w:hyperlink w:anchor="__RefHeading___Toc9697077_73709187">
            <w:r>
              <w:rPr>
                <w:webHidden/>
                <w:rStyle w:val="IndexLink"/>
                <w:rtl w:val="true"/>
              </w:rPr>
              <w:t>اشارة</w:t>
            </w:r>
            <w:r>
              <w:rPr>
                <w:rStyle w:val="IndexLink"/>
                <w:rtl w:val="true"/>
              </w:rPr>
              <w:tab/>
            </w:r>
            <w:r>
              <w:rPr>
                <w:rStyle w:val="IndexLink"/>
              </w:rPr>
              <w:t>483</w:t>
            </w:r>
          </w:hyperlink>
        </w:p>
        <w:p>
          <w:pPr>
            <w:pStyle w:val="Contents6"/>
            <w:tabs>
              <w:tab w:val="clear" w:pos="7609"/>
              <w:tab w:val="right" w:pos="9026" w:leader="dot"/>
            </w:tabs>
            <w:rPr/>
          </w:pPr>
          <w:hyperlink w:anchor="__RefHeading___Toc9697079_73709187">
            <w:r>
              <w:rPr>
                <w:webHidden/>
                <w:rStyle w:val="IndexLink"/>
                <w:rtl w:val="true"/>
              </w:rPr>
              <w:t>الأدلّة علی صحّة وصایة الصبیّ منضمّاً</w:t>
            </w:r>
            <w:r>
              <w:rPr>
                <w:rStyle w:val="IndexLink"/>
                <w:rtl w:val="true"/>
              </w:rPr>
              <w:tab/>
            </w:r>
            <w:r>
              <w:rPr>
                <w:rStyle w:val="IndexLink"/>
              </w:rPr>
              <w:t>484</w:t>
            </w:r>
          </w:hyperlink>
        </w:p>
        <w:p>
          <w:pPr>
            <w:pStyle w:val="Contents6"/>
            <w:tabs>
              <w:tab w:val="clear" w:pos="7609"/>
              <w:tab w:val="right" w:pos="9026" w:leader="dot"/>
            </w:tabs>
            <w:rPr/>
          </w:pPr>
          <w:hyperlink w:anchor="__RefHeading___Toc9697081_73709187">
            <w:r>
              <w:rPr>
                <w:webHidden/>
                <w:rStyle w:val="IndexLink"/>
                <w:rtl w:val="true"/>
              </w:rPr>
              <w:t>جواز تصرّف الکبیر قبل بلوغ الصبیّ‌</w:t>
            </w:r>
            <w:r>
              <w:rPr>
                <w:rStyle w:val="IndexLink"/>
                <w:rtl w:val="true"/>
              </w:rPr>
              <w:tab/>
            </w:r>
            <w:r>
              <w:rPr>
                <w:rStyle w:val="IndexLink"/>
              </w:rPr>
              <w:t>486</w:t>
            </w:r>
          </w:hyperlink>
        </w:p>
        <w:p>
          <w:pPr>
            <w:pStyle w:val="Contents6"/>
            <w:tabs>
              <w:tab w:val="clear" w:pos="7609"/>
              <w:tab w:val="right" w:pos="9026" w:leader="dot"/>
            </w:tabs>
            <w:rPr/>
          </w:pPr>
          <w:hyperlink w:anchor="__RefHeading___Toc9697083_73709187">
            <w:r>
              <w:rPr>
                <w:webHidden/>
                <w:rStyle w:val="IndexLink"/>
                <w:rtl w:val="true"/>
              </w:rPr>
              <w:t>فرعان</w:t>
            </w:r>
            <w:r>
              <w:rPr>
                <w:rStyle w:val="IndexLink"/>
                <w:rtl w:val="true"/>
              </w:rPr>
              <w:tab/>
            </w:r>
            <w:r>
              <w:rPr>
                <w:rStyle w:val="IndexLink"/>
              </w:rPr>
              <w:t>489</w:t>
            </w:r>
          </w:hyperlink>
        </w:p>
        <w:p>
          <w:pPr>
            <w:pStyle w:val="Contents3"/>
            <w:tabs>
              <w:tab w:val="clear" w:pos="8459"/>
              <w:tab w:val="right" w:pos="9026" w:leader="dot"/>
            </w:tabs>
            <w:rPr/>
          </w:pPr>
          <w:hyperlink w:anchor="__RefHeading___Toc9697085_73709187">
            <w:r>
              <w:rPr>
                <w:webHidden/>
                <w:rStyle w:val="IndexLink"/>
                <w:rtl w:val="true"/>
              </w:rPr>
              <w:t>الفصل الثامن عشر</w:t>
            </w:r>
            <w:r>
              <w:rPr>
                <w:rStyle w:val="IndexLink"/>
                <w:rtl w:val="true"/>
              </w:rPr>
              <w:t xml:space="preserve">: </w:t>
            </w:r>
            <w:r>
              <w:rPr>
                <w:rStyle w:val="IndexLink"/>
                <w:rtl w:val="true"/>
              </w:rPr>
              <w:t>نکاح الصبیّ و طلاقه</w:t>
            </w:r>
            <w:r>
              <w:rPr>
                <w:rStyle w:val="IndexLink"/>
                <w:rtl w:val="true"/>
              </w:rPr>
              <w:tab/>
            </w:r>
            <w:r>
              <w:rPr>
                <w:rStyle w:val="IndexLink"/>
              </w:rPr>
              <w:t>493</w:t>
            </w:r>
          </w:hyperlink>
        </w:p>
        <w:p>
          <w:pPr>
            <w:pStyle w:val="Contents4"/>
            <w:tabs>
              <w:tab w:val="clear" w:pos="8176"/>
              <w:tab w:val="right" w:pos="9026" w:leader="dot"/>
            </w:tabs>
            <w:rPr/>
          </w:pPr>
          <w:hyperlink w:anchor="__RefHeading___Toc9697087_73709187">
            <w:r>
              <w:rPr>
                <w:webHidden/>
                <w:rStyle w:val="IndexLink"/>
                <w:rtl w:val="true"/>
              </w:rPr>
              <w:t>اشارة</w:t>
            </w:r>
            <w:r>
              <w:rPr>
                <w:rStyle w:val="IndexLink"/>
                <w:rtl w:val="true"/>
              </w:rPr>
              <w:tab/>
            </w:r>
            <w:r>
              <w:rPr>
                <w:rStyle w:val="IndexLink"/>
              </w:rPr>
              <w:t>493</w:t>
            </w:r>
          </w:hyperlink>
        </w:p>
        <w:p>
          <w:pPr>
            <w:pStyle w:val="Contents4"/>
            <w:tabs>
              <w:tab w:val="clear" w:pos="8176"/>
              <w:tab w:val="right" w:pos="9026" w:leader="dot"/>
            </w:tabs>
            <w:rPr/>
          </w:pPr>
          <w:hyperlink w:anchor="__RefHeading___Toc9697089_73709187">
            <w:r>
              <w:rPr>
                <w:webHidden/>
                <w:rStyle w:val="IndexLink"/>
                <w:rtl w:val="true"/>
              </w:rPr>
              <w:t>المبحث الأوّل</w:t>
            </w:r>
            <w:r>
              <w:rPr>
                <w:rStyle w:val="IndexLink"/>
                <w:rtl w:val="true"/>
              </w:rPr>
              <w:t xml:space="preserve">: </w:t>
            </w:r>
            <w:r>
              <w:rPr>
                <w:rStyle w:val="IndexLink"/>
                <w:rtl w:val="true"/>
              </w:rPr>
              <w:t>نکاح الصبیّ‌</w:t>
            </w:r>
            <w:r>
              <w:rPr>
                <w:rStyle w:val="IndexLink"/>
                <w:rtl w:val="true"/>
              </w:rPr>
              <w:tab/>
            </w:r>
            <w:r>
              <w:rPr>
                <w:rStyle w:val="IndexLink"/>
              </w:rPr>
              <w:t>493</w:t>
            </w:r>
          </w:hyperlink>
        </w:p>
        <w:p>
          <w:pPr>
            <w:pStyle w:val="Contents5"/>
            <w:tabs>
              <w:tab w:val="clear" w:pos="7892"/>
              <w:tab w:val="right" w:pos="9026" w:leader="dot"/>
            </w:tabs>
            <w:rPr/>
          </w:pPr>
          <w:hyperlink w:anchor="__RefHeading___Toc9697091_73709187">
            <w:r>
              <w:rPr>
                <w:webHidden/>
                <w:rStyle w:val="IndexLink"/>
                <w:rtl w:val="true"/>
              </w:rPr>
              <w:t>اشارة</w:t>
            </w:r>
            <w:r>
              <w:rPr>
                <w:rStyle w:val="IndexLink"/>
                <w:rtl w:val="true"/>
              </w:rPr>
              <w:tab/>
            </w:r>
            <w:r>
              <w:rPr>
                <w:rStyle w:val="IndexLink"/>
              </w:rPr>
              <w:t>493</w:t>
            </w:r>
          </w:hyperlink>
        </w:p>
        <w:p>
          <w:pPr>
            <w:pStyle w:val="Contents5"/>
            <w:tabs>
              <w:tab w:val="clear" w:pos="7892"/>
              <w:tab w:val="right" w:pos="9026" w:leader="dot"/>
            </w:tabs>
            <w:rPr/>
          </w:pPr>
          <w:hyperlink w:anchor="__RefHeading___Toc9697093_73709187">
            <w:r>
              <w:rPr>
                <w:webHidden/>
                <w:rStyle w:val="IndexLink"/>
                <w:rtl w:val="true"/>
              </w:rPr>
              <w:t>أدلّة عدم صحّة مباشرة الصبیّ لإنشاء عقد النکاح</w:t>
            </w:r>
            <w:r>
              <w:rPr>
                <w:rStyle w:val="IndexLink"/>
                <w:rtl w:val="true"/>
              </w:rPr>
              <w:tab/>
            </w:r>
            <w:r>
              <w:rPr>
                <w:rStyle w:val="IndexLink"/>
              </w:rPr>
              <w:t>494</w:t>
            </w:r>
          </w:hyperlink>
        </w:p>
        <w:p>
          <w:pPr>
            <w:pStyle w:val="Contents5"/>
            <w:tabs>
              <w:tab w:val="clear" w:pos="7892"/>
              <w:tab w:val="right" w:pos="9026" w:leader="dot"/>
            </w:tabs>
            <w:rPr/>
          </w:pPr>
          <w:hyperlink w:anchor="__RefHeading___Toc9697095_73709187">
            <w:r>
              <w:rPr>
                <w:webHidden/>
                <w:rStyle w:val="IndexLink"/>
                <w:rtl w:val="true"/>
              </w:rPr>
              <w:t>الأدلّة الخاصّة علی عدم صحّة مباشرة الصبیّ لإنشاء عقد النکاح</w:t>
            </w:r>
            <w:r>
              <w:rPr>
                <w:rStyle w:val="IndexLink"/>
                <w:rtl w:val="true"/>
              </w:rPr>
              <w:tab/>
            </w:r>
            <w:r>
              <w:rPr>
                <w:rStyle w:val="IndexLink"/>
              </w:rPr>
              <w:t>499</w:t>
            </w:r>
          </w:hyperlink>
        </w:p>
        <w:p>
          <w:pPr>
            <w:pStyle w:val="Contents5"/>
            <w:tabs>
              <w:tab w:val="clear" w:pos="7892"/>
              <w:tab w:val="right" w:pos="9026" w:leader="dot"/>
            </w:tabs>
            <w:rPr/>
          </w:pPr>
          <w:hyperlink w:anchor="__RefHeading___Toc9697097_73709187">
            <w:r>
              <w:rPr>
                <w:webHidden/>
                <w:rStyle w:val="IndexLink"/>
                <w:rtl w:val="true"/>
              </w:rPr>
              <w:t>مباشرة الصبیّ عقد النکاح بإذن الولیّ أو بالوکالة</w:t>
            </w:r>
            <w:r>
              <w:rPr>
                <w:rStyle w:val="IndexLink"/>
                <w:rtl w:val="true"/>
              </w:rPr>
              <w:tab/>
            </w:r>
            <w:r>
              <w:rPr>
                <w:rStyle w:val="IndexLink"/>
              </w:rPr>
              <w:t>501</w:t>
            </w:r>
          </w:hyperlink>
        </w:p>
        <w:p>
          <w:pPr>
            <w:pStyle w:val="Contents5"/>
            <w:tabs>
              <w:tab w:val="clear" w:pos="7892"/>
              <w:tab w:val="right" w:pos="9026" w:leader="dot"/>
            </w:tabs>
            <w:rPr/>
          </w:pPr>
          <w:hyperlink w:anchor="__RefHeading___Toc9697099_73709187">
            <w:r>
              <w:rPr>
                <w:webHidden/>
                <w:rStyle w:val="IndexLink"/>
                <w:rtl w:val="true"/>
              </w:rPr>
              <w:t>القول الثانی</w:t>
            </w:r>
            <w:r>
              <w:rPr>
                <w:rStyle w:val="IndexLink"/>
                <w:rtl w:val="true"/>
              </w:rPr>
              <w:t xml:space="preserve">: </w:t>
            </w:r>
            <w:r>
              <w:rPr>
                <w:rStyle w:val="IndexLink"/>
                <w:rtl w:val="true"/>
              </w:rPr>
              <w:t>أنّه یصحّ‌</w:t>
            </w:r>
            <w:r>
              <w:rPr>
                <w:rStyle w:val="IndexLink"/>
                <w:rtl w:val="true"/>
              </w:rPr>
              <w:tab/>
            </w:r>
            <w:r>
              <w:rPr>
                <w:rStyle w:val="IndexLink"/>
              </w:rPr>
              <w:t>504</w:t>
            </w:r>
          </w:hyperlink>
        </w:p>
        <w:p>
          <w:pPr>
            <w:pStyle w:val="Contents5"/>
            <w:tabs>
              <w:tab w:val="clear" w:pos="7892"/>
              <w:tab w:val="right" w:pos="9026" w:leader="dot"/>
            </w:tabs>
            <w:rPr/>
          </w:pPr>
          <w:hyperlink w:anchor="__RefHeading___Toc9697101_73709187">
            <w:r>
              <w:rPr>
                <w:webHidden/>
                <w:rStyle w:val="IndexLink"/>
                <w:rtl w:val="true"/>
              </w:rPr>
              <w:t>أدلّة صحّة عقد نکاح الصبیّ وکالة عن غیره</w:t>
            </w:r>
            <w:r>
              <w:rPr>
                <w:rStyle w:val="IndexLink"/>
                <w:rtl w:val="true"/>
              </w:rPr>
              <w:tab/>
            </w:r>
            <w:r>
              <w:rPr>
                <w:rStyle w:val="IndexLink"/>
              </w:rPr>
              <w:t>505</w:t>
            </w:r>
          </w:hyperlink>
        </w:p>
        <w:p>
          <w:pPr>
            <w:pStyle w:val="Contents5"/>
            <w:tabs>
              <w:tab w:val="clear" w:pos="7892"/>
              <w:tab w:val="right" w:pos="9026" w:leader="dot"/>
            </w:tabs>
            <w:rPr/>
          </w:pPr>
          <w:hyperlink w:anchor="__RefHeading___Toc9697103_73709187">
            <w:r>
              <w:rPr>
                <w:webHidden/>
                <w:rStyle w:val="IndexLink"/>
                <w:rtl w:val="true"/>
              </w:rPr>
              <w:t>الفرق بین الإذن و الإجازة و الوکالة</w:t>
            </w:r>
            <w:r>
              <w:rPr>
                <w:rStyle w:val="IndexLink"/>
                <w:rtl w:val="true"/>
              </w:rPr>
              <w:tab/>
            </w:r>
            <w:r>
              <w:rPr>
                <w:rStyle w:val="IndexLink"/>
              </w:rPr>
              <w:t>508</w:t>
            </w:r>
          </w:hyperlink>
        </w:p>
        <w:p>
          <w:pPr>
            <w:pStyle w:val="Contents5"/>
            <w:tabs>
              <w:tab w:val="clear" w:pos="7892"/>
              <w:tab w:val="right" w:pos="9026" w:leader="dot"/>
            </w:tabs>
            <w:rPr/>
          </w:pPr>
          <w:hyperlink w:anchor="__RefHeading___Toc9697105_73709187">
            <w:r>
              <w:rPr>
                <w:webHidden/>
                <w:rStyle w:val="IndexLink"/>
                <w:rtl w:val="true"/>
              </w:rPr>
              <w:t>نکاح الصبیّ عند أهل السنّة</w:t>
            </w:r>
            <w:r>
              <w:rPr>
                <w:rStyle w:val="IndexLink"/>
                <w:rtl w:val="true"/>
              </w:rPr>
              <w:tab/>
            </w:r>
            <w:r>
              <w:rPr>
                <w:rStyle w:val="IndexLink"/>
              </w:rPr>
              <w:t>509</w:t>
            </w:r>
          </w:hyperlink>
        </w:p>
        <w:p>
          <w:pPr>
            <w:pStyle w:val="Contents4"/>
            <w:tabs>
              <w:tab w:val="clear" w:pos="8176"/>
              <w:tab w:val="right" w:pos="9026" w:leader="dot"/>
            </w:tabs>
            <w:rPr/>
          </w:pPr>
          <w:hyperlink w:anchor="__RefHeading___Toc9697107_73709187">
            <w:r>
              <w:rPr>
                <w:webHidden/>
                <w:rStyle w:val="IndexLink"/>
                <w:rtl w:val="true"/>
              </w:rPr>
              <w:t>المبحث الثانی</w:t>
            </w:r>
            <w:r>
              <w:rPr>
                <w:rStyle w:val="IndexLink"/>
                <w:rtl w:val="true"/>
              </w:rPr>
              <w:t xml:space="preserve">: </w:t>
            </w:r>
            <w:r>
              <w:rPr>
                <w:rStyle w:val="IndexLink"/>
                <w:rtl w:val="true"/>
              </w:rPr>
              <w:t>طلاق الصبیّ‌</w:t>
            </w:r>
            <w:r>
              <w:rPr>
                <w:rStyle w:val="IndexLink"/>
                <w:rtl w:val="true"/>
              </w:rPr>
              <w:tab/>
            </w:r>
            <w:r>
              <w:rPr>
                <w:rStyle w:val="IndexLink"/>
              </w:rPr>
              <w:t>512</w:t>
            </w:r>
          </w:hyperlink>
        </w:p>
        <w:p>
          <w:pPr>
            <w:pStyle w:val="Contents5"/>
            <w:tabs>
              <w:tab w:val="clear" w:pos="7892"/>
              <w:tab w:val="right" w:pos="9026" w:leader="dot"/>
            </w:tabs>
            <w:rPr/>
          </w:pPr>
          <w:hyperlink w:anchor="__RefHeading___Toc9697109_73709187">
            <w:r>
              <w:rPr>
                <w:webHidden/>
                <w:rStyle w:val="IndexLink"/>
                <w:rtl w:val="true"/>
              </w:rPr>
              <w:t>اشارة</w:t>
            </w:r>
            <w:r>
              <w:rPr>
                <w:rStyle w:val="IndexLink"/>
                <w:rtl w:val="true"/>
              </w:rPr>
              <w:tab/>
            </w:r>
            <w:r>
              <w:rPr>
                <w:rStyle w:val="IndexLink"/>
              </w:rPr>
              <w:t>512</w:t>
            </w:r>
          </w:hyperlink>
        </w:p>
        <w:p>
          <w:pPr>
            <w:pStyle w:val="Contents5"/>
            <w:tabs>
              <w:tab w:val="clear" w:pos="7892"/>
              <w:tab w:val="right" w:pos="9026" w:leader="dot"/>
            </w:tabs>
            <w:rPr/>
          </w:pPr>
          <w:hyperlink w:anchor="__RefHeading___Toc9697111_73709187">
            <w:r>
              <w:rPr>
                <w:webHidden/>
                <w:rStyle w:val="IndexLink"/>
                <w:rtl w:val="true"/>
              </w:rPr>
              <w:t>أدلّة صحّة طلاق الصبیّ‌</w:t>
            </w:r>
            <w:r>
              <w:rPr>
                <w:rStyle w:val="IndexLink"/>
                <w:rtl w:val="true"/>
              </w:rPr>
              <w:tab/>
            </w:r>
            <w:r>
              <w:rPr>
                <w:rStyle w:val="IndexLink"/>
              </w:rPr>
              <w:t>514</w:t>
            </w:r>
          </w:hyperlink>
        </w:p>
        <w:p>
          <w:pPr>
            <w:pStyle w:val="Contents5"/>
            <w:tabs>
              <w:tab w:val="clear" w:pos="7892"/>
              <w:tab w:val="right" w:pos="9026" w:leader="dot"/>
            </w:tabs>
            <w:rPr/>
          </w:pPr>
          <w:hyperlink w:anchor="__RefHeading___Toc9697113_73709187">
            <w:r>
              <w:rPr>
                <w:webHidden/>
                <w:rStyle w:val="IndexLink"/>
                <w:rtl w:val="true"/>
              </w:rPr>
              <w:t>المناقشة فی الاستدلال بالروایات</w:t>
            </w:r>
            <w:r>
              <w:rPr>
                <w:rStyle w:val="IndexLink"/>
                <w:rtl w:val="true"/>
              </w:rPr>
              <w:tab/>
            </w:r>
            <w:r>
              <w:rPr>
                <w:rStyle w:val="IndexLink"/>
              </w:rPr>
              <w:t>517</w:t>
            </w:r>
          </w:hyperlink>
        </w:p>
        <w:p>
          <w:pPr>
            <w:pStyle w:val="Contents5"/>
            <w:tabs>
              <w:tab w:val="clear" w:pos="7892"/>
              <w:tab w:val="right" w:pos="9026" w:leader="dot"/>
            </w:tabs>
            <w:rPr/>
          </w:pPr>
          <w:hyperlink w:anchor="__RefHeading___Toc9697115_73709187">
            <w:r>
              <w:rPr>
                <w:webHidden/>
                <w:rStyle w:val="IndexLink"/>
                <w:rtl w:val="true"/>
              </w:rPr>
              <w:t>عدم صحّة طلاق الصبیّ‌</w:t>
            </w:r>
            <w:r>
              <w:rPr>
                <w:rStyle w:val="IndexLink"/>
                <w:rtl w:val="true"/>
              </w:rPr>
              <w:tab/>
            </w:r>
            <w:r>
              <w:rPr>
                <w:rStyle w:val="IndexLink"/>
              </w:rPr>
              <w:t>518</w:t>
            </w:r>
          </w:hyperlink>
        </w:p>
        <w:p>
          <w:pPr>
            <w:pStyle w:val="Contents5"/>
            <w:tabs>
              <w:tab w:val="clear" w:pos="7892"/>
              <w:tab w:val="right" w:pos="9026" w:leader="dot"/>
            </w:tabs>
            <w:rPr/>
          </w:pPr>
          <w:hyperlink w:anchor="__RefHeading___Toc9697117_73709187">
            <w:r>
              <w:rPr>
                <w:webHidden/>
                <w:rStyle w:val="IndexLink"/>
                <w:rtl w:val="true"/>
              </w:rPr>
              <w:t>أدلّة القول بعدم صحّة طلاق الصبیّ‌</w:t>
            </w:r>
            <w:r>
              <w:rPr>
                <w:rStyle w:val="IndexLink"/>
                <w:rtl w:val="true"/>
              </w:rPr>
              <w:tab/>
            </w:r>
            <w:r>
              <w:rPr>
                <w:rStyle w:val="IndexLink"/>
              </w:rPr>
              <w:t>519</w:t>
            </w:r>
          </w:hyperlink>
        </w:p>
        <w:p>
          <w:pPr>
            <w:pStyle w:val="Contents5"/>
            <w:tabs>
              <w:tab w:val="clear" w:pos="7892"/>
              <w:tab w:val="right" w:pos="9026" w:leader="dot"/>
            </w:tabs>
            <w:rPr/>
          </w:pPr>
          <w:hyperlink w:anchor="__RefHeading___Toc9697119_73709187">
            <w:r>
              <w:rPr>
                <w:webHidden/>
                <w:rStyle w:val="IndexLink"/>
                <w:rtl w:val="true"/>
              </w:rPr>
              <w:t>الاستدلال بحدیث الرفع</w:t>
            </w:r>
            <w:r>
              <w:rPr>
                <w:rStyle w:val="IndexLink"/>
                <w:rtl w:val="true"/>
              </w:rPr>
              <w:tab/>
            </w:r>
            <w:r>
              <w:rPr>
                <w:rStyle w:val="IndexLink"/>
              </w:rPr>
              <w:t>523</w:t>
            </w:r>
          </w:hyperlink>
        </w:p>
        <w:p>
          <w:pPr>
            <w:pStyle w:val="Contents5"/>
            <w:tabs>
              <w:tab w:val="clear" w:pos="7892"/>
              <w:tab w:val="right" w:pos="9026" w:leader="dot"/>
            </w:tabs>
            <w:rPr/>
          </w:pPr>
          <w:hyperlink w:anchor="__RefHeading___Toc9697121_73709187">
            <w:r>
              <w:rPr>
                <w:webHidden/>
                <w:rStyle w:val="IndexLink"/>
                <w:rtl w:val="true"/>
              </w:rPr>
              <w:t>طلاق الصبیّ عند أهل السنّة</w:t>
            </w:r>
            <w:r>
              <w:rPr>
                <w:rStyle w:val="IndexLink"/>
                <w:rtl w:val="true"/>
              </w:rPr>
              <w:tab/>
            </w:r>
            <w:r>
              <w:rPr>
                <w:rStyle w:val="IndexLink"/>
              </w:rPr>
              <w:t>523</w:t>
            </w:r>
          </w:hyperlink>
        </w:p>
        <w:p>
          <w:pPr>
            <w:pStyle w:val="Contents4"/>
            <w:tabs>
              <w:tab w:val="clear" w:pos="8176"/>
              <w:tab w:val="right" w:pos="9026" w:leader="dot"/>
            </w:tabs>
            <w:rPr/>
          </w:pPr>
          <w:hyperlink w:anchor="__RefHeading___Toc9697123_73709187">
            <w:r>
              <w:rPr>
                <w:webHidden/>
                <w:rStyle w:val="IndexLink"/>
                <w:rtl w:val="true"/>
              </w:rPr>
              <w:t>المبحث الثالث</w:t>
            </w:r>
            <w:r>
              <w:rPr>
                <w:rStyle w:val="IndexLink"/>
                <w:rtl w:val="true"/>
              </w:rPr>
              <w:t xml:space="preserve">: </w:t>
            </w:r>
            <w:r>
              <w:rPr>
                <w:rStyle w:val="IndexLink"/>
                <w:rtl w:val="true"/>
              </w:rPr>
              <w:t>محلّلیّة الصبیّ‌</w:t>
            </w:r>
            <w:r>
              <w:rPr>
                <w:rStyle w:val="IndexLink"/>
                <w:rtl w:val="true"/>
              </w:rPr>
              <w:tab/>
            </w:r>
            <w:r>
              <w:rPr>
                <w:rStyle w:val="IndexLink"/>
              </w:rPr>
              <w:t>528</w:t>
            </w:r>
          </w:hyperlink>
        </w:p>
        <w:p>
          <w:pPr>
            <w:pStyle w:val="Contents5"/>
            <w:tabs>
              <w:tab w:val="clear" w:pos="7892"/>
              <w:tab w:val="right" w:pos="9026" w:leader="dot"/>
            </w:tabs>
            <w:rPr/>
          </w:pPr>
          <w:hyperlink w:anchor="__RefHeading___Toc9697125_73709187">
            <w:r>
              <w:rPr>
                <w:webHidden/>
                <w:rStyle w:val="IndexLink"/>
                <w:rtl w:val="true"/>
              </w:rPr>
              <w:t>اشارة</w:t>
            </w:r>
            <w:r>
              <w:rPr>
                <w:rStyle w:val="IndexLink"/>
                <w:rtl w:val="true"/>
              </w:rPr>
              <w:tab/>
            </w:r>
            <w:r>
              <w:rPr>
                <w:rStyle w:val="IndexLink"/>
              </w:rPr>
              <w:t>528</w:t>
            </w:r>
          </w:hyperlink>
        </w:p>
        <w:p>
          <w:pPr>
            <w:pStyle w:val="Contents5"/>
            <w:tabs>
              <w:tab w:val="clear" w:pos="7892"/>
              <w:tab w:val="right" w:pos="9026" w:leader="dot"/>
            </w:tabs>
            <w:rPr/>
          </w:pPr>
          <w:hyperlink w:anchor="__RefHeading___Toc9697127_73709187">
            <w:r>
              <w:rPr>
                <w:webHidden/>
                <w:rStyle w:val="IndexLink"/>
                <w:rtl w:val="true"/>
              </w:rPr>
              <w:t>الأوّل</w:t>
            </w:r>
            <w:r>
              <w:rPr>
                <w:rStyle w:val="IndexLink"/>
                <w:rtl w:val="true"/>
              </w:rPr>
              <w:t xml:space="preserve">: </w:t>
            </w:r>
            <w:r>
              <w:rPr>
                <w:rStyle w:val="IndexLink"/>
                <w:rtl w:val="true"/>
              </w:rPr>
              <w:t>صحّة کون الصبیّ المراهق محلّلاً</w:t>
            </w:r>
            <w:r>
              <w:rPr>
                <w:rStyle w:val="IndexLink"/>
                <w:rtl w:val="true"/>
              </w:rPr>
              <w:tab/>
            </w:r>
            <w:r>
              <w:rPr>
                <w:rStyle w:val="IndexLink"/>
              </w:rPr>
              <w:t>530</w:t>
            </w:r>
          </w:hyperlink>
        </w:p>
        <w:p>
          <w:pPr>
            <w:pStyle w:val="Contents5"/>
            <w:tabs>
              <w:tab w:val="clear" w:pos="7892"/>
              <w:tab w:val="right" w:pos="9026" w:leader="dot"/>
            </w:tabs>
            <w:rPr/>
          </w:pPr>
          <w:hyperlink w:anchor="__RefHeading___Toc9697129_73709187">
            <w:r>
              <w:rPr>
                <w:webHidden/>
                <w:rStyle w:val="IndexLink"/>
                <w:rtl w:val="true"/>
              </w:rPr>
              <w:t>القول الثانی</w:t>
            </w:r>
            <w:r>
              <w:rPr>
                <w:rStyle w:val="IndexLink"/>
                <w:rtl w:val="true"/>
              </w:rPr>
              <w:t xml:space="preserve">: </w:t>
            </w:r>
            <w:r>
              <w:rPr>
                <w:rStyle w:val="IndexLink"/>
                <w:rtl w:val="true"/>
              </w:rPr>
              <w:t>عدم صحّة کون الصبیّ المراهق محلّلاً</w:t>
            </w:r>
            <w:r>
              <w:rPr>
                <w:rStyle w:val="IndexLink"/>
                <w:rtl w:val="true"/>
              </w:rPr>
              <w:tab/>
            </w:r>
            <w:r>
              <w:rPr>
                <w:rStyle w:val="IndexLink"/>
              </w:rPr>
              <w:t>532</w:t>
            </w:r>
          </w:hyperlink>
        </w:p>
        <w:p>
          <w:pPr>
            <w:pStyle w:val="Contents6"/>
            <w:tabs>
              <w:tab w:val="clear" w:pos="7609"/>
              <w:tab w:val="right" w:pos="9026" w:leader="dot"/>
            </w:tabs>
            <w:rPr/>
          </w:pPr>
          <w:hyperlink w:anchor="__RefHeading___Toc9697131_73709187">
            <w:r>
              <w:rPr>
                <w:webHidden/>
                <w:rStyle w:val="IndexLink"/>
                <w:rtl w:val="true"/>
              </w:rPr>
              <w:t>اشارة</w:t>
            </w:r>
            <w:r>
              <w:rPr>
                <w:rStyle w:val="IndexLink"/>
                <w:rtl w:val="true"/>
              </w:rPr>
              <w:tab/>
            </w:r>
            <w:r>
              <w:rPr>
                <w:rStyle w:val="IndexLink"/>
              </w:rPr>
              <w:t>532</w:t>
            </w:r>
          </w:hyperlink>
        </w:p>
        <w:p>
          <w:pPr>
            <w:pStyle w:val="Contents6"/>
            <w:tabs>
              <w:tab w:val="clear" w:pos="7609"/>
              <w:tab w:val="right" w:pos="9026" w:leader="dot"/>
            </w:tabs>
            <w:rPr/>
          </w:pPr>
          <w:hyperlink w:anchor="__RefHeading___Toc9697133_73709187">
            <w:r>
              <w:rPr>
                <w:webHidden/>
                <w:rStyle w:val="IndexLink"/>
                <w:rtl w:val="true"/>
              </w:rPr>
              <w:t>الأدلّة علی عدم صحّة کون الصبیّ المراهق محلّلاً</w:t>
            </w:r>
            <w:r>
              <w:rPr>
                <w:rStyle w:val="IndexLink"/>
                <w:rtl w:val="true"/>
              </w:rPr>
              <w:t>:</w:t>
              <w:tab/>
            </w:r>
            <w:r>
              <w:rPr>
                <w:rStyle w:val="IndexLink"/>
              </w:rPr>
              <w:t>533</w:t>
            </w:r>
          </w:hyperlink>
        </w:p>
        <w:p>
          <w:pPr>
            <w:pStyle w:val="Contents6"/>
            <w:tabs>
              <w:tab w:val="clear" w:pos="7609"/>
              <w:tab w:val="right" w:pos="9026" w:leader="dot"/>
            </w:tabs>
            <w:rPr/>
          </w:pPr>
          <w:hyperlink w:anchor="__RefHeading___Toc9697135_73709187">
            <w:r>
              <w:rPr>
                <w:webHidden/>
                <w:rStyle w:val="IndexLink"/>
                <w:rtl w:val="true"/>
              </w:rPr>
              <w:t>آراء أهل السنّة فی محلّلیّة الصبیّ‌</w:t>
            </w:r>
            <w:r>
              <w:rPr>
                <w:rStyle w:val="IndexLink"/>
                <w:rtl w:val="true"/>
              </w:rPr>
              <w:tab/>
            </w:r>
            <w:r>
              <w:rPr>
                <w:rStyle w:val="IndexLink"/>
              </w:rPr>
              <w:t>536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57_135366"/>
      <w:bookmarkStart w:id="1" w:name="pg11757_135366"/>
      <w:bookmarkEnd w:id="1"/>
    </w:p>
    <w:p>
      <w:pPr>
        <w:pStyle w:val="Heading2"/>
        <w:numPr>
          <w:ilvl w:val="1"/>
          <w:numId w:val="1"/>
        </w:numPr>
        <w:rPr/>
      </w:pPr>
      <w:bookmarkStart w:id="2" w:name="pg11757_135366"/>
      <w:bookmarkStart w:id="3" w:name="__RefHeading___Toc9696515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فاضل‌لنکرانی، محمدجواد،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 احکام الاطفال و ادلتها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مقارنه تفصیلیه بین مذهب الامامیه و المذاهب الاخری الجزء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محمدجواد الفاضل‌اللنکرانی؛ تالیف جمع من‌المحققین فی اللجنه الفقهیه؛ رتبها و نظمها قدره الله الانصاری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فقه‌الائمه‌الاطهار علیهم‌السلام،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7709</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7709</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7709</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5694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اعداد و نشر در جلد ششم مرکز فقه‌الائمة‌الاطهار علیهم‌السلام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تطبیقی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والدین و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 ، قدرت‌الله،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فقهی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۳۷۴۶۹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696517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موسوعه احکام الاطفال و ادلتها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مقارنه تفصیلیه بین مذهب الامامیه و المذاهب الاخری الجزء السادس</w:t>
      </w:r>
    </w:p>
    <w:p>
      <w:pPr>
        <w:pStyle w:val="BookText"/>
        <w:rPr/>
      </w:pPr>
      <w:r>
        <w:rPr>
          <w:rFonts w:ascii="IRNazanin" w:hAnsi="IRNazanin" w:eastAsia="IRNazanin"/>
          <w:color w:val="111111"/>
          <w:sz w:val="28"/>
          <w:sz w:val="28"/>
          <w:szCs w:val="28"/>
          <w:rtl w:val="true"/>
          <w:lang w:bidi="fa-IR"/>
        </w:rPr>
        <w:t>اشراف محمدجواد الفاضل‌اللنکرانی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جمع من‌المحققین فی اللجنه الفقهیه؛ رتبها و نظمها قدره الله الانصاری</w:t>
      </w:r>
      <w:bookmarkStart w:id="7" w:name="pg11757_135370"/>
    </w:p>
    <w:p>
      <w:pPr>
        <w:pStyle w:val="Heading2"/>
        <w:numPr>
          <w:ilvl w:val="1"/>
          <w:numId w:val="1"/>
        </w:numPr>
        <w:rPr/>
      </w:pPr>
      <w:bookmarkStart w:id="8" w:name="__RefHeading___Toc9696519_73709187"/>
      <w:bookmarkStart w:id="9" w:name="_Toc3"/>
      <w:bookmarkEnd w:id="7"/>
      <w:bookmarkEnd w:id="8"/>
      <w:r>
        <w:rPr>
          <w:rtl w:val="true"/>
        </w:rPr>
        <w:t>شکر و ثناء</w:t>
      </w:r>
      <w:bookmarkEnd w:id="9"/>
    </w:p>
    <w:p>
      <w:pPr>
        <w:pStyle w:val="BookText"/>
        <w:rPr/>
      </w:pPr>
      <w:r>
        <w:rPr>
          <w:rFonts w:ascii="IRNazanin" w:hAnsi="IRNazanin" w:eastAsia="IRNazanin"/>
          <w:color w:val="111111"/>
          <w:sz w:val="28"/>
          <w:sz w:val="28"/>
          <w:szCs w:val="28"/>
          <w:rtl w:val="true"/>
          <w:lang w:bidi="fa-IR"/>
        </w:rPr>
        <w:t xml:space="preserve">بین أیدی فضلاء الحوزة و اساتذتها المجلّد السادس من الموسوعة الفقهیة المسمّاة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أحکام الأطفال و أدلّتها مقارنة تفصیلة بین مذهب الامامیة و المذاهب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طبع فی مرکز فقه الأئمّة الأطهار علیهم السلام الّذی کان من خدمات المرجع الدینی الأعلی آیة اللّه العظمی الشیخ محمّد الفاضل اللنکرانی رحمه الله و حشره اللّه تعالی مع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نتقدّم بالشکر الجزیل و الثناء الجمیل إلی الأستاذ المحقّق آیة اللّه الشیخ محمّد جواد الفاضل دام ظلّه، رئیس المرکز الفقهی و الّذی أمدّنا بالعون و النصح و الارشاد طوال فترة العمل مع بذله لقصاری جهده بکتابة تعلیقات علمیّة دقیقة علی الموسوعة، و إن لم یکن بنائه علی التعلیق و التحقیق فی جمیع المسائل و المطالب</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نغتنم الفرصة لنقدّم الشکر و الثناء إلی کلّ من ساعدنا و بذل جهداً فی انجاز هذا المشروع العلمی القیّم المبارک، و ندعو اللّه عزّ و جلّ لهم بالتوفیق،</w:t>
      </w:r>
    </w:p>
    <w:p>
      <w:pPr>
        <w:pStyle w:val="BookText"/>
        <w:rPr/>
      </w:pPr>
      <w:r>
        <w:rPr>
          <w:rFonts w:ascii="IRNazanin" w:hAnsi="IRNazanin" w:eastAsia="IRNazanin"/>
          <w:color w:val="111111"/>
          <w:sz w:val="28"/>
          <w:sz w:val="28"/>
          <w:szCs w:val="28"/>
          <w:rtl w:val="true"/>
          <w:lang w:bidi="fa-IR"/>
        </w:rPr>
        <w:t>انّه نِعم المولی و نعم النصیر، و هم حجج الإسلام و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محمّد رضا الفاضل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مرکز فقه الأئمّة الأطهار علیهم السلام الاشراف المباشر و متابعة مراحل طبع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سیف اللّه الصرّامی، و الشیخ أبو القاسم علی‌دوست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إلی تصحیح موارد الاشتباه المحتملة فی الاستدلالات و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علی الأنصاری الحمیداوی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المراجعة النهائیة و التهذیب و تقویم النص الفنّی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عبد الرضا النظری و الشیخ عباس الکوهی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المقابلة و مراجعة المصادر و تخریجها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نهایة المطاف نسأل اللّه تعالی سبحانه أن یجعل عملنا فی هذا المشروع صالحاً خالصاً لوجهه مقرّباً الیه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دعوانا أن الحمد للّه ربّ العالمین</w:t>
      </w:r>
    </w:p>
    <w:p>
      <w:pPr>
        <w:pStyle w:val="BookText"/>
        <w:rPr/>
      </w:pPr>
      <w:r>
        <w:rPr>
          <w:rFonts w:ascii="IRNazanin" w:hAnsi="IRNazanin" w:eastAsia="IRNazanin"/>
          <w:color w:val="111111"/>
          <w:sz w:val="28"/>
          <w:sz w:val="28"/>
          <w:szCs w:val="28"/>
          <w:rtl w:val="true"/>
          <w:lang w:bidi="fa-IR"/>
        </w:rPr>
        <w:t>قدرت اللّه الأنصاری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ربیع الثانی سنة </w:t>
      </w:r>
      <w:r>
        <w:rPr>
          <w:rFonts w:eastAsia="IRNazanin" w:cs="IRNazanin"/>
          <w:color w:val="111111"/>
          <w:sz w:val="28"/>
          <w:szCs w:val="28"/>
          <w:lang w:bidi="fa-IR"/>
        </w:rPr>
        <w:t>1429</w:t>
      </w:r>
      <w:bookmarkStart w:id="10" w:name="pg11757_135372"/>
    </w:p>
    <w:p>
      <w:pPr>
        <w:pStyle w:val="Heading2"/>
        <w:numPr>
          <w:ilvl w:val="1"/>
          <w:numId w:val="1"/>
        </w:numPr>
        <w:rPr/>
      </w:pPr>
      <w:bookmarkStart w:id="11" w:name="__RefHeading___Toc9696521_73709187"/>
      <w:bookmarkStart w:id="12" w:name="_Toc4"/>
      <w:bookmarkEnd w:id="10"/>
      <w:bookmarkEnd w:id="11"/>
      <w:r>
        <w:rPr>
          <w:rtl w:val="true"/>
        </w:rPr>
        <w:t>الباب العاشر</w:t>
      </w:r>
      <w:r>
        <w:rPr>
          <w:rtl w:val="true"/>
        </w:rPr>
        <w:t xml:space="preserve">: </w:t>
      </w:r>
      <w:r>
        <w:rPr>
          <w:rtl w:val="true"/>
        </w:rPr>
        <w:t>تصرّفات الصبیّ</w:t>
      </w:r>
      <w:bookmarkEnd w:id="12"/>
    </w:p>
    <w:p>
      <w:pPr>
        <w:pStyle w:val="Heading3"/>
        <w:numPr>
          <w:ilvl w:val="2"/>
          <w:numId w:val="1"/>
        </w:numPr>
        <w:rPr/>
      </w:pPr>
      <w:bookmarkStart w:id="13" w:name="__RefHeading___Toc9696523_73709187"/>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و فیه فصول</w:t>
      </w:r>
    </w:p>
    <w:p>
      <w:pPr>
        <w:pStyle w:val="Heading3"/>
        <w:numPr>
          <w:ilvl w:val="2"/>
          <w:numId w:val="1"/>
        </w:numPr>
        <w:rPr/>
      </w:pPr>
      <w:bookmarkStart w:id="15" w:name="__RefHeading___Toc9696525_73709187"/>
      <w:bookmarkStart w:id="16" w:name="_Toc6"/>
      <w:bookmarkEnd w:id="15"/>
      <w:r>
        <w:rPr>
          <w:rtl w:val="true"/>
        </w:rPr>
        <w:t>تمهید</w:t>
      </w:r>
      <w:bookmarkEnd w:id="16"/>
    </w:p>
    <w:p>
      <w:pPr>
        <w:pStyle w:val="Heading4"/>
        <w:numPr>
          <w:ilvl w:val="3"/>
          <w:numId w:val="1"/>
        </w:numPr>
        <w:rPr/>
      </w:pPr>
      <w:bookmarkStart w:id="17" w:name="__RefHeading___Toc9696527_73709187"/>
      <w:bookmarkStart w:id="18" w:name="_Toc7"/>
      <w:bookmarkEnd w:id="17"/>
      <w:r>
        <w:rPr>
          <w:rtl w:val="true"/>
        </w:rPr>
        <w:t>اشارة</w:t>
      </w:r>
      <w:bookmarkEnd w:id="18"/>
    </w:p>
    <w:p>
      <w:pPr>
        <w:pStyle w:val="BookText"/>
        <w:rPr/>
      </w:pPr>
      <w:r>
        <w:rPr>
          <w:rFonts w:ascii="IRNazanin" w:hAnsi="IRNazanin" w:eastAsia="IRNazanin"/>
          <w:color w:val="111111"/>
          <w:sz w:val="28"/>
          <w:sz w:val="28"/>
          <w:szCs w:val="28"/>
          <w:rtl w:val="true"/>
          <w:lang w:bidi="fa-IR"/>
        </w:rPr>
        <w:t>قبل البحث فی الأحکام المتعلّقة بتصرّفات الصبیّ ینبغی تقدیم أمرین</w:t>
      </w:r>
      <w:r>
        <w:rPr>
          <w:rFonts w:eastAsia="IRNazanin" w:cs="IRNazanin"/>
          <w:color w:val="111111"/>
          <w:sz w:val="28"/>
          <w:szCs w:val="28"/>
          <w:rtl w:val="true"/>
          <w:lang w:bidi="fa-IR"/>
        </w:rPr>
        <w:t>:</w:t>
      </w:r>
    </w:p>
    <w:p>
      <w:pPr>
        <w:pStyle w:val="Heading4"/>
        <w:numPr>
          <w:ilvl w:val="3"/>
          <w:numId w:val="1"/>
        </w:numPr>
        <w:rPr/>
      </w:pPr>
      <w:bookmarkStart w:id="19" w:name="__RefHeading___Toc9696529_73709187"/>
      <w:bookmarkStart w:id="20" w:name="_Toc8"/>
      <w:bookmarkEnd w:id="19"/>
      <w:r>
        <w:rPr>
          <w:rtl w:val="true"/>
        </w:rPr>
        <w:t>الأوّل</w:t>
      </w:r>
      <w:r>
        <w:rPr>
          <w:rtl w:val="true"/>
        </w:rPr>
        <w:t xml:space="preserve">: </w:t>
      </w:r>
      <w:r>
        <w:rPr>
          <w:rtl w:val="true"/>
        </w:rPr>
        <w:t>معنی التصرّف لغةً و اصطلاحاً</w:t>
      </w:r>
      <w:bookmarkEnd w:id="20"/>
    </w:p>
    <w:p>
      <w:pPr>
        <w:pStyle w:val="BookText"/>
        <w:rPr/>
      </w:pPr>
      <w:r>
        <w:rPr>
          <w:rFonts w:ascii="IRNazanin" w:hAnsi="IRNazanin" w:eastAsia="IRNazanin"/>
          <w:color w:val="111111"/>
          <w:sz w:val="28"/>
          <w:sz w:val="28"/>
          <w:szCs w:val="28"/>
          <w:rtl w:val="true"/>
          <w:lang w:bidi="fa-IR"/>
        </w:rPr>
        <w:t>التصرّف لغة بمعنی الاحتیال،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فلان فی الأمر، إذا احتال و تقلّب فیه، و لعیاله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التقلب فی الاُمور و السعی فی طلب الکسب</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فی الاصطلاح فلم یذکر الفقهاء فی کتبهم تعریفاً للتصرّف، و لکن یفهم من کلماتهم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کلّ فعل أو قول ینشئ التزاماً أو ینتج أثراً شرعیّاً</w:t>
      </w:r>
      <w:r>
        <w:rPr>
          <w:rStyle w:val="FootnoteAnchor"/>
          <w:rtl w:val="true"/>
        </w:rPr>
        <w:footnoteReference w:id="3"/>
      </w:r>
      <w:r>
        <w:rPr>
          <w:rFonts w:ascii="IRNazanin" w:hAnsi="IRNazanin" w:eastAsia="IRNazanin"/>
          <w:color w:val="111111"/>
          <w:sz w:val="28"/>
          <w:sz w:val="28"/>
          <w:szCs w:val="28"/>
          <w:rtl w:val="true"/>
          <w:lang w:bidi="fa-IR"/>
        </w:rPr>
        <w:t>، أو هو ما یصدر عن الشخص بإرادته و یرتّب الشرع علیه أحکاماً مختلفة</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التصرّفات الصادرة من الإنسان تنقسم باعتبار نفس التصرّف إلی التصرّفات القولیّة و التصرّفات الفعلیّة، و باعتبار متعلّق التصرّف إلی</w:t>
      </w:r>
      <w:bookmarkStart w:id="21" w:name="pg11757_135375"/>
    </w:p>
    <w:p>
      <w:pPr>
        <w:pStyle w:val="BookText"/>
        <w:rPr/>
      </w:pPr>
      <w:bookmarkEnd w:id="21"/>
      <w:r>
        <w:rPr>
          <w:rFonts w:ascii="IRNazanin" w:hAnsi="IRNazanin" w:eastAsia="IRNazanin"/>
          <w:color w:val="111111"/>
          <w:sz w:val="28"/>
          <w:sz w:val="28"/>
          <w:szCs w:val="28"/>
          <w:rtl w:val="true"/>
          <w:lang w:bidi="fa-IR"/>
        </w:rPr>
        <w:t>التصرّفات المالیّة و غیر المالیّة، و التصرّف القولی یشمل العقود و الإیقاعات،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و التصرّف الفعلی مثل الإتلاف و الاستیلاء علی المال المباح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من التصرّفات المالیّة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یکون موضوعها هو المال، سواء کانت تصرّفات قولیّة أو فعلیّة، و أمّا إذا لم یکن موضوعها المال فهی التصرّفات غیر المالیّة، کالطلاق و العتق و النذر و الحلف و غیرها</w:t>
      </w:r>
      <w:r>
        <w:rPr>
          <w:rFonts w:eastAsia="IRNazanin" w:cs="IRNazanin"/>
          <w:color w:val="111111"/>
          <w:sz w:val="28"/>
          <w:szCs w:val="28"/>
          <w:rtl w:val="true"/>
          <w:lang w:bidi="fa-IR"/>
        </w:rPr>
        <w:t>.</w:t>
      </w:r>
    </w:p>
    <w:p>
      <w:pPr>
        <w:pStyle w:val="Heading4"/>
        <w:numPr>
          <w:ilvl w:val="3"/>
          <w:numId w:val="1"/>
        </w:numPr>
        <w:rPr/>
      </w:pPr>
      <w:bookmarkStart w:id="22" w:name="__RefHeading___Toc9696531_73709187"/>
      <w:bookmarkStart w:id="23" w:name="_Toc9"/>
      <w:bookmarkEnd w:id="22"/>
      <w:r>
        <w:rPr>
          <w:rtl w:val="true"/>
        </w:rPr>
        <w:t>الأمر الثانی</w:t>
      </w:r>
      <w:r>
        <w:rPr>
          <w:rtl w:val="true"/>
        </w:rPr>
        <w:t xml:space="preserve">: </w:t>
      </w:r>
      <w:r>
        <w:rPr>
          <w:rtl w:val="true"/>
        </w:rPr>
        <w:t>تقسیم الأفعال من جهة ترتّب الآثار الشرعیّة</w:t>
      </w:r>
      <w:bookmarkEnd w:id="23"/>
    </w:p>
    <w:p>
      <w:pPr>
        <w:pStyle w:val="BookText"/>
        <w:rPr/>
      </w:pPr>
      <w:r>
        <w:rPr>
          <w:rFonts w:ascii="IRNazanin" w:hAnsi="IRNazanin" w:eastAsia="IRNazanin"/>
          <w:color w:val="111111"/>
          <w:sz w:val="28"/>
          <w:sz w:val="28"/>
          <w:szCs w:val="28"/>
          <w:rtl w:val="true"/>
          <w:lang w:bidi="fa-IR"/>
        </w:rPr>
        <w:t>إنّ الأفعال من جهة ترتّب الآثار الشرعیّة تنقسم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الأفعال التی تترتّب علیها الآثار إذا صدرت مع القصد و الاختیار و العمد و الالتفات، و المشهور بین الفقهاء أنّ هذا القسم من الأفعال إذا صدرت من الصبیّ فلا أثر لها، فلا اعتبار بما یصدر من الصبیّ الممیّز من الأفعال التی یعتبر فیها القصد و الاختیار، کإنشاء العقود و الإیقاعات و القبض و الإقباض و بعض ما یلزم به نفسه من نذر أو إقرار أو إیجار، و أنّ هذه الاُمور عناوین قصدیّة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بدّ أن تکون عن اختیار، و لا تحقّق لها بدون القصد، و سیأتی الکلام فیها مفصّلاً فی الفصول القادمة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الأفعال التی تترتّب علیها الآثار بذاتها من غیر فرق بین الالتفات و غیره، و من غیر فرق بین الاختیار و غیره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أنّه لا خلاف بین الفقهاء فی ثبوت الأحکام الوضعیّة</w:t>
      </w:r>
      <w:r>
        <w:rPr>
          <w:rStyle w:val="FootnoteAnchor"/>
          <w:rtl w:val="true"/>
        </w:rPr>
        <w:footnoteReference w:id="5"/>
      </w:r>
      <w:r>
        <w:rPr>
          <w:rFonts w:ascii="Amiri" w:hAnsi="Amiri" w:eastAsia="Amiri" w:cs="Amiri"/>
          <w:color w:val="111111"/>
          <w:sz w:val="28"/>
          <w:sz w:val="28"/>
          <w:szCs w:val="28"/>
          <w:rtl w:val="true"/>
          <w:lang w:bidi="ar-SA"/>
        </w:rPr>
        <w:t>المترتّبة</w:t>
      </w:r>
    </w:p>
    <w:p>
      <w:pPr>
        <w:pStyle w:val="BookText"/>
        <w:rPr/>
      </w:pPr>
      <w:r>
        <w:rPr>
          <w:rFonts w:ascii="IRNazanin" w:hAnsi="IRNazanin" w:eastAsia="IRNazanin"/>
          <w:color w:val="111111"/>
          <w:sz w:val="28"/>
          <w:sz w:val="28"/>
          <w:szCs w:val="28"/>
          <w:rtl w:val="true"/>
          <w:lang w:bidi="fa-IR"/>
        </w:rPr>
        <w:t>علی هذا القسم من الأفعال فی حقّ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الأفعال التی هی بنفسها موضوع للأحکام الشرعیّة من غیر أن یعتبر فیها القصد و العمد یکون البالغ و الصبیّ فیها سیّان، کالجنابة فإنّها توجب الغسل و إن تحقّقت حال النوم، و کمباشرة النجاسات فإنّها توجب نجاسة البدن و إن کانت المباشرة بغیر التفات إلی النجاسة، و کالأحداث الناقضة للطهارة و إن صدرت جهلاً أو بغیر اختیار، و کذا إتلاف مال الغیر فإنّه یوجب الضمان و إن صدر حال الغفلة و الجهل، فالصبیّ و البالغ فی الأحکام الوضعیّة المترتّبة علی هذا القسم من الأفعال سیّان، و لا 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ما ذکرنا هو المقصود ممّا اشتهر بین الفقهاء، من أنّ الأحکام الوضعیّة لیست مختصّة بالبالغین</w:t>
      </w:r>
      <w:r>
        <w:rPr>
          <w:rStyle w:val="FootnoteAnchor"/>
          <w:rtl w:val="true"/>
        </w:rPr>
        <w:footnoteReference w:id="6"/>
      </w:r>
      <w:r>
        <w:rPr>
          <w:rFonts w:ascii="IRNazanin" w:hAnsi="IRNazanin" w:eastAsia="IRNazanin"/>
          <w:color w:val="111111"/>
          <w:sz w:val="28"/>
          <w:sz w:val="28"/>
          <w:szCs w:val="28"/>
          <w:rtl w:val="true"/>
          <w:lang w:bidi="fa-IR"/>
        </w:rPr>
        <w:t xml:space="preserve">، و أسّسوا منها قاعدة فقهیّة و سمّوها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اشتراط الأحکام الوضعیّة بالبلوغ</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جاء فی تمهید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بیان ما هو المقصود من الأحکام الوضعیّة و أنّها خمسة أقسام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هذه الأحکام لیست مشروطة بالتکلیف علی</w:t>
      </w:r>
    </w:p>
    <w:p>
      <w:pPr>
        <w:pStyle w:val="BookText"/>
        <w:rPr/>
      </w:pP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و مثله ما فی نضد القواعد</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العناوین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شبهة فی عدم شرطیّة البلوغ فی جلّ الأحکام، فإنّ المواریث و الدیات و الضمان فی الغصب و الإتلاف و الالتقاط و نحو ذلک یجری علی الصبیّ کالبالغ</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البجنوردی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جملة القواعد الفقهیّة المشهورة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شرطیّة البلوغ فی الأحکام الوضعیّة</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و به قال السیّد الیزدی</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الأولی من جمیع ما ذکر ما ذهب إلیه المحقّق الأصفهانی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ثبوت الحکم الوضعی فی حقّ غیر البالغ أحیاناً، فی قبال عدم ثبوت التکلیف اللزومیّ بقول مطلق صحیح، و لعلّه مراد المشهور</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تقدّم تفصیل بعض ذلک فی البحث عن الأحکام المتعلّقة بطهارة الصبیّ، و سیأتی أیضاً فی بحث ضمان الصبیّ و إتلافه و غصبه، و کذا حیازاته و إحیائه الموات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بیان هذین الأمرین نتعرّض لذکر تصرّفات الصبیّ القولیّة و الفعلیّة و المالیّة و غیر المالیّة، و نبتدی من بیعه و سائر معاملاته طبقاً للکتب الفقهیّة، ککتاب الشرائع و المسالک و الجواهر و غیرها</w:t>
      </w:r>
      <w:r>
        <w:rPr>
          <w:rFonts w:eastAsia="IRNazanin" w:cs="IRNazanin"/>
          <w:color w:val="111111"/>
          <w:sz w:val="28"/>
          <w:szCs w:val="28"/>
          <w:rtl w:val="true"/>
          <w:lang w:bidi="fa-IR"/>
        </w:rPr>
        <w:t>.</w:t>
      </w:r>
      <w:bookmarkStart w:id="24" w:name="pg11757_135380"/>
    </w:p>
    <w:p>
      <w:pPr>
        <w:pStyle w:val="Heading3"/>
        <w:numPr>
          <w:ilvl w:val="2"/>
          <w:numId w:val="1"/>
        </w:numPr>
        <w:rPr/>
      </w:pPr>
      <w:bookmarkStart w:id="25" w:name="__RefHeading___Toc9696533_73709187"/>
      <w:bookmarkStart w:id="26" w:name="_Toc10"/>
      <w:bookmarkEnd w:id="24"/>
      <w:bookmarkEnd w:id="25"/>
      <w:r>
        <w:rPr>
          <w:rtl w:val="true"/>
        </w:rPr>
        <w:t>الفصل الأوّل</w:t>
      </w:r>
      <w:r>
        <w:rPr>
          <w:rtl w:val="true"/>
        </w:rPr>
        <w:t xml:space="preserve">: </w:t>
      </w:r>
      <w:r>
        <w:rPr>
          <w:rtl w:val="true"/>
        </w:rPr>
        <w:t>بیع الصبیّ</w:t>
      </w:r>
      <w:bookmarkEnd w:id="26"/>
    </w:p>
    <w:p>
      <w:pPr>
        <w:pStyle w:val="Heading4"/>
        <w:numPr>
          <w:ilvl w:val="3"/>
          <w:numId w:val="1"/>
        </w:numPr>
        <w:rPr/>
      </w:pPr>
      <w:bookmarkStart w:id="27" w:name="__RefHeading___Toc9696535_73709187"/>
      <w:bookmarkStart w:id="28" w:name="_Toc11"/>
      <w:bookmarkEnd w:id="27"/>
      <w:r>
        <w:rPr>
          <w:rtl w:val="true"/>
        </w:rPr>
        <w:t>اشارة</w:t>
      </w:r>
      <w:bookmarkEnd w:id="28"/>
    </w:p>
    <w:p>
      <w:pPr>
        <w:pStyle w:val="BookText"/>
        <w:rPr/>
      </w:pPr>
      <w:r>
        <w:rPr>
          <w:rFonts w:ascii="IRNazanin" w:hAnsi="IRNazanin" w:eastAsia="IRNazanin"/>
          <w:color w:val="111111"/>
          <w:sz w:val="28"/>
          <w:sz w:val="28"/>
          <w:szCs w:val="28"/>
          <w:rtl w:val="true"/>
          <w:lang w:bidi="fa-IR"/>
        </w:rPr>
        <w:t>هل یصحّ بیع الصبیّ الممیّز مطلقاً، أو لا یصحّ کذلک، أو یصحّ مع إذن الولیّ و إجازته، أو إذا بلغ عشراً و صار رشیداً، أو فی وقت الاختبار، أو فیما جرت به العادة فی الأشیاء الیسیرة، أو فیما إذا کان الصبیّ بمنزلة الآلة؟ فیه أقوال</w:t>
      </w:r>
      <w:r>
        <w:rPr>
          <w:rFonts w:eastAsia="IRNazanin" w:cs="IRNazanin"/>
          <w:color w:val="111111"/>
          <w:sz w:val="28"/>
          <w:szCs w:val="28"/>
          <w:rtl w:val="true"/>
          <w:lang w:bidi="fa-IR"/>
        </w:rPr>
        <w:t>:</w:t>
      </w:r>
    </w:p>
    <w:p>
      <w:pPr>
        <w:pStyle w:val="Heading4"/>
        <w:numPr>
          <w:ilvl w:val="3"/>
          <w:numId w:val="1"/>
        </w:numPr>
        <w:rPr/>
      </w:pPr>
      <w:bookmarkStart w:id="29" w:name="__RefHeading___Toc9696537_73709187"/>
      <w:bookmarkStart w:id="30" w:name="_Toc12"/>
      <w:bookmarkEnd w:id="29"/>
      <w:r>
        <w:rPr>
          <w:rtl w:val="true"/>
        </w:rPr>
        <w:t>الأوّل</w:t>
      </w:r>
      <w:r>
        <w:rPr>
          <w:rtl w:val="true"/>
        </w:rPr>
        <w:t xml:space="preserve">: </w:t>
      </w:r>
      <w:r>
        <w:rPr>
          <w:rtl w:val="true"/>
        </w:rPr>
        <w:t>أنّه لا یصحّ مطلقاً</w:t>
      </w:r>
      <w:bookmarkEnd w:id="30"/>
    </w:p>
    <w:p>
      <w:pPr>
        <w:pStyle w:val="Heading5"/>
        <w:numPr>
          <w:ilvl w:val="4"/>
          <w:numId w:val="1"/>
        </w:numPr>
        <w:rPr/>
      </w:pPr>
      <w:bookmarkStart w:id="31" w:name="__RefHeading___Toc9696539_73709187"/>
      <w:bookmarkStart w:id="32" w:name="_Toc13"/>
      <w:bookmarkEnd w:id="31"/>
      <w:r>
        <w:rPr>
          <w:rtl w:val="true"/>
        </w:rPr>
        <w:t>اشارة</w:t>
      </w:r>
      <w:bookmarkEnd w:id="32"/>
    </w:p>
    <w:p>
      <w:pPr>
        <w:pStyle w:val="BookText"/>
        <w:rPr/>
      </w:pPr>
      <w:r>
        <w:rPr>
          <w:rFonts w:ascii="IRNazanin" w:hAnsi="IRNazanin" w:eastAsia="IRNazanin"/>
          <w:color w:val="111111"/>
          <w:sz w:val="28"/>
          <w:sz w:val="28"/>
          <w:szCs w:val="28"/>
          <w:rtl w:val="true"/>
          <w:lang w:bidi="fa-IR"/>
        </w:rPr>
        <w:t>و هو ما ذهب إلیه المشهور، قال الشیخ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یصحّ بیع الصبیّ و شراؤه، سواء أذن له فیه الولیّ أو لم یأذن</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المبسوط‌</w:t>
      </w:r>
      <w:r>
        <w:rPr>
          <w:rStyle w:val="FootnoteAnchor"/>
          <w:rtl w:val="true"/>
        </w:rPr>
        <w:footnoteReference w:id="14"/>
      </w:r>
      <w:r>
        <w:rPr>
          <w:rFonts w:ascii="IRNazanin" w:hAnsi="IRNazanin" w:eastAsia="IRNazanin"/>
          <w:color w:val="111111"/>
          <w:sz w:val="28"/>
          <w:sz w:val="28"/>
          <w:szCs w:val="28"/>
          <w:rtl w:val="true"/>
          <w:lang w:bidi="fa-IR"/>
        </w:rPr>
        <w:t>و الوسیلة</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یصحّ بیع الصبیّ و لا شراؤه و لو أذن له الولیّ، و کذا لو بلغ عشراً عاقلاً علی الأظهر</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قال العلّامة فی جملة من کتبه</w:t>
      </w:r>
      <w:r>
        <w:rPr>
          <w:rStyle w:val="FootnoteAnchor"/>
          <w:rtl w:val="true"/>
        </w:rPr>
        <w:footnoteReference w:id="17"/>
      </w:r>
      <w:r>
        <w:rPr>
          <w:rFonts w:ascii="IRNazanin" w:hAnsi="IRNazanin" w:eastAsia="IRNazanin"/>
          <w:color w:val="111111"/>
          <w:sz w:val="28"/>
          <w:sz w:val="28"/>
          <w:szCs w:val="28"/>
          <w:rtl w:val="true"/>
          <w:lang w:bidi="fa-IR"/>
        </w:rPr>
        <w:t>، جاء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تصحّ عبارة</w:t>
      </w:r>
      <w:bookmarkStart w:id="33" w:name="pg11757_135381"/>
    </w:p>
    <w:p>
      <w:pPr>
        <w:pStyle w:val="BookText"/>
        <w:rPr/>
      </w:pPr>
      <w:bookmarkEnd w:id="33"/>
      <w:r>
        <w:rPr>
          <w:rFonts w:ascii="Amiri" w:hAnsi="Amiri" w:eastAsia="Amiri" w:cs="Amiri"/>
          <w:color w:val="111111"/>
          <w:sz w:val="28"/>
          <w:sz w:val="28"/>
          <w:szCs w:val="28"/>
          <w:rtl w:val="true"/>
          <w:lang w:bidi="ar-SA"/>
        </w:rPr>
        <w:t>الصبیّ، سواء کان ممیّزاً أو لا، أذِنَ له الولیّ أو لا</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 و کذا فی الدروس</w:t>
      </w:r>
      <w:r>
        <w:rPr>
          <w:rStyle w:val="FootnoteAnchor"/>
          <w:rtl w:val="true"/>
        </w:rPr>
        <w:footnoteReference w:id="19"/>
      </w:r>
      <w:r>
        <w:rPr>
          <w:rFonts w:ascii="IRNazanin" w:hAnsi="IRNazanin" w:eastAsia="IRNazanin"/>
          <w:color w:val="111111"/>
          <w:sz w:val="28"/>
          <w:sz w:val="28"/>
          <w:szCs w:val="28"/>
          <w:rtl w:val="true"/>
          <w:lang w:bidi="fa-IR"/>
        </w:rPr>
        <w:t>و اختاره المحقّق</w:t>
      </w:r>
      <w:r>
        <w:rPr>
          <w:rStyle w:val="FootnoteAnchor"/>
          <w:rtl w:val="true"/>
        </w:rPr>
        <w:footnoteReference w:id="20"/>
      </w:r>
      <w:r>
        <w:rPr>
          <w:rFonts w:ascii="IRNazanin" w:hAnsi="IRNazanin" w:eastAsia="IRNazanin"/>
          <w:color w:val="111111"/>
          <w:sz w:val="28"/>
          <w:sz w:val="28"/>
          <w:szCs w:val="28"/>
          <w:rtl w:val="true"/>
          <w:lang w:bidi="fa-IR"/>
        </w:rPr>
        <w:t>و الشهید</w:t>
      </w:r>
      <w:r>
        <w:rPr>
          <w:rStyle w:val="FootnoteAnchor"/>
          <w:rtl w:val="true"/>
        </w:rPr>
        <w:footnoteReference w:id="21"/>
      </w:r>
      <w:r>
        <w:rPr>
          <w:rFonts w:ascii="IRNazanin" w:hAnsi="IRNazanin" w:eastAsia="IRNazanin"/>
          <w:color w:val="111111"/>
          <w:sz w:val="28"/>
          <w:sz w:val="28"/>
          <w:szCs w:val="28"/>
          <w:rtl w:val="true"/>
          <w:lang w:bidi="fa-IR"/>
        </w:rPr>
        <w:t>الثانیان، و کذا فی الإیضاح</w:t>
      </w:r>
      <w:r>
        <w:rPr>
          <w:rStyle w:val="FootnoteAnchor"/>
          <w:rtl w:val="true"/>
        </w:rPr>
        <w:footnoteReference w:id="22"/>
      </w:r>
      <w:r>
        <w:rPr>
          <w:rFonts w:ascii="IRNazanin" w:hAnsi="IRNazanin" w:eastAsia="IRNazanin"/>
          <w:color w:val="111111"/>
          <w:sz w:val="28"/>
          <w:sz w:val="28"/>
          <w:szCs w:val="28"/>
          <w:rtl w:val="true"/>
          <w:lang w:bidi="fa-IR"/>
        </w:rPr>
        <w:t>و الحدائق</w:t>
      </w:r>
      <w:r>
        <w:rPr>
          <w:rStyle w:val="FootnoteAnchor"/>
          <w:rtl w:val="true"/>
        </w:rPr>
        <w:footnoteReference w:id="23"/>
      </w:r>
      <w:r>
        <w:rPr>
          <w:rFonts w:ascii="IRNazanin" w:hAnsi="IRNazanin" w:eastAsia="IRNazanin"/>
          <w:color w:val="111111"/>
          <w:sz w:val="28"/>
          <w:sz w:val="28"/>
          <w:szCs w:val="28"/>
          <w:rtl w:val="true"/>
          <w:lang w:bidi="fa-IR"/>
        </w:rPr>
        <w:t>و التنقیح الرائع</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غیرها</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الجواهر شارحاً عبارة الشرائع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الأشهر، بل المشهور، بل لا أجد فیه خلافاً عدا ما یحکی عن الشیخ و لم نتحقّقه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فصحّ حینئذٍ للفقیه نفی الخلاف فی المسألة علی الإطلاق</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یصحّ بیع الصبیّ مطلقاً، ممیّزاً کان أو لا، بإذن الولیّ أو بدونه، فی ماله أو مال غیره</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 w:name="__RefHeading___Toc9696541_73709187"/>
      <w:bookmarkStart w:id="35" w:name="_Toc14"/>
      <w:bookmarkEnd w:id="34"/>
      <w:r>
        <w:rPr>
          <w:rtl w:val="true"/>
        </w:rPr>
        <w:t>أدلّة عدم صحّة بیع الصبیّ‌</w:t>
      </w:r>
      <w:bookmarkEnd w:id="35"/>
    </w:p>
    <w:p>
      <w:pPr>
        <w:pStyle w:val="BookText"/>
        <w:rPr/>
      </w:pPr>
      <w:r>
        <w:rPr>
          <w:rFonts w:ascii="IRNazanin" w:hAnsi="IRNazanin" w:eastAsia="IRNazanin"/>
          <w:color w:val="111111"/>
          <w:sz w:val="28"/>
          <w:sz w:val="28"/>
          <w:szCs w:val="28"/>
          <w:rtl w:val="true"/>
          <w:lang w:bidi="fa-IR"/>
        </w:rPr>
        <w:t>استدلّ لذلک بوجوه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ابْتَلُوا الْیَتامی حَتّی إِذا بَلَغُوا النِّکاحَ فَإِنْ آنَسْتُمْ مِنْهُمْ رُشْداً فَادْفَعُوا إِلَیْهِمْ أَمْوالَهُمْ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اللّه تعالی سجّل اعتبار الرشد فی جواز تصرّفات الصبیّ فی أمواله مستقلّاً بعد تسجیله اعتبار البلوغ فیه، و من الواضح جدّاً أنّ الرّشد لو کان لوحده کافیاً فی جوازها بدون إذن الولیّ لکان اعتبار البلوغ فی ذلک لغواً محضاً،</w:t>
      </w:r>
      <w:r>
        <w:rPr>
          <w:rStyle w:val="FootnoteAnchor"/>
          <w:rtl w:val="true"/>
        </w:rPr>
        <w:footnoteReference w:id="28"/>
      </w:r>
      <w:r>
        <w:rPr>
          <w:rFonts w:ascii="IRNazanin" w:hAnsi="IRNazanin" w:eastAsia="IRNazanin"/>
          <w:color w:val="111111"/>
          <w:sz w:val="28"/>
          <w:sz w:val="28"/>
          <w:szCs w:val="28"/>
          <w:rtl w:val="true"/>
          <w:lang w:bidi="fa-IR"/>
        </w:rPr>
        <w:t>فیعلم من ذلک أنّ نفوذ تصرّفات الصبیّ یتوقّف علی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 الرشد، و علیه فالآیة الکریمة دالّة علی المنع من تصرّفات الصبیّ قبل البلوغ و إن کان رشیداً</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الإمام الخمینی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الآیة الکریمة 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للغایة، و یکون المراد من الآیة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لزوم الابتلاء مستمرّ إلی زمان البلوغ، و بعد استمراره إلیه إمّا أن یعلم</w:t>
      </w:r>
      <w:r>
        <w:rPr>
          <w:rStyle w:val="FootnoteAnchor"/>
          <w:rtl w:val="true"/>
        </w:rPr>
        <w:footnoteReference w:id="30"/>
      </w:r>
      <w:r>
        <w:rPr>
          <w:rFonts w:ascii="Amiri" w:hAnsi="Amiri" w:eastAsia="Amiri" w:cs="Amiri"/>
          <w:color w:val="111111"/>
          <w:sz w:val="28"/>
          <w:sz w:val="28"/>
          <w:szCs w:val="28"/>
          <w:rtl w:val="true"/>
          <w:lang w:bidi="ar-SA"/>
        </w:rPr>
        <w:t>رشده فیردّ إلیه ماله، أو لا فلا یُردّ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لازم ذلک عدم کون أحدهما تمام الموضوع لاستقلاله و وجوب دفعه إلیه، و إنّما المجموع موضوع له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أوجب الابتلاء من زمان یحتمل فیه الرشد إلی زمان البلوغ؛ لأجل أهمّیّة الموضوع و احتیاج کشف الرّشد و إیناسه إلی زمان معتدّ به، جُرِّبَ فیه الطفل، و عُلِمَ منه العقل و التدبیر، و هو ممّا لا یمکن الاطّلاع علیه بشهر أو شهرین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الأمر به قبل البلوغ إلی أوّل زمانه لأجل عدم التأخیر فی ردّ</w:t>
      </w:r>
    </w:p>
    <w:p>
      <w:pPr>
        <w:pStyle w:val="BookText"/>
        <w:rPr/>
      </w:pPr>
      <w:r>
        <w:rPr>
          <w:rFonts w:ascii="IRNazanin" w:hAnsi="IRNazanin" w:eastAsia="IRNazanin"/>
          <w:color w:val="111111"/>
          <w:sz w:val="28"/>
          <w:sz w:val="28"/>
          <w:szCs w:val="28"/>
          <w:rtl w:val="true"/>
          <w:lang w:bidi="fa-IR"/>
        </w:rPr>
        <w:t>المال إلی صاحبه</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فظهور مجموع الکلام فی اعتبار الرشد و البلوغ ممّا لا مجال</w:t>
      </w:r>
      <w:r>
        <w:rPr>
          <w:rStyle w:val="FootnoteAnchor"/>
          <w:rtl w:val="true"/>
        </w:rPr>
        <w:footnoteReference w:id="32"/>
      </w:r>
      <w:r>
        <w:rPr>
          <w:rFonts w:ascii="IRNazanin" w:hAnsi="IRNazanin" w:eastAsia="IRNazanin"/>
          <w:color w:val="111111"/>
          <w:sz w:val="28"/>
          <w:sz w:val="28"/>
          <w:szCs w:val="28"/>
          <w:rtl w:val="true"/>
          <w:lang w:bidi="fa-IR"/>
        </w:rPr>
        <w:t>لإنکاره، و هذا هو المستفاد من أغلب التفاسیر، کما فی الکشّاف</w:t>
      </w:r>
      <w:r>
        <w:rPr>
          <w:rStyle w:val="FootnoteAnchor"/>
          <w:rtl w:val="true"/>
        </w:rPr>
        <w:footnoteReference w:id="33"/>
      </w:r>
      <w:r>
        <w:rPr>
          <w:rFonts w:ascii="IRNazanin" w:hAnsi="IRNazanin" w:eastAsia="IRNazanin"/>
          <w:color w:val="111111"/>
          <w:sz w:val="28"/>
          <w:sz w:val="28"/>
          <w:szCs w:val="28"/>
          <w:rtl w:val="true"/>
          <w:lang w:bidi="fa-IR"/>
        </w:rPr>
        <w:t>و تفسیر الصافی</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مجمع البیان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فَادْفَعُوا إِلَیْهِمْ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لأولیاء الیتیم، و هو تعلیق لجواز الدفع بالشرطین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 إیناس الرشد، فلا یجوز الدفع قبلهما</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التفسیر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شرط فی دفع أموالهم إلیهم شرطین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النکاح،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إیناس الرشد</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المذکور فی الآیة المبارکة و إن کان هو الیتیم إلاّ أنّ تعلیق جواز دفع ماله إلیه علی بلوغه و رشده یدلّ علی أنّ المنع عن دفع المال إلیه إنّما هو لأجل عدم البلوغ، و علیه فیعمّ الحکم غیر الیتیم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الآیة الکریمة تشمل من کان جدّه حیّاً و قد مات أبوه، و کذا یعمّ الحکم من کان أبوه حیّاً؛ لعدم القول بالفصل جزماً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 دلالة الآیة الشریفة علی الشرطین أنّ الآیة غیر صریحة الدلالة فی المقام؛ لأنّ عدم دفع المال إلیهم و عدم الاعتداد</w:t>
      </w:r>
    </w:p>
    <w:p>
      <w:pPr>
        <w:pStyle w:val="BookText"/>
        <w:rPr/>
      </w:pPr>
      <w:r>
        <w:rPr>
          <w:rFonts w:ascii="IRNazanin" w:hAnsi="IRNazanin" w:eastAsia="IRNazanin"/>
          <w:color w:val="111111"/>
          <w:sz w:val="28"/>
          <w:sz w:val="28"/>
          <w:szCs w:val="28"/>
          <w:rtl w:val="true"/>
          <w:lang w:bidi="fa-IR"/>
        </w:rPr>
        <w:t>بإملائهم لا یستلزم عدم جواز إیقاع العقد و عدم الاعتبار بکلامهم، خصوصاً مع إذن الولیّ و التمییز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أیضاً اعتبار المستثنی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دفع المال إلی الیتامی إن آنستم منهم رشداً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لو کان ممّن لا اعتداد بکلامهم ما کان ینبغی الاستثناء، و لهذا قیل بجواز عقده إذا بلغ عشراً، و عقده حال الاختبار، کما فی مجمع الفائدة</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یستظهر من الآیة أن الرشد تمام الموضوع لدفع الأموال و لا دخل للبلوغ معه و لذلک قال المحقّق الإیروانی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یبعد</w:t>
      </w:r>
      <w:r>
        <w:rPr>
          <w:rStyle w:val="FootnoteAnchor"/>
          <w:rtl w:val="true"/>
        </w:rPr>
        <w:footnoteReference w:id="38"/>
      </w:r>
      <w:r>
        <w:rPr>
          <w:rFonts w:ascii="IRNazanin" w:hAnsi="IRNazanin" w:eastAsia="IRNazanin"/>
          <w:color w:val="111111"/>
          <w:sz w:val="28"/>
          <w:sz w:val="28"/>
          <w:szCs w:val="28"/>
          <w:rtl w:val="true"/>
          <w:lang w:bidi="fa-IR"/>
        </w:rPr>
        <w:t>استفادة أنّ المدار فی صحّة</w:t>
      </w:r>
    </w:p>
    <w:p>
      <w:pPr>
        <w:pStyle w:val="BookText"/>
        <w:rPr/>
      </w:pPr>
      <w:r>
        <w:rPr>
          <w:rFonts w:ascii="Amiri" w:hAnsi="Amiri" w:eastAsia="Amiri" w:cs="Amiri"/>
          <w:color w:val="111111"/>
          <w:sz w:val="28"/>
          <w:sz w:val="28"/>
          <w:szCs w:val="28"/>
          <w:rtl w:val="true"/>
          <w:lang w:bidi="ar-SA"/>
        </w:rPr>
        <w:t xml:space="preserve">معاملات الصبیّ علی الرشد من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ابْتَلُوا الْیَتامی حَتّی إِذا بَلَغُوا النِّکاحَ فَإِنْ آنَسْتُمْ مِنْهُمْ رُشْداً فَادْفَعُوا إِلَیْهِمْ أَمْوالَهُمْ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علی أن تکون الجملة الأخیرة استدراکاً عن صدر الآیة، و أنّه مع استیناس الرّشد لا یتوقّف فی دفع المال و لا ینتظر البلوغ، و أنّ اعتبار البلوغ طریقیّ، اعتبر أمارة إلی الرشد بلا موضوعیّة له</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بالابتلاء اختبار حال الصبیّ فی أنّه هل یتمکّن من التصرّف الصالح أم لا، و هذا الاختبار یحصل بأیّ تصرّف من التصرّفات السائغة فی نفسها، و بعد استیناس الرشد منه لا ینتظر البلوغ، فتدلّ الآیة علی جواز تصرّفات الصبیّ مستقلّاً بعد استیناس الرشد منه و لو لم یکن بالغاً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الإمام الخمینی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الأمر بالاختبار حتّی زمان البلوغ،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أکلت السمکة حتّی 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اختبروهم حتّی زمان بلوغ النکاح الذی هو کنایة عن البلوغ، سواء کان بالاحتلام أو غیره، و وقت البلوغ و إن کان زمان انقطاع الیُتم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یقال للبالغ أنّه 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مجاز شائع فی أوّل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ذلک أن یکون الرُّشد تمام الموضوع، و لا یکون البلوغ دخیلاً فی صحّة المعاملة</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احتمل احتمالات اخری صار مجموعها أربع احتمالات و استظهر الاحتمال الثالث و هو أنّ المستفاد من الآیة الشریفة شرطیة البلوغ و الرشد معاً و قال إنّ</w:t>
      </w:r>
    </w:p>
    <w:p>
      <w:pPr>
        <w:pStyle w:val="BookText"/>
        <w:rPr/>
      </w:pPr>
      <w:r>
        <w:rPr>
          <w:rFonts w:ascii="IRNazanin" w:hAnsi="IRNazanin" w:eastAsia="IRNazanin"/>
          <w:color w:val="111111"/>
          <w:sz w:val="28"/>
          <w:sz w:val="28"/>
          <w:szCs w:val="28"/>
          <w:rtl w:val="true"/>
          <w:lang w:bidi="fa-IR"/>
        </w:rPr>
        <w:t>الآیة تدلّ علی لزوم الابتلاء المستمر إلی زمان البلوغ و ایناس الرشد متفرّع علی هذا الابتلاء و لیس متفرّعاً علی مجرّد الابتلاء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یظهر من ملاحظة کلمات کثیر من المفسّرین و الفقهاء فی تفسیر الآیة إلّا أنّها غیر صریحة الدلالة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هذه الاحتمالات کیف یمکن أن یستدلّ بالآیة علی القول المشهور؟ و لعلّه لذلک ترک الشیخ الأعظم الأنصاری 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فالعمدة فی سلب عبارة الصبیّ هو الإجماع المحکیّ المعتضد بالشهرة العظیمة، و إلّا فالمسألة محلّ إشکال</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صرّح الشیخ المحقّق الفقیه الوحید الخراسانی أنّه مع وجود هذه الاحتمالات تکون الآیة مجملة</w:t>
      </w:r>
      <w:r>
        <w:rPr>
          <w:rFonts w:eastAsia="IRNazanin" w:cs="IRNazanin"/>
          <w:color w:val="111111"/>
          <w:sz w:val="28"/>
          <w:szCs w:val="28"/>
          <w:rtl w:val="true"/>
          <w:lang w:bidi="fa-IR"/>
        </w:rPr>
        <w:t xml:space="preserve">. </w:t>
      </w:r>
      <w:r>
        <w:rPr>
          <w:rStyle w:val="FootnoteAnchor"/>
          <w:rtl w:val="true"/>
        </w:rPr>
        <w:footnoteReference w:id="42"/>
      </w:r>
      <w:r>
        <w:rPr>
          <w:rFonts w:ascii="Amiri" w:hAnsi="Amiri" w:eastAsia="Amiri" w:cs="Amiri"/>
          <w:color w:val="111111"/>
          <w:sz w:val="28"/>
          <w:sz w:val="28"/>
          <w:szCs w:val="28"/>
          <w:rtl w:val="true"/>
          <w:lang w:bidi="ar-SA"/>
        </w:rPr>
        <w:t>الوجه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فحوی ما دلّ علی عدم صحّة معاملة السفیه أو عمومه کظاهر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تُؤْتُوا السُّفَهاءَ أَمْوالَکُمُ الَّتِی جَعَلَ اللّهُ لَکُمْ قِیاماً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 الروایات التی تدلّ علی منع البالغ السفیه عن التصرّفات المالیّة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احتلم و لم یؤنس منه رشده و کان سفیهاً أو ضعیفاً فلیمسک عنه ولیّه ماله</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فیستفاد منها بالأولویّة</w:t>
      </w:r>
      <w:r>
        <w:rPr>
          <w:rStyle w:val="FootnoteAnchor"/>
          <w:rtl w:val="true"/>
        </w:rPr>
        <w:footnoteReference w:id="44"/>
      </w:r>
      <w:r>
        <w:rPr>
          <w:rFonts w:ascii="IRNazanin" w:hAnsi="IRNazanin" w:eastAsia="IRNazanin"/>
          <w:color w:val="111111"/>
          <w:sz w:val="28"/>
          <w:sz w:val="28"/>
          <w:szCs w:val="28"/>
          <w:rtl w:val="true"/>
          <w:lang w:bidi="fa-IR"/>
        </w:rPr>
        <w:t>بطلان بیع الصبیّ؛ لأنّ أغلب الأطفال لیس لهم</w:t>
      </w:r>
      <w:bookmarkStart w:id="36" w:name="pg11757_135387"/>
    </w:p>
    <w:p>
      <w:pPr>
        <w:pStyle w:val="BookText"/>
        <w:rPr/>
      </w:pPr>
      <w:bookmarkEnd w:id="36"/>
      <w:r>
        <w:rPr>
          <w:rFonts w:ascii="Amiri" w:hAnsi="Amiri" w:eastAsia="Amiri" w:cs="Amiri"/>
          <w:color w:val="111111"/>
          <w:sz w:val="28"/>
          <w:sz w:val="28"/>
          <w:szCs w:val="28"/>
          <w:rtl w:val="true"/>
          <w:lang w:bidi="ar-SA"/>
        </w:rPr>
        <w:t>عقل المعاملة و أضعف من السفهاء</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کون أغلب الأطفال کذلک، بل أغلب المراهقین لهم عقل المعاملة، و أقوی من السفهاء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الدلیل أخصّ من المدّعی فلا یشمل بطلان بیع الصبیّ فی صورة إذن الولیّ مع کونه مصلحة له، و الکلام فی بطلان بیع الصبیّ مطلقاً، سواء أذِنَ الولی أم لم یأذن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و هی علی طوائف</w:t>
      </w:r>
      <w:r>
        <w:rPr>
          <w:rFonts w:eastAsia="IRNazanin" w:cs="IRNazanin"/>
          <w:color w:val="111111"/>
          <w:sz w:val="28"/>
          <w:szCs w:val="28"/>
          <w:rtl w:val="true"/>
          <w:lang w:bidi="fa-IR"/>
        </w:rPr>
        <w:t>:</w:t>
      </w:r>
    </w:p>
    <w:p>
      <w:pPr>
        <w:pStyle w:val="Heading5"/>
        <w:numPr>
          <w:ilvl w:val="4"/>
          <w:numId w:val="1"/>
        </w:numPr>
        <w:rPr/>
      </w:pPr>
      <w:bookmarkStart w:id="37" w:name="__RefHeading___Toc9696543_73709187"/>
      <w:bookmarkStart w:id="38" w:name="_Toc15"/>
      <w:bookmarkEnd w:id="37"/>
      <w:r>
        <w:rPr>
          <w:rtl w:val="true"/>
        </w:rPr>
        <w:t>الطائفة الاُولی</w:t>
      </w:r>
      <w:r>
        <w:rPr>
          <w:rtl w:val="true"/>
        </w:rPr>
        <w:t xml:space="preserve">: </w:t>
      </w:r>
      <w:r>
        <w:rPr>
          <w:rtl w:val="true"/>
        </w:rPr>
        <w:t>ما تدلّ علی رفع القلم عن الصبیّ‌</w:t>
      </w:r>
      <w:bookmarkEnd w:id="38"/>
    </w:p>
    <w:p>
      <w:pPr>
        <w:pStyle w:val="BookText"/>
        <w:rPr/>
      </w:pPr>
      <w:r>
        <w:rPr>
          <w:rFonts w:ascii="IRNazanin" w:hAnsi="IRNazanin" w:eastAsia="IRNazanin"/>
          <w:color w:val="111111"/>
          <w:sz w:val="28"/>
          <w:sz w:val="28"/>
          <w:szCs w:val="28"/>
          <w:rtl w:val="true"/>
          <w:lang w:bidi="fa-IR"/>
        </w:rPr>
        <w:t>کقوله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القلم رفع عن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الصبیّ حتّی یحتلم، و عن المجنون حتّی یفیق، و عن النائم حتّی یستیقظ</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مقتضی رفع القلم أن لا یکون لکلامه حکم، و وجوده کعدمه، و غیر ماضٍ فعله فی التصرّف فی أمواله مطلقاً</w:t>
      </w:r>
      <w:r>
        <w:rPr>
          <w:rStyle w:val="FootnoteAnchor"/>
          <w:rtl w:val="true"/>
        </w:rPr>
        <w:footnoteReference w:id="47"/>
      </w:r>
      <w:r>
        <w:rPr>
          <w:rFonts w:ascii="IRNazanin" w:hAnsi="IRNazanin" w:eastAsia="IRNazanin"/>
          <w:color w:val="111111"/>
          <w:sz w:val="28"/>
          <w:sz w:val="28"/>
          <w:szCs w:val="28"/>
          <w:rtl w:val="true"/>
          <w:lang w:bidi="fa-IR"/>
        </w:rPr>
        <w:t>، فإنّه إذا رفع القلم عنه مطلقاً لم یعتدّ بعبارته شرعاً فی حال من الأحوال</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القلم عن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المتعارف بین الناس و الدائر علی ألسنتهم من أنّ فلاناً مرفوع القلم عنه، و لا حرج علیه، و أعماله کأعمال المجانین، فهذه الکلمة کنایة عن أنّ عمله کالعدم،</w:t>
      </w:r>
    </w:p>
    <w:p>
      <w:pPr>
        <w:pStyle w:val="BookText"/>
        <w:rPr/>
      </w:pPr>
      <w:r>
        <w:rPr>
          <w:rFonts w:ascii="IRNazanin" w:hAnsi="IRNazanin" w:eastAsia="IRNazanin"/>
          <w:color w:val="111111"/>
          <w:sz w:val="28"/>
          <w:sz w:val="28"/>
          <w:szCs w:val="28"/>
          <w:rtl w:val="true"/>
          <w:lang w:bidi="fa-IR"/>
        </w:rPr>
        <w:t>و رفع عنه ما جری علیه القلم، فلا ینفذ فعله و لا یمضی عنه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اورد علیه بأنّ هذا الحدیث إنّما یدلّ علی رفع الأحکام الإلزامیّة المتوجّهة إلی الصبیان کتوجّهها إلی غیرهم، فإنّ هذا هو الموافق للامتنان، و من الواضح أنّ مجرّد إجراء الصیغة لیس من الأحکام الإلزامیّة و لا موضوعاً لها لکی یرفع بحدیث الرفع، و إنّما الموضوع لها هو نفس المعاملة التی أوجدها المتعاملان، و علیه فما هو موضوع للأحکام الإلزامیّة لم یصدر من الصبیّ لکی یشمله حدیث الرفع، و ما هو صادر منه لیس بموضوع لها</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السبزواری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بین رفع الإلزام أو المؤاخذة التی هی من آثاره، أو رفعه مطلقاً حتّی یکون کالبهائم و غیر الممیّز، و تعیین الأخیر یحتاج إلی دلیل و هو مفقود، و المنساق منه بالقرائن المغروسة فی الأذهان هو الأوّل،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کالبالغ فی التشدید علیه فی جعل القانون و فی جزائه، و الظاهر کونه بهذا المعنی من المسلّمات بین جمیع ملل الدُّنیا و لا تختصّ بشرع الإسلام</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ارتفاع قلم التکلیف عن الصبیّ لا ینافی الالتزام بصحّة العقود و الإیقاعات الصادرة منه بإذن الولی،</w:t>
      </w:r>
      <w:r>
        <w:rPr>
          <w:rStyle w:val="FootnoteAnchor"/>
          <w:rtl w:val="true"/>
        </w:rPr>
        <w:footnoteReference w:id="52"/>
      </w:r>
      <w:r>
        <w:rPr>
          <w:rFonts w:ascii="IRNazanin" w:hAnsi="IRNazanin" w:eastAsia="IRNazanin"/>
          <w:color w:val="111111"/>
          <w:sz w:val="28"/>
          <w:sz w:val="28"/>
          <w:szCs w:val="28"/>
          <w:rtl w:val="true"/>
          <w:lang w:bidi="fa-IR"/>
        </w:rPr>
        <w:t>بل إنّ رفع القلم عن الصبیّ لا یدلّ علی أزید من رفع إلزامه بشخصه ما دام صبیّاً، فهو لا یدلّ علی رفع إلزام البالغین بفعله أو علی إلزامه بفعله بعد بلوغه کما هو فی جنابته، أو فی إتلاف</w:t>
      </w:r>
      <w:bookmarkStart w:id="39" w:name="pg11757_135389"/>
    </w:p>
    <w:p>
      <w:pPr>
        <w:pStyle w:val="BookText"/>
        <w:rPr/>
      </w:pPr>
      <w:bookmarkEnd w:id="39"/>
      <w:r>
        <w:rPr>
          <w:rFonts w:ascii="IRNazanin" w:hAnsi="IRNazanin" w:eastAsia="IRNazanin"/>
          <w:color w:val="111111"/>
          <w:sz w:val="28"/>
          <w:sz w:val="28"/>
          <w:szCs w:val="28"/>
          <w:rtl w:val="true"/>
          <w:lang w:bidi="fa-IR"/>
        </w:rPr>
        <w:t>مال غیره، کما أشار إلیه الشیخ الأعظم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مانع من أن یکون عقده سبباً لوجوب الوفاء بعد البلوغ، أو علی الولیّ إذا وقع بإذنه أو إجازته، کما یکون جنابته سبباً لوجوب غسله بعد البلوغ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لا مانع من کون فعل غیر البالغ موضوعاً للأحکام المجعولة فی حقّ البالغین، فیکون 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کسائر غیر البالغین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خارجاً عن ذلک الحکم إلی وقت البلوغ</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 w:name="__RefHeading___Toc9696545_73709187"/>
      <w:bookmarkStart w:id="41" w:name="_Toc16"/>
      <w:bookmarkEnd w:id="40"/>
      <w:r>
        <w:rPr>
          <w:rtl w:val="true"/>
        </w:rPr>
        <w:t xml:space="preserve">الطائفة الثانیة </w:t>
      </w:r>
      <w:r>
        <w:rPr>
          <w:rtl w:val="true"/>
        </w:rPr>
        <w:t xml:space="preserve">- </w:t>
      </w:r>
      <w:r>
        <w:rPr>
          <w:rtl w:val="true"/>
        </w:rPr>
        <w:t xml:space="preserve">و هی العمدة فی المقام </w:t>
      </w:r>
      <w:r>
        <w:rPr>
          <w:rtl w:val="true"/>
        </w:rPr>
        <w:t>-:</w:t>
      </w:r>
      <w:bookmarkEnd w:id="41"/>
    </w:p>
    <w:p>
      <w:pPr>
        <w:pStyle w:val="BookText"/>
        <w:rPr/>
      </w:pPr>
      <w:r>
        <w:rPr>
          <w:rFonts w:ascii="IRNazanin" w:hAnsi="IRNazanin" w:eastAsia="IRNazanin"/>
          <w:color w:val="111111"/>
          <w:sz w:val="28"/>
          <w:sz w:val="28"/>
          <w:szCs w:val="28"/>
          <w:rtl w:val="true"/>
          <w:lang w:bidi="fa-IR"/>
        </w:rPr>
        <w:t>الروایات التی تدلّ علی أنّ أمر الصبیّ غیر نافذٍ قبل الاحتلام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أخبار صحیحة، قال فی 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المستفیضة الدالّة علی عدم صحّة معاملات الصبیّ و عقوده</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الیتیم متی یجوز أمره؟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یبلغ أشدّه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أشدّه؟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الغلام ابن ثمان عشرة سنة أو أقلّ أو أکثر و لا یحتلم؟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بلغ و کتب علیه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نبت علیه الشعر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أمره، إلاّ أن یکون سفیهاً أو ضعیفاً</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 عبد اللّه بن سنان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أشدّه ثلاث عشرة سنة و دخل فی الأربع عشرة وجب علیه ما وجب علی المسلمین، احتلم أم لم یحتلم، و کتبت علیه السیّئات، و کتبت له الحسنات، و جاز له کلّ شیء إلاّ أن یکون ضعیفاً أو سفیهاً</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حمزة بن حمران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الجاریة إذا تزوّجت و دخل بها و لها تسع سنین ذهب عنها الیُتم، و دفع إلیها مالها و جاز أمرها فی الشراء و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الغلام لا یجوز أمره فی الشراء و البیع، و لا یخرج من الیُتم حتّی یبلغ خمس عشرة سنة، أو یحتلم أو یشعر أو ینبت قبل ذلک</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بلغت الجاریة تسع سنین دفع إلیها مالها، و جاز أمرها فی مالها</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الروایات</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فإنّها تدلّ‌</w:t>
      </w:r>
      <w:r>
        <w:rPr>
          <w:rStyle w:val="FootnoteAnchor"/>
          <w:rtl w:val="true"/>
        </w:rPr>
        <w:footnoteReference w:id="60"/>
      </w:r>
      <w:r>
        <w:rPr>
          <w:rFonts w:ascii="IRNazanin" w:hAnsi="IRNazanin" w:eastAsia="IRNazanin"/>
          <w:color w:val="111111"/>
          <w:sz w:val="28"/>
          <w:sz w:val="28"/>
          <w:szCs w:val="28"/>
          <w:rtl w:val="true"/>
          <w:lang w:bidi="fa-IR"/>
        </w:rPr>
        <w:t xml:space="preserve">بمفهوم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حجّة عند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نفوذ أمر الصبیّ فی بیعه و شرائه، و سائر تصرّفاته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حدیث حمران المتقدّم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ظاهر فی أنّه ما لم یبلغ فإنّه لا یجوز أمره و لا تصرّفه فیه بوجه من الوجوه، إلّا ما دلّ دلیل من خارج علی استثنائه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الخبر المذکور دلّ علی عدم جواز</w:t>
      </w:r>
    </w:p>
    <w:p>
      <w:pPr>
        <w:pStyle w:val="BookText"/>
        <w:rPr/>
      </w:pPr>
      <w:r>
        <w:rPr>
          <w:rFonts w:ascii="IRNazanin" w:hAnsi="IRNazanin" w:eastAsia="IRNazanin"/>
          <w:color w:val="111111"/>
          <w:sz w:val="28"/>
          <w:sz w:val="28"/>
          <w:szCs w:val="28"/>
          <w:rtl w:val="true"/>
          <w:lang w:bidi="fa-IR"/>
        </w:rPr>
        <w:t>أمره، یعنی تصرّفه بجمیع أنواع التصرّفات، و العقد الواقع منه إن کان صحیحاً موجباً لنقل الملک فهو التصرّف الذی منع منه الخبر، و إلّا فهو لغو لا عبرة به و لا ثمرة تترتّب علیه</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مفتاح الکرامة</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المراد من أمره، تصرّفه القولی و الفعلی، و هذا معنی سلب عبارته فی المعاملة</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منها هو عدم نفوذ أمر الصبیّ قبل الاحتلام علی نحو الاستقلال التامّ، لا عدم النفوذ مع إذن الولیّ أو بوکالته بأن یکون البائع هو الولیّ حقیقة و الصبیّ باشر العقد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الأعظم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جواز الأمر فی هذه الروایات ظاهر فی استقلاله فی التصرّف؛ لأنّ الجواز مرادف للمضیّ، فلا ینافی عدمه ثبوت الوقوف علی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له الاستثناء فی بعض تلک الأخبار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یکون سفیهاً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دلالة لها حینئذٍ علی سلب عبارته</w:t>
      </w:r>
      <w:r>
        <w:rPr>
          <w:rStyle w:val="FootnoteAnchor"/>
          <w:rtl w:val="true"/>
        </w:rPr>
        <w:footnoteReference w:id="64"/>
      </w:r>
      <w:r>
        <w:rPr>
          <w:rFonts w:ascii="IRNazanin" w:hAnsi="IRNazanin" w:eastAsia="IRNazanin"/>
          <w:color w:val="111111"/>
          <w:sz w:val="28"/>
          <w:sz w:val="28"/>
          <w:szCs w:val="28"/>
          <w:rtl w:val="true"/>
          <w:lang w:bidi="fa-IR"/>
        </w:rPr>
        <w:t>، و أنّه إذا ساوم ولیّه متاعاً و عیّن له قیمته و أمر الصبیّ بمجرّد إیقاع العقد مع الطرف الآخر کان باطلاً</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لفظ الأمر المذکور فی هذه الطائفة و إن کان بمفهومه اللغویّ شاملاً لأیّ فعل یصدر من الصبیّ و لکنّ إسناد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 ذکر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و مناسبته له یقتضی أن یُراد منه سلطنة الصبیّ علی أمواله</w:t>
      </w:r>
      <w:bookmarkStart w:id="42" w:name="pg11757_135392"/>
    </w:p>
    <w:p>
      <w:pPr>
        <w:pStyle w:val="BookText"/>
        <w:rPr/>
      </w:pPr>
      <w:bookmarkEnd w:id="42"/>
      <w:r>
        <w:rPr>
          <w:rFonts w:ascii="IRNazanin" w:hAnsi="IRNazanin" w:eastAsia="IRNazanin"/>
          <w:color w:val="111111"/>
          <w:sz w:val="28"/>
          <w:sz w:val="28"/>
          <w:szCs w:val="28"/>
          <w:rtl w:val="true"/>
          <w:lang w:bidi="fa-IR"/>
        </w:rPr>
        <w:t>و تصرّفه فیها کیف یشاء، و لا یفرق فی ذلک بین أن یکون تصرّفه فیها بإذن ولیّه أو بدونه، و من الظاهر أنّ هذا المعنی لا یتحقّق بمجرّد إجراء الصیغة، کما فی مصباح الفقاهة</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قریب من هذا فی حاشیة المکاسب للمحقّق الأصفهانی</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الأراکی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الإنصاف</w:t>
      </w:r>
      <w:r>
        <w:rPr>
          <w:rStyle w:val="FootnoteAnchor"/>
          <w:rtl w:val="true"/>
        </w:rPr>
        <w:footnoteReference w:id="68"/>
      </w:r>
      <w:r>
        <w:rPr>
          <w:rFonts w:ascii="IRNazanin" w:hAnsi="IRNazanin" w:eastAsia="IRNazanin"/>
          <w:color w:val="111111"/>
          <w:sz w:val="28"/>
          <w:sz w:val="28"/>
          <w:szCs w:val="28"/>
          <w:rtl w:val="true"/>
          <w:lang w:bidi="fa-IR"/>
        </w:rPr>
        <w:t>انصراف الأمر عن مثل هذا، بل المراد هو الاُمور التی لم یرض الشارع بتعطیلها و حمّلها الولیّ، من التدبیر فی اموره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إدارة أمر معاشه، فیخرج عنه مجرّد الإنشاء الخالی عن الدخل فی الرتق و الفتق و الحلّ و العقد</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 w:name="__RefHeading___Toc9696547_73709187"/>
      <w:bookmarkStart w:id="44" w:name="_Toc17"/>
      <w:bookmarkEnd w:id="43"/>
      <w:r>
        <w:rPr>
          <w:rtl w:val="true"/>
        </w:rPr>
        <w:t>الطائفة الثالثة</w:t>
      </w:r>
      <w:r>
        <w:rPr>
          <w:rtl w:val="true"/>
        </w:rPr>
        <w:t xml:space="preserve">: </w:t>
      </w:r>
      <w:r>
        <w:rPr>
          <w:rtl w:val="true"/>
        </w:rPr>
        <w:t>ما تدلّ علی أنّ عمد الصبیّ و خطأه واحد</w:t>
      </w:r>
      <w:bookmarkEnd w:id="44"/>
    </w:p>
    <w:p>
      <w:pPr>
        <w:pStyle w:val="BookText"/>
        <w:rPr/>
      </w:pPr>
      <w:r>
        <w:rPr>
          <w:rFonts w:ascii="IRNazanin" w:hAnsi="IRNazanin" w:eastAsia="IRNazanin"/>
          <w:color w:val="111111"/>
          <w:sz w:val="28"/>
          <w:sz w:val="28"/>
          <w:szCs w:val="28"/>
          <w:rtl w:val="true"/>
          <w:lang w:bidi="fa-IR"/>
        </w:rPr>
        <w:t>و هذه الطائفة علی ثلاثة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دلّ علی ذلک مطلقاً من غیر أن یکون مقیّداً بشیء، کصحیحة محمّد بن مسلم،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 الصبیّ و خطأه واحد</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دلّ علی الحکم المزبور مقیّداً بکون دیة الجنایة الصادرة من الصبیّ خطأً علی عاقلته، کروایة إسحاق بن عمّار، عن جعفر، عن أبیه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الصبیان خطأٌ تحمله العاقلة</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دلّ علی هذا الحکم مع قید آخر و رفع القلم عن الصبیّ کروایة أبی البختری، عن جعفر، عن أبیه، عن علیّ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یقول فی المجنون و المعتوه الذی لا یفیق و الصبیّ الذی لم یبلغ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عمدهما خطاء تحمله العاقلة، و قد رفع عنهما القلم</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فإنّها تدلّ علی أنّ الفعل الصادر مع القصد کالصادر بلا قصد، فلا یعتنی بصیغ العقود و الإیقاعات الصادرة من الصبیّ، کما لا یترتّب الأثر علیها إذا صدرت من البالغین نسیاناً أو غفلةً أو فی حالة النوم أو خطأً</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أن یستأنس له أیضاً بما ورد فی الأخبار المستفیضة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و خطأه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الأصحاب و إن ذکروها فی باب الجنایات، إلاّ أنّه لا إشعار فیها بالاختصاص بالجنایات، و لذا تمسّک بها الشیخ فی المبسوط‌</w:t>
      </w:r>
      <w:r>
        <w:rPr>
          <w:rStyle w:val="FootnoteAnchor"/>
          <w:rtl w:val="true"/>
        </w:rPr>
        <w:footnoteReference w:id="73"/>
      </w:r>
      <w:r>
        <w:rPr>
          <w:rFonts w:ascii="IRNazanin" w:hAnsi="IRNazanin" w:eastAsia="IRNazanin"/>
          <w:color w:val="111111"/>
          <w:sz w:val="28"/>
          <w:sz w:val="28"/>
          <w:szCs w:val="28"/>
          <w:rtl w:val="true"/>
          <w:lang w:bidi="fa-IR"/>
        </w:rPr>
        <w:t>و الحلّی فی السرائر</w:t>
      </w:r>
      <w:r>
        <w:rPr>
          <w:rStyle w:val="FootnoteAnchor"/>
          <w:rtl w:val="true"/>
        </w:rPr>
        <w:footnoteReference w:id="74"/>
      </w:r>
      <w:r>
        <w:rPr>
          <w:rFonts w:ascii="IRNazanin" w:hAnsi="IRNazanin" w:eastAsia="IRNazanin"/>
          <w:color w:val="111111"/>
          <w:sz w:val="28"/>
          <w:sz w:val="28"/>
          <w:szCs w:val="28"/>
          <w:rtl w:val="true"/>
          <w:lang w:bidi="fa-IR"/>
        </w:rPr>
        <w:t xml:space="preserve">علی أنّ إخلال الصبیّ الُمحرم بمحظورات الإحرام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تختصّ الکفّارة فیها بحال العمد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یوجب کفّارةً علی الصبیّ و لا علی الولیّ؛ لأنّ عمده خطأ، و حینئذٍ فکلّ حکمٍ شرعی تعلّق بالأفعال التی یعتبر فی ترتّب الحکم الشرعی علیها القصد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لا عبرة بها إذا وقعت بغیر القصد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یصدر منها عن الصبیّ قصداً بمنزلة الصادر عن غیره بلا قصد، فعقد الصبیّ و إیقاعه مع القصد کعقد الهازل و الغالط و الخاطئ و إیقاعاتهم</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الأصفهانی فی شرحه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تارةً للفعل العمدی حکم و للخطئی</w:t>
      </w:r>
      <w:r>
        <w:rPr>
          <w:rStyle w:val="FootnoteAnchor"/>
          <w:rtl w:val="true"/>
        </w:rPr>
        <w:footnoteReference w:id="76"/>
      </w:r>
      <w:r>
        <w:rPr>
          <w:rFonts w:ascii="IRNazanin" w:hAnsi="IRNazanin" w:eastAsia="IRNazanin"/>
          <w:color w:val="111111"/>
          <w:sz w:val="28"/>
          <w:sz w:val="28"/>
          <w:szCs w:val="28"/>
          <w:rtl w:val="true"/>
          <w:lang w:bidi="fa-IR"/>
        </w:rPr>
        <w:t>حکم آخر کما فی باب الجنایات، من ثبوت القصاص فی العمد و الدیة فی مال الجانی فی شبه العمد، و ثبوت الدیة علی العاقلة فی الخطأ، و أُخری للفعل العمدی حکم، و لا حکم للخطإ، کما فی محظورات الإحرام ما عدا الصید المترتّب علیه الکفّارة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فالاستدلال بعمد الصبیّ خطأ فی المعاملات باللحاظ الثانی، حیث إنّ المعاملات امور عمدیّة قصدیّة، فإذا صدرت من الصبیّ الذی عمده خطأ لم یترتّب علیها أحکامها و آثارها</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حصول النقل و الانتقال و کذلک سائر آثار المعاملات متوقّف علی الإنشاء، و الإنشاء منوط بالقصد و العمل، و هذه الأخبار دلّت علی أن لا قصد للصبیّ و أنّ کلّ قصوده خطأ، مریداً بذلک نفی کلّ أثر منوط بقصده، و من ذلک أثر المعاملات</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عنها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إنشاء الصبیّ لا أثر له بلا واسطة، و إنّما الآثار آثار العناوین الاعتباریّة الحاصلة بإنشائه من البیع و النکاح و نحوهما، و الروایات قاصرة</w:t>
      </w:r>
      <w:r>
        <w:rPr>
          <w:rStyle w:val="FootnoteAnchor"/>
          <w:rtl w:val="true"/>
        </w:rPr>
        <w:footnoteReference w:id="79"/>
      </w:r>
      <w:r>
        <w:rPr>
          <w:rFonts w:ascii="IRNazanin" w:hAnsi="IRNazanin" w:eastAsia="IRNazanin"/>
          <w:color w:val="111111"/>
          <w:sz w:val="28"/>
          <w:sz w:val="28"/>
          <w:szCs w:val="28"/>
          <w:rtl w:val="true"/>
          <w:lang w:bidi="fa-IR"/>
        </w:rPr>
        <w:t>عن إفادة نفی کلّ أثر مترتّب علی إنشائه و لو مع الواسطة و بإذن من الولیّ‌</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منها اختصاصها بباب الجنایات علی ما فهمه الفقهاء، مع</w:t>
      </w:r>
      <w:bookmarkStart w:id="45" w:name="pg11757_135395"/>
    </w:p>
    <w:p>
      <w:pPr>
        <w:pStyle w:val="BookText"/>
        <w:rPr/>
      </w:pPr>
      <w:bookmarkEnd w:id="45"/>
      <w:r>
        <w:rPr>
          <w:rFonts w:ascii="IRNazanin" w:hAnsi="IRNazanin" w:eastAsia="IRNazanin"/>
          <w:color w:val="111111"/>
          <w:sz w:val="28"/>
          <w:sz w:val="28"/>
          <w:szCs w:val="28"/>
          <w:rtl w:val="true"/>
          <w:lang w:bidi="fa-IR"/>
        </w:rPr>
        <w:t xml:space="preserve">أنّ فی بعض الروایات زیادة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تحمله العاقلة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قرینة علی التخصیص و موجب لتقیید ما لیس فیه تلک الزیادة، مع أنّ الشکّ‌</w:t>
      </w:r>
      <w:r>
        <w:rPr>
          <w:rStyle w:val="FootnoteAnchor"/>
          <w:rtl w:val="true"/>
        </w:rPr>
        <w:footnoteReference w:id="81"/>
      </w:r>
      <w:r>
        <w:rPr>
          <w:rFonts w:ascii="IRNazanin" w:hAnsi="IRNazanin" w:eastAsia="IRNazanin"/>
          <w:color w:val="111111"/>
          <w:sz w:val="28"/>
          <w:sz w:val="28"/>
          <w:szCs w:val="28"/>
          <w:rtl w:val="true"/>
          <w:lang w:bidi="fa-IR"/>
        </w:rPr>
        <w:t>فی إرادة العموم کافٍ فی عدمه</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 w:name="__RefHeading___Toc9696549_73709187"/>
      <w:bookmarkStart w:id="47" w:name="_Toc18"/>
      <w:bookmarkEnd w:id="46"/>
      <w:r>
        <w:rPr>
          <w:rtl w:val="true"/>
        </w:rPr>
        <w:t>مناقشة الجواب و دفعها</w:t>
      </w:r>
      <w:bookmarkEnd w:id="47"/>
    </w:p>
    <w:p>
      <w:pPr>
        <w:pStyle w:val="Heading5"/>
        <w:numPr>
          <w:ilvl w:val="4"/>
          <w:numId w:val="1"/>
        </w:numPr>
        <w:rPr/>
      </w:pPr>
      <w:bookmarkStart w:id="48" w:name="__RefHeading___Toc9696551_73709187"/>
      <w:bookmarkStart w:id="49" w:name="_Toc19"/>
      <w:bookmarkEnd w:id="48"/>
      <w:r>
        <w:rPr>
          <w:rtl w:val="true"/>
        </w:rPr>
        <w:t>اشارة</w:t>
      </w:r>
      <w:bookmarkEnd w:id="49"/>
    </w:p>
    <w:p>
      <w:pPr>
        <w:pStyle w:val="BookText"/>
        <w:rPr/>
      </w:pPr>
      <w:r>
        <w:rPr>
          <w:rFonts w:ascii="IRNazanin" w:hAnsi="IRNazanin" w:eastAsia="IRNazanin"/>
          <w:color w:val="111111"/>
          <w:sz w:val="28"/>
          <w:sz w:val="28"/>
          <w:szCs w:val="28"/>
          <w:rtl w:val="true"/>
          <w:lang w:bidi="fa-IR"/>
        </w:rPr>
        <w:t>و اجیب عن المناقشة بأنّ تذییل بعضها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تحمله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w:t>
      </w:r>
      <w:r>
        <w:rPr>
          <w:rStyle w:val="FootnoteAnchor"/>
          <w:rtl w:val="true"/>
        </w:rPr>
        <w:footnoteReference w:id="83"/>
      </w:r>
      <w:r>
        <w:rPr>
          <w:rFonts w:ascii="IRNazanin" w:hAnsi="IRNazanin" w:eastAsia="IRNazanin"/>
          <w:color w:val="111111"/>
          <w:sz w:val="28"/>
          <w:sz w:val="28"/>
          <w:szCs w:val="28"/>
          <w:rtl w:val="true"/>
          <w:lang w:bidi="fa-IR"/>
        </w:rPr>
        <w:t>حمل الأخبار المطلقة علی باب الجنایات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ما ورد فی روایة أبی البختری المتقدّمة عن علیٍّ علیه السلام أنّه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المجنون و المعتوه الذی لا یفیق و الصبیّ الذی لم یبلغ عمدهما خطاء تحمله العاقلة، و قد رفع عنهما القلم</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فإنّ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رفع عنهما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العلّة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عمدهما خطاء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مقتضاه أنّ الأفعال التی تترتّب علیها الآثار إذا صدرت عن قصدٍ من غیر الصبیّ و المجنون إذا صدرت عنهما فکالصادرة عن غیرهما بلا قصد؛ لأنّ قلم جعل الأحکام مرفوع عنهما، فمقتضی التعلیل هو التعدّی إلی غیر الجنایات، بل یستفاد منه أنّ الطائفة الثانیة و الثالثة وردتا لمعنیً واحد و کلّ منهما مخصوصتان بالأفعال القصدیّة، لا</w:t>
      </w:r>
    </w:p>
    <w:p>
      <w:pPr>
        <w:pStyle w:val="BookText"/>
        <w:rPr/>
      </w:pPr>
      <w:r>
        <w:rPr>
          <w:rFonts w:ascii="IRNazanin" w:hAnsi="IRNazanin" w:eastAsia="IRNazanin"/>
          <w:color w:val="111111"/>
          <w:sz w:val="28"/>
          <w:sz w:val="28"/>
          <w:szCs w:val="28"/>
          <w:rtl w:val="true"/>
          <w:lang w:bidi="fa-IR"/>
        </w:rPr>
        <w:t>الأفعال التی تکون موضوعات للأحکام بذواتها</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عنه المحقّق الإیروانی بأنّ الروایات مختصّة بباب الجنایات، لا من جهة فهم أصحاب الجوامع ذلک؛ إذ ذکروها فی باب الجنایات، و لا من جهة اشتمال بعض الأخبار علی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تحمله العاقلة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ذلک لا یوجب تقیید ما لیس فیها ذلک بعد عدم التنافی، بل من جهة أنّ التعبیر فیها وقع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 الصبیّ و خطأه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هذا التعبیر إنّما یعبّر به فی مقام کان لکلّ من العمد و الخطإ حکم فی الشریعة علی خلاف الآخر، فیُراد بهذه العبارة إفادة عدم تعدّد الحکم و اختلافه فی خصوص الصبیّ؛ تضییقاً لإطلاق أدلّة تلک الأحکام من جانب و توسعة من جانب آخر، و من المعلوم أنّه لا حکم لکلّ من العمد و الخطإ فی الشریعة علی خلاف الآخر إلّا فی باب الجنایات، و فی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حکم للخطإ، لا أنّ له حکماً علی خلاف حکم العمد، فلو کان المقصود نفی حکم العمد حینئذٍ ناسبه التعبیر بعمد الصبیّ خطأ کما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تحمله العاقلة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التعبیر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و خطأه واحد</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بتوضیح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تنزیل عمد الصبیّ منزلة خطئه من جمیع الجهات إنّما تتمّ فیما إذا کان نفی الحکم بلسان نفی الموضوع، بأن یقول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 الصبیّ لیس بعمد أو کلا 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نظیر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بین الرجل و ولده ربا، و لیس بین السیّد و عبده ربا</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و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الإمام سهو</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الظاهر من أمثال هذه التنزیلات أنّ المنزّل کالمنزّل علیه فی جمیع الآثار، و علیه فیترتّب علی عمد الصبیّ ما یترتّب علی خطئه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تنزیل شیء منزلة عدمه لا یقتضی وجود الأثر للمنزّل علیه لکی یکون التنزیل باعتبار ذلک الأثر، بل التنزیل هنا باعتبار عدم الأثر لأجل أنّ ما هو عدیم النفع ینزّل منزلة العدم، و هذا بخلاف تنزیل أحد الأمرین الوجودیّین منزلة صاحبه، فإنّ ذلک لا یتحقّق إلّا بلحاظ وجود الأثر للمنزّل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یضاف إلی ذلک أنّ الروایة ضعیفة السند بأبی البختری، فلا یصحّ الاستدلال بها علی شیء من المسائل الفقهیّة، و أیضاً لا یمکن أن یراد الإطلاق من تلک الروایات؛ لوجود المانع و عدم المقتضی، أمّا وجود المانع فلأنّ الأخذ بإطلاقها مخالف لضرورة المذهب و موجب لتأسیس فقه جدید، بدیهة أنّ لازم العمل بإطلاقها هو أن لا یبطل صوم الصبیّ مع عدم الاجتناب عن مبطلات الصوم، فإنّ ارتکابه بها خطأ لا ینقض الصوم، و المفروض أنّ عمد الصبیّ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إرادة التعمیم منها مستلزمة لتخصیص الأکثر؛ إذ لازمها بطلان جمیع أفعال الصبیّ المشروطة بالقصد من الإسلام، و العبادات من الطهارات و الصوم و الصلاة و غیرها، و إحیاء الموات و حیازة المباحات و السبق إلی المباحات و اللقطة و نحوها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عدم المقتضی للإطلاق فلأنّ تنزیل عمد الصبیّ منزلة خطئه علی وجه الإطلاق یقتضی أن یکون هنا أثر خاصّ لکلّ منهما، عند صدورهما من البالغین؛ لکی یکون تنزیل عمد الصبیّ منزلة خطئه بلحاظ ذلک الأثر، کما أنّ</w:t>
      </w:r>
    </w:p>
    <w:p>
      <w:pPr>
        <w:pStyle w:val="BookText"/>
        <w:rPr/>
      </w:pPr>
      <w:r>
        <w:rPr>
          <w:rFonts w:ascii="IRNazanin" w:hAnsi="IRNazanin" w:eastAsia="IRNazanin"/>
          <w:color w:val="111111"/>
          <w:sz w:val="28"/>
          <w:sz w:val="28"/>
          <w:szCs w:val="28"/>
          <w:rtl w:val="true"/>
          <w:lang w:bidi="fa-IR"/>
        </w:rPr>
        <w:t>الأمر کذلک فی تنزیل الطواف منزلة الصلاة فی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الطواف بالبیت صلاة</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الواضح أنّه لا مصداق لهذه الکبری إلاّ الجنایات، فإنّها إن صدرت من الجانی عمداً فیقتصّ منه، و إن صدرت منه خطأً فدیتها علی عاقلته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فیصحّ تنزیل جنایة الصبیّ عمداً منزلة جنایته خطأ، فتکون دیتها مطلقاً علی عاقلته، و أمّا فی غیر الجنایات فلا مورد لمثل هذا التنزیل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تنزیل عمد الصبیّ منزلة خطئه متقوّم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الأثر لکلّ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أثر الخطأ ثابتاً لغیر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أنّه لا مصداق لهذه الکبری إلاّ باب الجنایات، و هذا المعنی هو الموافق للذوق الفقهی</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أن یستأنس لعدم إرادة التعمیم من النصوص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ورد فی الأعمی بهذا المضمون، و لا إشکال فی عدم إرادة العموم منه، ففی خبر أبی عبیدة،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أعمی فقأ عین صحیح،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عمد الأعمی مثل الخطأ، هذا فیه الدیة فی ماله</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ضرب رأس رجل</w:t>
      </w:r>
      <w:bookmarkStart w:id="50" w:name="pg11757_135399"/>
    </w:p>
    <w:p>
      <w:pPr>
        <w:pStyle w:val="BookText"/>
        <w:rPr/>
      </w:pPr>
      <w:bookmarkEnd w:id="50"/>
      <w:r>
        <w:rPr>
          <w:rFonts w:ascii="IRNazanin" w:hAnsi="IRNazanin" w:eastAsia="IRNazanin"/>
          <w:color w:val="111111"/>
          <w:sz w:val="28"/>
          <w:sz w:val="28"/>
          <w:szCs w:val="28"/>
          <w:rtl w:val="true"/>
          <w:lang w:bidi="fa-IR"/>
        </w:rPr>
        <w:t>بمعول فسالت عیناه علی خدّیه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متعدّیان جمیعاً فلا أری علی الذی قتل الرجل قوداً؛ لأنّه قتله حین قتله و هو أعمی، و الأعمی جنایته خطأ یلزم عاقلته</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ثمّ أمر قدس سره بالتدبّر</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 w:name="__RefHeading___Toc9696553_73709187"/>
      <w:bookmarkStart w:id="52" w:name="_Toc20"/>
      <w:bookmarkEnd w:id="51"/>
      <w:r>
        <w:rPr>
          <w:rtl w:val="true"/>
        </w:rPr>
        <w:t>الطائفة الرابعة</w:t>
      </w:r>
      <w:r>
        <w:rPr>
          <w:rtl w:val="true"/>
        </w:rPr>
        <w:t xml:space="preserve">: </w:t>
      </w:r>
      <w:r>
        <w:rPr>
          <w:rtl w:val="true"/>
        </w:rPr>
        <w:t>ما ورد فی النهی عن کسب الإماء و الغلام</w:t>
      </w:r>
      <w:bookmarkEnd w:id="52"/>
    </w:p>
    <w:p>
      <w:pPr>
        <w:pStyle w:val="BookText"/>
        <w:rPr/>
      </w:pPr>
      <w:r>
        <w:rPr>
          <w:rFonts w:ascii="IRNazanin" w:hAnsi="IRNazanin" w:eastAsia="IRNazanin"/>
          <w:color w:val="111111"/>
          <w:sz w:val="28"/>
          <w:sz w:val="28"/>
          <w:szCs w:val="28"/>
          <w:rtl w:val="true"/>
          <w:lang w:bidi="fa-IR"/>
        </w:rPr>
        <w:t>ففی موثّقة السکونی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رسول اللّه صلی الله علیه و آله عن کسب الإماء، فإنّها إن لم تجد زنت، إلاّ أمة قد عرفت بصنعة ید، و نهی عن کسب الغلام الصغیر الذی لا یحسن صناعة بیده، فإنّه إن لم یجد سرق</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فإنّ النهی فیها مطلق، و هو یدلّ علی الفساد، فلا تصحّ معاملات الصبیّ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الاستدلال به علی الجواز أولی؛ لظهوره فی أنّ المحذور شیء آخر و هو احتمال السرقة، و لو کان نفس الکسب من حیث هو باطلاً و فاسداً لکان التعلیل به أولی من التعلیل بذلک کما هو واضح، و یدلّ علیه وحدة سیاقه مع صدره المتکفّل لکسب الإماء معلّلاً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إن لم تجد زنت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أنّه لا ریب فی صحّة کسب الإماء</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السیّد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التقیید و التعلیل</w:t>
      </w:r>
      <w:r>
        <w:rPr>
          <w:rStyle w:val="FootnoteAnchor"/>
          <w:rtl w:val="true"/>
        </w:rPr>
        <w:footnoteReference w:id="96"/>
      </w:r>
      <w:r>
        <w:rPr>
          <w:rFonts w:ascii="IRNazanin" w:hAnsi="IRNazanin" w:eastAsia="IRNazanin"/>
          <w:color w:val="111111"/>
          <w:sz w:val="28"/>
          <w:sz w:val="28"/>
          <w:szCs w:val="28"/>
          <w:rtl w:val="true"/>
          <w:lang w:bidi="fa-IR"/>
        </w:rPr>
        <w:t>ظاهران فی نفوذ کسبه فی</w:t>
      </w:r>
      <w:bookmarkStart w:id="53" w:name="pg11757_135400"/>
    </w:p>
    <w:p>
      <w:pPr>
        <w:pStyle w:val="BookText"/>
        <w:rPr/>
      </w:pPr>
      <w:bookmarkEnd w:id="53"/>
      <w:r>
        <w:rPr>
          <w:rFonts w:ascii="IRNazanin" w:hAnsi="IRNazanin" w:eastAsia="IRNazanin"/>
          <w:color w:val="111111"/>
          <w:sz w:val="28"/>
          <w:sz w:val="28"/>
          <w:szCs w:val="28"/>
          <w:rtl w:val="true"/>
          <w:lang w:bidi="fa-IR"/>
        </w:rPr>
        <w:t>الجملة، و لو حمل النهی علی الکراهة فالدلالة أظهر، و حمله علی الکسب بنحو الالتقاط أو العمل بأمر الغیر ممّا لا یکون عقداً خلاف الإطلاق، بل خلاف ظاهر التعلیل جدّاً</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 w:name="__RefHeading___Toc9696555_73709187"/>
      <w:bookmarkStart w:id="55" w:name="_Toc21"/>
      <w:bookmarkEnd w:id="54"/>
      <w:r>
        <w:rPr>
          <w:rtl w:val="true"/>
        </w:rPr>
        <w:t>الطائفة الخامسة</w:t>
      </w:r>
      <w:r>
        <w:rPr>
          <w:rtl w:val="true"/>
        </w:rPr>
        <w:t xml:space="preserve">: </w:t>
      </w:r>
      <w:r>
        <w:rPr>
          <w:rtl w:val="true"/>
        </w:rPr>
        <w:t>ما ورد فی جواز بیع القیّم علی الأیتام</w:t>
      </w:r>
      <w:bookmarkEnd w:id="55"/>
    </w:p>
    <w:p>
      <w:pPr>
        <w:pStyle w:val="BookText"/>
        <w:rPr/>
      </w:pPr>
      <w:r>
        <w:rPr>
          <w:rFonts w:ascii="IRNazanin" w:hAnsi="IRNazanin" w:eastAsia="IRNazanin"/>
          <w:color w:val="111111"/>
          <w:sz w:val="28"/>
          <w:sz w:val="28"/>
          <w:szCs w:val="28"/>
          <w:rtl w:val="true"/>
          <w:lang w:bidi="fa-IR"/>
        </w:rPr>
        <w:t>ففی صحیحة علیّ بن رئاب،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موسی علیه السلام عن رجل بینی و بینه قرابة مات و ترک أولاداً صغاراً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فیمن یشتری منهم الجاریة فیتّخذها امّ ولد؟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بذلک إذا باع علیهم القیّم لهم الناظر لهم فیما یُصلحهم</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فإنّها دلّت بمفهوم الشرط علی البأس فی بیع غیر القیّم</w:t>
      </w:r>
      <w:r>
        <w:rPr>
          <w:rStyle w:val="FootnoteAnchor"/>
          <w:rtl w:val="true"/>
        </w:rPr>
        <w:footnoteReference w:id="99"/>
      </w:r>
      <w:r>
        <w:rPr>
          <w:rFonts w:ascii="IRNazanin" w:hAnsi="IRNazanin" w:eastAsia="IRNazanin"/>
          <w:color w:val="111111"/>
          <w:sz w:val="28"/>
          <w:sz w:val="28"/>
          <w:szCs w:val="28"/>
          <w:rtl w:val="true"/>
          <w:lang w:bidi="fa-IR"/>
        </w:rPr>
        <w:t>، سواء کان الصبیان أو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منها عدم الصحّة إذا کانوا مستقلّین فی البیع و من غیر مصلحة، و أمّا إذا کان بإذن الولیّ مع رعایة المصلحة فلا یستفاد منها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أنّه لا یستفاد من النصوص بطلان بیع الصبیّ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بإذن الولیّ مع رعایة المصلحة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کما ادّعاه فی التذکرة،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الصغیر محجور علیه بالنصّ و الإجماع، سواء کان ممیّزاً أو لا، فی جمیع التصرّفات إلّا ما استثنی</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الأعظم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فالعمدة فی سلب عبارة الصبیّ هو الإجماع المحکی، المعتضد بالشهرة العظیمة، و إلّا فالمسألة محلّ إشکال</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العناوین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الوجه فی ذلک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المحصّل من الأصحاب، الظاهر بالتتبّع فی کلامهم، حیث إنّهم یشترطون ذلک فی جمیع العقود و الإیقاعات، و هو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الإجماع حدّ الاستفاضة</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الإجماع ممنوع؛ لأنّ جماعة من الأصحاب خالفوا</w:t>
      </w:r>
      <w:r>
        <w:rPr>
          <w:rStyle w:val="FootnoteAnchor"/>
          <w:rtl w:val="true"/>
        </w:rPr>
        <w:footnoteReference w:id="103"/>
      </w:r>
      <w:r>
        <w:rPr>
          <w:rFonts w:ascii="IRNazanin" w:hAnsi="IRNazanin" w:eastAsia="IRNazanin"/>
          <w:color w:val="111111"/>
          <w:sz w:val="28"/>
          <w:sz w:val="28"/>
          <w:szCs w:val="28"/>
          <w:rtl w:val="true"/>
          <w:lang w:bidi="fa-IR"/>
        </w:rPr>
        <w:t>فی ذلک، کما یظهر من الشیخ فی المبسوط،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یصحّ بیع الصبیّ و شراؤه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أنّه إذا بلغ عشر سنین و کان رشیداً کان جائزاً</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تزوّج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إذن ولیّه فنکاحه باطل، و إن تزوّج بإذنه صحّ النکاح، و البیع إن کان بغیر إذن ولیّه لم یصحّ، و إن کان بإذنه 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کالنکاح،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تردّد المحقّق فی الشرائع فی إجارة الممیّز بإذن الولیّ‌</w:t>
      </w:r>
      <w:r>
        <w:rPr>
          <w:rStyle w:val="FootnoteAnchor"/>
          <w:rtl w:val="true"/>
        </w:rPr>
        <w:footnoteReference w:id="106"/>
      </w:r>
      <w:r>
        <w:rPr>
          <w:rFonts w:ascii="IRNazanin" w:hAnsi="IRNazanin" w:eastAsia="IRNazanin"/>
          <w:color w:val="111111"/>
          <w:sz w:val="28"/>
          <w:sz w:val="28"/>
          <w:szCs w:val="28"/>
          <w:rtl w:val="true"/>
          <w:lang w:bidi="fa-IR"/>
        </w:rPr>
        <w:t>بعد ما جزم بالصحّة فی العاریة،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أذن الولیّ جاز للصبیّ مع مراعاة المصلحة</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یصحّ بیع الممیّز و شراؤه مع إذن الولی؟ نظر</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یظهر من التذکرة أیضاً عدم ثبوت الإجماع عنده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یصحّ بیع الممیّز و شراؤه؟ الوجه عندی أنّه لا یصحّ</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الأردبیلی بعد نقل ما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یستشعر منه الخلاف فی الجواز و الصحّة</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الإجماع مطلقاً غیر ظاهر</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نقل جماعة من الأصحاب هنا قولاً بجواز بیع الصبیّ و شرائه، إذا بلغ عشراً و کان عاقلاً</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فالظاهر عدم ثبوت الإجماع علی کون الصبیّ مسلوب العبارة و أنّه لا یصحّ بیعه و إن إذن له الولیّ، و إنّما الثابت و اعتمد علیه الفقهاء و صرّح به فی کلماتهم هو الإجماع علی عدم صحّة بیع الصبیّ الممیّز منفرداً و من دون إذن الولیّ، و قد خلط بین المقامین فی کلمات کثیر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لذلک قال الشیخ الأعظم بعد نقل الإجماع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عرفت من المحقّق و العلّامة و ولده و القاضی و غیرهم، خصوصاً المحقّق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بنی المسألة علی شرعیّة أفعال الصبیّ‌</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عدم تحقّق الإجماع</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 الخراسانی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الإجماع فإنّ المتیقّن من معقده غیر هذه الصورة</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صرّح السیّد الیزدی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یمکن دعوی الشهرة أو الإجماع علی سلب عبارته، خصوصاً فی غیر ماله، بأن یوکّله الغیر فی إجراء الصیغة بعد المقاولة و المراضاة و المساومة</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الأصفهانی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القدر المتیقّن من معقد الإجماع و مورد النصوص ما إذا استقلّ الصبیّ بالمعاملة و لو بتفویض الولیّ أمرها إلیه</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قریب من هذا فی کلمات المحقّق الإیروانی</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الإمام الخمینی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تحقّق الإجماع ممنوع فی مثل هذه المسألة التی تراکمت فیها الأدلّة کتاباً و سنّةً مع تمسّکهم بها قدیماً و حدیثاً، و معه کیف یمکن دعوی الإجماع علیها؟</w:t>
      </w:r>
    </w:p>
    <w:p>
      <w:pPr>
        <w:pStyle w:val="BookText"/>
        <w:rPr/>
      </w:pPr>
      <w:r>
        <w:rPr>
          <w:rFonts w:ascii="IRNazanin" w:hAnsi="IRNazanin" w:eastAsia="IRNazanin"/>
          <w:color w:val="111111"/>
          <w:sz w:val="28"/>
          <w:sz w:val="28"/>
          <w:szCs w:val="28"/>
          <w:rtl w:val="true"/>
          <w:lang w:bidi="fa-IR"/>
        </w:rPr>
        <w:t>مع أنّ الظاهر عدم إجماعیّة المسألة فی عصر شیخ الطائفة قدس سره کما یظهر من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فالوکالة فی مال الغیر بل و فی مال نفسه عن ولیّه و فی مجرّد إجراء الصیغة خارجة عن محطّ الکلام</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أنّ المسألة ذات أدلّة متعدّدة، فیکون الإجماع علی فرض ثبوته مدرکیّاً</w:t>
      </w:r>
      <w:r>
        <w:rPr>
          <w:rStyle w:val="FootnoteAnchor"/>
          <w:rtl w:val="true"/>
        </w:rPr>
        <w:footnoteReference w:id="120"/>
      </w:r>
      <w:r>
        <w:rPr>
          <w:rFonts w:ascii="IRNazanin" w:hAnsi="IRNazanin" w:eastAsia="IRNazanin"/>
          <w:color w:val="111111"/>
          <w:sz w:val="28"/>
          <w:sz w:val="28"/>
          <w:szCs w:val="28"/>
          <w:rtl w:val="true"/>
          <w:lang w:bidi="fa-IR"/>
        </w:rPr>
        <w:t>أو محتمل المدرکیّة، و هو غیر حجّة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البیع و الشراء حکم شرعیّ و لا یثبت إلّا بشرع، و لیس فیه ما یدلّ علی أنّ بیع الصبیّ و شراءه صحیحان</w:t>
      </w:r>
      <w:r>
        <w:rPr>
          <w:rFonts w:eastAsia="IRNazanin" w:cs="IRNazanin"/>
          <w:color w:val="111111"/>
          <w:sz w:val="28"/>
          <w:szCs w:val="28"/>
          <w:rtl w:val="true"/>
          <w:lang w:bidi="fa-IR"/>
        </w:rPr>
        <w:t>»</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w:t>
      </w:r>
    </w:p>
    <w:p>
      <w:pPr>
        <w:pStyle w:val="BookText"/>
        <w:rPr/>
      </w:pPr>
      <w:r>
        <w:rPr>
          <w:rFonts w:ascii="IRNazanin" w:hAnsi="IRNazanin" w:eastAsia="IRNazanin"/>
          <w:color w:val="111111"/>
          <w:sz w:val="28"/>
          <w:sz w:val="28"/>
          <w:szCs w:val="28"/>
          <w:rtl w:val="true"/>
          <w:lang w:bidi="fa-IR"/>
        </w:rPr>
        <w:t>الغنیة</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العمومات و الإطلاقات تشمل بیع الصبیّ الممیّز؛ لأنّه عند العرف یطلق علیه البیع کشمولها لعقده و إیقاعه، فالمقتضی للصحّة تامّ، و أمّا المانع فهو الأدلّة المتقدّمة التی استدلّ بها علی عدم صحّة بیع الصبیّ، و یأتی بعض ذلک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مرّ حدّ دلالتها و أنّها تدلّ علی ممنوعیّة تصرّفه فی ماله مستقلّاً، و لا یکون للولیّ الإذن فی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تصرّف الصّبی فی مال الغیر مع إذن الولیّ و إجازته أو فی مال نفسه إن کان فیه مصلحة له و کان البیع بعد المقاولة و المراضاة من الولیّ و المشتری، و یکون الصبیّ وکیلاً من طرف الولیّ لإیقاع البیع، فلا مانع منه، فتشمله العمومات، و یصحّ البیع، و لعلّه لذلک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 من المبسوط بعد الحکم بعدم صحّة بیع الصبیّ و شرائه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أنّه إذا بلغ عشر سنین و کان رشیداً کان جائزاً</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تزوّج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المحجور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إذن ولیّه فنکاحه باطل و إن تزوّج بإذنه صحّ النکاح، و البیع إن کان بغیر إذن ولیّه لم یصحّ، و إن کان بإذنه 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کالنکاح،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w:t>
      </w:r>
      <w:r>
        <w:rPr>
          <w:rFonts w:eastAsia="IRNazanin" w:cs="IRNazanin"/>
          <w:color w:val="111111"/>
          <w:sz w:val="28"/>
          <w:szCs w:val="28"/>
          <w:rtl w:val="true"/>
          <w:lang w:bidi="fa-IR"/>
        </w:rPr>
        <w:t>»</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کما تری مخالف لما اختاره فی الخلاف</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قیل من أنّ الصبیّ لیس محلّها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العمومات و الإطلاقات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w:t>
      </w:r>
    </w:p>
    <w:p>
      <w:pPr>
        <w:pStyle w:val="BookText"/>
        <w:rPr/>
      </w:pPr>
      <w:r>
        <w:rPr>
          <w:rFonts w:ascii="IRNazanin" w:hAnsi="IRNazanin" w:eastAsia="IRNazanin"/>
          <w:color w:val="111111"/>
          <w:sz w:val="28"/>
          <w:sz w:val="28"/>
          <w:szCs w:val="28"/>
          <w:rtl w:val="true"/>
          <w:lang w:bidi="fa-IR"/>
        </w:rPr>
        <w:t>من أهلها</w:t>
      </w:r>
      <w:r>
        <w:rPr>
          <w:rStyle w:val="FootnoteAnchor"/>
          <w:rtl w:val="true"/>
        </w:rPr>
        <w:footnoteReference w:id="125"/>
      </w:r>
      <w:r>
        <w:rPr>
          <w:rFonts w:ascii="IRNazanin" w:hAnsi="IRNazanin" w:eastAsia="IRNazanin"/>
          <w:color w:val="111111"/>
          <w:sz w:val="28"/>
          <w:sz w:val="28"/>
          <w:szCs w:val="28"/>
          <w:rtl w:val="true"/>
          <w:lang w:bidi="fa-IR"/>
        </w:rPr>
        <w:t>، فیکون المورد شبهة موضوعیّة، و لا یصحّ التمسّک بالدلیل لتصحیح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یصدق علی بیع الصبیّ و عقده أنّه بیعٌ و عقدٌ عرفاً، فالموضوع قطعیّ فتشمله العمومات و الإطلاقات إلاّ أن یمنع مانعٌ، و المفروض عدم المانع بالنسبة إلی بیع الصبیّ إجمالاً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جاز و صحّ بیع الصبیّ و شراؤه لجاز دفع ماله إلیه، و التالی باطل فالمقدّم مثله، أمّا الملازمة فلأنّ الحکمة فی عدم دفع المال إلیه عدم صحّة بیعه و الخوف من إتلافه، فإذا صحّ بیعه ارتفع المانع من الدفع فیجوز؛ و لأنّه لا فائدة فی الحکم بصحّة البیع مع عدم جواز الدفع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بطلان التالی فلقوله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ابْتَلُوا الْیَتامی حَتّی إِذا بَلَغُوا النِّکاحَ فَإِنْ آنَسْتُمْ مِنْهُمْ رُشْداً فَادْفَعُوا إِلَیْهِمْ أَمْوالَهُمْ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 الباقر علیه السلام فی خبر أبی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فی یده مال بعض الیتامی فلا یجوز له أن یعطیه حتّی یبلغ النکاح و یحتلم، فإذا احتلم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آنس منه الرُّشد دفع إلیه المال و أشهد</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یدفع إلی الغلام ماله؟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و أُونس منه رشد و لم یکن سفیهاً و لا ضعیفاً</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الحدیث</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الملازمة؛ لأنّ عدم جواز دفع المال إلیهم لا یستلزم</w:t>
      </w:r>
      <w:r>
        <w:rPr>
          <w:rStyle w:val="FootnoteAnchor"/>
          <w:rtl w:val="true"/>
        </w:rPr>
        <w:footnoteReference w:id="129"/>
      </w:r>
      <w:r>
        <w:rPr>
          <w:rFonts w:ascii="IRNazanin" w:hAnsi="IRNazanin" w:eastAsia="IRNazanin"/>
          <w:color w:val="111111"/>
          <w:sz w:val="28"/>
          <w:sz w:val="28"/>
          <w:szCs w:val="28"/>
          <w:rtl w:val="true"/>
          <w:lang w:bidi="fa-IR"/>
        </w:rPr>
        <w:t>عدم جواز إیقاع العقد و عدم الاعتبار بکلامهم خصوصاً إذا کان البیع مع إذن الولیّ‌</w:t>
      </w:r>
      <w:r>
        <w:rPr>
          <w:rStyle w:val="FootnoteAnchor"/>
          <w:rtl w:val="true"/>
        </w:rPr>
        <w:footnoteReference w:id="130"/>
      </w:r>
      <w:r>
        <w:rPr>
          <w:rFonts w:ascii="IRNazanin" w:hAnsi="IRNazanin" w:eastAsia="IRNazanin"/>
          <w:color w:val="111111"/>
          <w:sz w:val="28"/>
          <w:sz w:val="28"/>
          <w:szCs w:val="28"/>
          <w:rtl w:val="true"/>
          <w:lang w:bidi="fa-IR"/>
        </w:rPr>
        <w:t>و مع رعایة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بقاء الملک لکلّ من المتعاقدین حتّی یقوم دلیل واضح علی النقل و الانتقال، فلا ینتقل إلاّ بسبب شرعیّ و لم یثبت کون مثل بیع الصبیّ سبباً شرعیّاً فیبقی علی الأصل</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الأصل عدم اعتبار البلوغ؛ لأنّ المسألة من صغریات الشکّ فی الشرطیّة بعد صدق البیع علی بیع الصبیان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دلیل حیث لا دلیل له، و مع شمول العمومات و الإطلاقات لبیع الصبیّ لا مورد لجریان الأصل</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مهذّب الأحکام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یقال من أنّ المورد من موارد جریان أصالة عدم النقل و الانتقال، و قد ثبت فی محلّه أنّ الاُصول الموضوعیّة مقدّمة علی الاُصول الحکمیّة، باطل؛ لأنّه فیما إذا شکّ فی أصل الصدق العرفی، لا ما إذا احرز ذلک و شکّ فی أصل تشریع شیء فیه جزءاً أو شرطاً، فإنّ المرجع فیه البراءة</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اجتماع السلطنة التامّة و الناقصة</w:t>
      </w:r>
    </w:p>
    <w:p>
      <w:pPr>
        <w:pStyle w:val="BookText"/>
        <w:rPr/>
      </w:pPr>
      <w:r>
        <w:rPr>
          <w:rFonts w:ascii="IRNazanin" w:hAnsi="IRNazanin" w:eastAsia="IRNazanin"/>
          <w:color w:val="111111"/>
          <w:sz w:val="28"/>
          <w:sz w:val="28"/>
          <w:szCs w:val="28"/>
          <w:rtl w:val="true"/>
          <w:lang w:bidi="fa-IR"/>
        </w:rPr>
        <w:t>و استدلّ المحقّق النائینی علی عدم صحّة بیع الصبیّ الممیّز المأذون من قبل ولیّه بأنّه کما یمتنع اجتماع سلطنتین مستقلّتین علی مال واحد کذلک یمتنع اجتماع سلطنة تامّة و ناقصة کما فی مفروض الکلام، و قال فی توضیح ذلک ما ملخّصه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من الآیة المبارکة عدم استقلال الصبیّ فی التصرّف فی أمواله و إن کان رشیداً لا مباشرةً و لا توکیلاً، و إنّما الکلام فی استفادة سائر المراتب منها، و هی نفوذ تصرّفه فی ماله بإذن الولیّ و وکالته عنه و وکالته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عدم نفوذ تصرّفه فی ماله بإذن الولی فیستفاد منها أیضاً بضمّ مقدّمة عقلیّة،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لا یمکن اجتماع مالکین مستقلّین علی مال واحد و لا مالک مستقلّ و مالک کان شریکاً معه فکذلک لا یمکن اجتماع سلطنتین مستقلّتین و لا سلطنة تامّة و ناقصة فی مال واحد، فإنّ البرهان علی الامتناع واحد فی کلیهما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ثبوت الإضافة الطولیّة و الإضافة علی نحو الإشاعة و الإضافة الناقصة التی لم یکن لصاحبها منع غیره، لأشخاص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إضافتان مستقلّتان عرضیّتان بحیث یکون لکلّ منهما طرد الآخر و منعه عن التصرّف فغیر معقول، فإذا امتنع هذا امتنع إضافة مستقلّة مع إضافة منضمّة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 الولیّ بمقتضی الآیة الشریفة له تمام السلطنة قبل قابلیّة الصبیّ لأن یمتحن و یختبر، و تبقی له هذه السلطنة قبل البلوغ و 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فتأثیر إذنه للصبیّ یرجع إلی کونه ضمیمة مع الولیّ فی التصرّف کتصرّف السفیه بإذن الولیّ فهذا غیر معقول</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أجابه السیّد الخوانساری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نسلّم عدم إمکان اجتماع السلطنتین المستقلّتین بالمعنی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سلطنة الولیّ لیست بهذا النحو، فإنّ الأب و الجدّ کلّ منهما له الولایة، و لیست ولایتهما بهذا النحو، و کذا الحاکم الشرعی، فمع تعدّد الحاکم لکلّ الولایة، و أمّا عدم إمکان السلطنة المستقلّة مع جواز تصرّف الغیر بالإذن من دون الوکالة فغیر مسلّم، فیمکن أن یکون أحد السلطانین له سلطنة مستقلّة بحیث له أن یمنع تصرّف الآخر، و الآخر بحیث یکون نفوذ تصرّفه منوطاً بإذن الأوّل لا من باب الوکالة عنه،</w:t>
      </w:r>
      <w:r>
        <w:rPr>
          <w:rStyle w:val="FootnoteAnchor"/>
          <w:rtl w:val="true"/>
        </w:rPr>
        <w:footnoteReference w:id="134"/>
      </w:r>
      <w:r>
        <w:rPr>
          <w:rFonts w:ascii="IRNazanin" w:hAnsi="IRNazanin" w:eastAsia="IRNazanin"/>
          <w:color w:val="111111"/>
          <w:sz w:val="28"/>
          <w:sz w:val="28"/>
          <w:szCs w:val="28"/>
          <w:rtl w:val="true"/>
          <w:lang w:bidi="fa-IR"/>
        </w:rPr>
        <w:t>هذا أوّلاً،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المانع من أن یکون ولیّ الصبیّ سلطاناً بالاستقلال قبل رشد الصبیّ و بعد الرشد سلطاناً بالانضمام</w:t>
      </w:r>
      <w:r>
        <w:rPr>
          <w:rStyle w:val="FootnoteAnchor"/>
          <w:rtl w:val="true"/>
        </w:rPr>
        <w:footnoteReference w:id="135"/>
      </w:r>
      <w:r>
        <w:rPr>
          <w:rFonts w:ascii="IRNazanin" w:hAnsi="IRNazanin" w:eastAsia="IRNazanin"/>
          <w:color w:val="111111"/>
          <w:sz w:val="28"/>
          <w:sz w:val="28"/>
          <w:szCs w:val="28"/>
          <w:rtl w:val="true"/>
          <w:lang w:bidi="fa-IR"/>
        </w:rPr>
        <w:t xml:space="preserve">نظیر سلطنة الأب بالنسبة إلی البکر الرشیدة، حیث إنّه قبل الرشد کان سلطنته مستقلّة و بعد البلوغ و الرشد تغیّرت سلطنته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اعتبار إذنه فی صحّة النکاح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لو کان الأب و الجدّ حیّین، فسلطنتهما بالانضمام</w:t>
      </w:r>
      <w:r>
        <w:rPr>
          <w:rStyle w:val="FootnoteAnchor"/>
          <w:rtl w:val="true"/>
        </w:rPr>
        <w:footnoteReference w:id="136"/>
      </w:r>
      <w:r>
        <w:rPr>
          <w:rFonts w:ascii="IRNazanin" w:hAnsi="IRNazanin" w:eastAsia="IRNazanin"/>
          <w:color w:val="111111"/>
          <w:sz w:val="28"/>
          <w:sz w:val="28"/>
          <w:szCs w:val="28"/>
          <w:rtl w:val="true"/>
          <w:lang w:bidi="fa-IR"/>
        </w:rPr>
        <w:t>و بعد موت أحدهما تصیر سلطنته مستقلّة، و لاحظ سلطنة الولیّ بالنسبة إلی السفیه حیث کانت مستقلّة قبل البلوغ و بعد البلوغ صحّ تصرّفات السفیه مع إذن الولیّ</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bookmarkStart w:id="56" w:name="pg11757_135409"/>
    </w:p>
    <w:p>
      <w:pPr>
        <w:pStyle w:val="Heading4"/>
        <w:numPr>
          <w:ilvl w:val="3"/>
          <w:numId w:val="1"/>
        </w:numPr>
        <w:rPr/>
      </w:pPr>
      <w:bookmarkStart w:id="57" w:name="__RefHeading___Toc9696557_73709187"/>
      <w:bookmarkStart w:id="58" w:name="_Toc22"/>
      <w:bookmarkEnd w:id="56"/>
      <w:bookmarkEnd w:id="57"/>
      <w:r>
        <w:rPr>
          <w:rtl w:val="true"/>
        </w:rPr>
        <w:t>صحّة بیع الصبیّ مع إذن الولیّ‌</w:t>
      </w:r>
      <w:bookmarkEnd w:id="58"/>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یصحّ بیع الصبیّ الممیّز مع إذن الولیّ، و لا یبعد استفادة ذلک من الأدلّة، و هو الظاهر من المهذّب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اشتری الصبیّ التاجر أرضاً و حجر أبوه علیه، فدفعها مزارعة بالنصف إلی غیره یزرعها ببذره و عمله فعمل علی ذلک، کان الخارج للعامل و علیه نقصان الأرض، فإن لم یکن فی الأرض نقصان کان الخارج بینهما علی شرطهما</w:t>
      </w:r>
      <w:r>
        <w:rPr>
          <w:rFonts w:eastAsia="IRNazanin" w:cs="IRNazanin"/>
          <w:color w:val="111111"/>
          <w:sz w:val="28"/>
          <w:szCs w:val="28"/>
          <w:rtl w:val="true"/>
          <w:lang w:bidi="fa-IR"/>
        </w:rPr>
        <w:t>»</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مقتضی کلامه صحّة بیع الصبیّ و شرائه مع الإذن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حکاه عنه فی المختلف</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مجمع الفائدة و البرهان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الأصل هو الجواز مع التمییز التامّ و إذن الولیّ</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الشیخ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جواب المستدلّین بالنصوص المتقدّمة التی تدلّ علی عدم جواز أمر الصبیّ قبل الاحتلام، بأنّ الأمر فیها بمعنی عدم نفوذ تصرّفاته مطلقاً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سلب عبارته، و أنّه إذا ساوم ولیّه متاعاً و عیّن له قیمته و أمر الصبیّ‌</w:t>
      </w:r>
      <w:r>
        <w:rPr>
          <w:rStyle w:val="FootnoteAnchor"/>
          <w:rtl w:val="true"/>
        </w:rPr>
        <w:footnoteReference w:id="141"/>
      </w:r>
      <w:r>
        <w:rPr>
          <w:rFonts w:ascii="IRNazanin" w:hAnsi="IRNazanin" w:eastAsia="IRNazanin"/>
          <w:color w:val="111111"/>
          <w:sz w:val="28"/>
          <w:sz w:val="28"/>
          <w:szCs w:val="28"/>
          <w:rtl w:val="true"/>
          <w:lang w:bidi="fa-IR"/>
        </w:rPr>
        <w:t>بمجرّد إیقاع العقد مع الطرف الآخر، کان باطلاً، و کذا لو أوقع إیجاب النکاح أو قبوله لغیره بإذن ولیّه</w:t>
      </w:r>
      <w:r>
        <w:rPr>
          <w:rFonts w:eastAsia="IRNazanin" w:cs="IRNazanin"/>
          <w:color w:val="111111"/>
          <w:sz w:val="28"/>
          <w:szCs w:val="28"/>
          <w:rtl w:val="true"/>
          <w:lang w:bidi="fa-IR"/>
        </w:rPr>
        <w:t>»</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 به أیضاً المحقّق الخراسانی</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bookmarkStart w:id="59" w:name="pg11757_135410"/>
    </w:p>
    <w:p>
      <w:pPr>
        <w:pStyle w:val="BookText"/>
        <w:rPr/>
      </w:pPr>
      <w:bookmarkEnd w:id="59"/>
      <w:r>
        <w:rPr>
          <w:rFonts w:ascii="IRNazanin" w:hAnsi="IRNazanin" w:eastAsia="IRNazanin"/>
          <w:color w:val="111111"/>
          <w:sz w:val="28"/>
          <w:sz w:val="28"/>
          <w:szCs w:val="28"/>
          <w:rtl w:val="true"/>
          <w:lang w:bidi="fa-IR"/>
        </w:rPr>
        <w:t xml:space="preserve">و ذکر السیّد الیزدیّ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کلام الشیخ الأعظم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المشهور بطلان عقد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أجازه الولیّ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مراده عدم صحّة التصرّف منه و إن کان بإذن الولیّ، لا مسلوبیّة عبارته بحیث یبطل العقد و إن کان المتصرّف هو الولیّ أو غیره، و کان الصبیّ هو المجری للصیغة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وکّله الغیر فی إجراء صیغة النکاح صحّ و لو کان بدون إذن الولی</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صرّح الإمام الخمینی قدس سره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أذن شخص صبیّاً ممیّزاً فی إیقاع معاملة أو أجاز معاملته کانت الأدلّة السابقة قاصرة عن إثبات بطلانها</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جامع 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استفادة کون الصبیّ مسلوب العبارة حتّی فی صورة إذن الولیّ ممّا ذکر من الکتاب و السنّة مشکل، فلا یبقی إلاّ الشهرة و شبهة تحقّق الإجماع</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اختاره کاشف الغطاء</w:t>
      </w:r>
      <w:r>
        <w:rPr>
          <w:rStyle w:val="FootnoteAnchor"/>
          <w:rtl w:val="true"/>
        </w:rPr>
        <w:footnoteReference w:id="147"/>
      </w:r>
      <w:r>
        <w:rPr>
          <w:rFonts w:ascii="IRNazanin" w:hAnsi="IRNazanin" w:eastAsia="IRNazanin"/>
          <w:color w:val="111111"/>
          <w:sz w:val="28"/>
          <w:sz w:val="28"/>
          <w:szCs w:val="28"/>
          <w:rtl w:val="true"/>
          <w:lang w:bidi="fa-IR"/>
        </w:rPr>
        <w:t>و السبزواری</w:t>
      </w:r>
      <w:r>
        <w:rPr>
          <w:rStyle w:val="FootnoteAnchor"/>
          <w:rtl w:val="true"/>
        </w:rPr>
        <w:footnoteReference w:id="148"/>
      </w:r>
      <w:r>
        <w:rPr>
          <w:rFonts w:ascii="IRNazanin" w:hAnsi="IRNazanin" w:eastAsia="IRNazanin"/>
          <w:color w:val="111111"/>
          <w:sz w:val="28"/>
          <w:sz w:val="28"/>
          <w:szCs w:val="28"/>
          <w:rtl w:val="true"/>
          <w:lang w:bidi="fa-IR"/>
        </w:rPr>
        <w:t>و کذا فی نهج الفقاهة</w:t>
      </w:r>
      <w:r>
        <w:rPr>
          <w:rStyle w:val="FootnoteAnchor"/>
          <w:rtl w:val="true"/>
        </w:rPr>
        <w:footnoteReference w:id="149"/>
      </w:r>
      <w:r>
        <w:rPr>
          <w:rFonts w:ascii="IRNazanin" w:hAnsi="IRNazanin" w:eastAsia="IRNazanin"/>
          <w:color w:val="111111"/>
          <w:sz w:val="28"/>
          <w:sz w:val="28"/>
          <w:szCs w:val="28"/>
          <w:rtl w:val="true"/>
          <w:lang w:bidi="fa-IR"/>
        </w:rPr>
        <w:t>، و به قال المحقّق الإیروانی</w:t>
      </w:r>
      <w:r>
        <w:rPr>
          <w:rStyle w:val="FootnoteAnchor"/>
          <w:rtl w:val="true"/>
        </w:rPr>
        <w:footnoteReference w:id="150"/>
      </w:r>
      <w:r>
        <w:rPr>
          <w:rFonts w:ascii="IRNazanin" w:hAnsi="IRNazanin" w:eastAsia="IRNazanin"/>
          <w:color w:val="111111"/>
          <w:sz w:val="28"/>
          <w:sz w:val="28"/>
          <w:szCs w:val="28"/>
          <w:rtl w:val="true"/>
          <w:lang w:bidi="fa-IR"/>
        </w:rPr>
        <w:t>و السیّد الخوئی</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 w:name="__RefHeading___Toc9696559_73709187"/>
      <w:bookmarkStart w:id="61" w:name="_Toc23"/>
      <w:bookmarkEnd w:id="60"/>
      <w:r>
        <w:rPr>
          <w:rtl w:val="true"/>
        </w:rPr>
        <w:t>أدلّة صحّة بیع الصبیّ مع إذن الولیّ‌</w:t>
      </w:r>
      <w:bookmarkEnd w:id="6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لهذا القول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ذکر فی التذکرة استدلال أبی حنیفة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ابْتَلُوا الْیَتامی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w:t>
      </w:r>
      <w:r>
        <w:rPr>
          <w:rStyle w:val="FootnoteAnchor"/>
          <w:rtl w:val="true"/>
        </w:rPr>
        <w:footnoteReference w:id="152"/>
      </w:r>
      <w:r>
        <w:rPr>
          <w:rFonts w:ascii="IRNazanin" w:hAnsi="IRNazanin" w:eastAsia="IRNazanin"/>
          <w:color w:val="111111"/>
          <w:sz w:val="28"/>
          <w:sz w:val="28"/>
          <w:szCs w:val="28"/>
          <w:rtl w:val="true"/>
          <w:lang w:bidi="fa-IR"/>
        </w:rPr>
        <w:t>، فإنّ الابتلاء و الاختبار إنّما یتحقّق بتفویض التصرّف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أجاب عنه بأنّ الابتلاء یثبت بتفویض الاستیام و المماکسة و تدبیر البیع، ثمّ یعقد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بتوضیح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تفویض التصرّف إلیهم جواز تصرّفهم مع إذن أولیائهم، فالصبیّ یعقد العقد مع إذن الولیّ و هذا هو المطلوب</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4"/>
      </w:r>
      <w:r>
        <w:rPr>
          <w:rFonts w:ascii="Amiri" w:hAnsi="Amiri" w:eastAsia="Amiri" w:cs="Amiri"/>
          <w:color w:val="111111"/>
          <w:sz w:val="28"/>
          <w:sz w:val="28"/>
          <w:szCs w:val="28"/>
          <w:rtl w:val="true"/>
          <w:lang w:bidi="ar-SA"/>
        </w:rPr>
        <w:t>إلّا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الجملة الأخیرة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آنَسْتُمْ مِنْهُمْ رُشْداً فَادْفَعُوا إِلَیْهِمْ أَمْوالَهُمْ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استدراک عن صدر الآیة، و أنّه مع استیناس الرشد لا یتوقّف فی دفع المال و لا ینتظر البلوغ، و أنّ اعتبار البلوغ طریقیّ اعتبر أمارة إلی الرشد، کما احتمله المحقّق الإیروانی</w:t>
      </w:r>
      <w:r>
        <w:rPr>
          <w:rStyle w:val="FootnoteAnchor"/>
          <w:rtl w:val="true"/>
        </w:rPr>
        <w:footnoteReference w:id="155"/>
      </w:r>
      <w:r>
        <w:rPr>
          <w:rFonts w:ascii="IRNazanin" w:hAnsi="IRNazanin" w:eastAsia="IRNazanin"/>
          <w:color w:val="111111"/>
          <w:sz w:val="28"/>
          <w:sz w:val="28"/>
          <w:szCs w:val="28"/>
          <w:rtl w:val="true"/>
          <w:lang w:bidi="fa-IR"/>
        </w:rPr>
        <w:t xml:space="preserve">و تقدّم ذکره، و مع هذا الاحتمال و أنّ المدار فی صحّة معاملات الصبیّ علی الرشد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کانت الآیة غیر صریحة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بعدم صحّة بیع الصبیّ حتّی مع إذن الولیّ استناداً إلی الآیة الکریمة مشکل جدّاً، و یتعیّن طریق الاستنباط للحکم بصحّة بیع الصبیّ مع إذن الولیّ أو عدمها بالنصوص، و سیأتی قریباً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المقتضی لصحّة العقد موجود و هو العموم و الإطلاقات، حیث إنّ بیع الصبیّ و عقده یصدق علیه العقد عرفاً، فتشمله عمومات صحّة البیع</w:t>
      </w:r>
      <w:r>
        <w:rPr>
          <w:rFonts w:eastAsia="IRNazanin" w:cs="IRNazanin"/>
          <w:color w:val="111111"/>
          <w:sz w:val="28"/>
          <w:szCs w:val="28"/>
          <w:rtl w:val="true"/>
          <w:lang w:bidi="fa-IR"/>
        </w:rPr>
        <w:t>.</w:t>
      </w:r>
      <w:bookmarkStart w:id="62" w:name="pg11757_135412"/>
    </w:p>
    <w:p>
      <w:pPr>
        <w:pStyle w:val="BookText"/>
        <w:rPr/>
      </w:pPr>
      <w:bookmarkEnd w:id="62"/>
      <w:r>
        <w:rPr>
          <w:rFonts w:ascii="IRNazanin" w:hAnsi="IRNazanin" w:eastAsia="IRNazanin"/>
          <w:color w:val="111111"/>
          <w:sz w:val="28"/>
          <w:sz w:val="28"/>
          <w:szCs w:val="28"/>
          <w:rtl w:val="true"/>
          <w:lang w:bidi="fa-IR"/>
        </w:rPr>
        <w:t>و قال السیّد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یستدلّ به علی سلب عبارته و بطلان تصرّفاته الإجماع، و حدیث رفع القلم</w:t>
      </w:r>
      <w:r>
        <w:rPr>
          <w:rStyle w:val="FootnoteAnchor"/>
          <w:rtl w:val="true"/>
        </w:rPr>
        <w:footnoteReference w:id="156"/>
      </w:r>
      <w:r>
        <w:rPr>
          <w:rFonts w:ascii="IRNazanin" w:hAnsi="IRNazanin" w:eastAsia="IRNazanin"/>
          <w:color w:val="111111"/>
          <w:sz w:val="28"/>
          <w:sz w:val="28"/>
          <w:szCs w:val="28"/>
          <w:rtl w:val="true"/>
          <w:lang w:bidi="fa-IR"/>
        </w:rPr>
        <w:t>، و الأخبار الدالّة علی عدم جواز أمره</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عدم الدلیل علی البطلان المرجع العمومات، و هی تقتضی الصحّة کما لا یخفی، و دعوی عدم صدق البیع و العقد و التجارة علی ما یقع منه کما تری</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 w:name="__RefHeading___Toc9696561_73709187"/>
      <w:bookmarkStart w:id="64" w:name="_Toc24"/>
      <w:bookmarkEnd w:id="63"/>
      <w:r>
        <w:rPr>
          <w:rtl w:val="true"/>
        </w:rPr>
        <w:t>مناقشة الاستدلال بالعموم و الإطلاقات و جوابها</w:t>
      </w:r>
      <w:bookmarkEnd w:id="64"/>
    </w:p>
    <w:p>
      <w:pPr>
        <w:pStyle w:val="BookText"/>
        <w:rPr/>
      </w:pPr>
      <w:r>
        <w:rPr>
          <w:rFonts w:ascii="Amiri" w:hAnsi="Amiri" w:eastAsia="Amiri" w:cs="Amiri"/>
          <w:color w:val="111111"/>
          <w:sz w:val="28"/>
          <w:sz w:val="28"/>
          <w:szCs w:val="28"/>
          <w:rtl w:val="true"/>
          <w:lang w:bidi="ar-SA"/>
        </w:rPr>
        <w:t>المناقشة 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اورد علیه بأنّ العمومات المسوقة مساق التکالیف کقوله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تَأْکُلُوا أَمْوالَکُمْ بَیْنَکُمْ بِالْباطِلِ إِلاّ أَنْ تَکُونَ تِجارَةً عَنْ تَراضٍ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ذلک، لا تشمل الصبیان؛ لعدم صلاحیّتهم للتکلیف، و خروجهم عن ذلک بما دلّ علی شرطیّة البلوغ فی التکلیف، کما فی العناوین</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بعبارة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الأحکام التکلیفیّة لا تتعلّق بغیر البالغ قطعاً، فلا تکون مندرجة تحت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اجیب </w:t>
      </w:r>
      <w:r>
        <w:rPr>
          <w:rStyle w:val="FootnoteAnchor"/>
          <w:rtl w:val="true"/>
        </w:rPr>
        <w:footnoteReference w:id="161"/>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العقود، و عقد الصبیّ عقد عند</w:t>
      </w:r>
    </w:p>
    <w:p>
      <w:pPr>
        <w:pStyle w:val="BookText"/>
        <w:rPr/>
      </w:pPr>
      <w:r>
        <w:rPr>
          <w:rFonts w:ascii="IRNazanin" w:hAnsi="IRNazanin" w:eastAsia="IRNazanin"/>
          <w:color w:val="111111"/>
          <w:sz w:val="28"/>
          <w:sz w:val="28"/>
          <w:szCs w:val="28"/>
          <w:rtl w:val="true"/>
          <w:lang w:bidi="fa-IR"/>
        </w:rPr>
        <w:t xml:space="preserve">العرف، فإذا کان جامعاً للشرائط المعتبرة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إذن الولیّ و إمضائه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تشمله</w:t>
      </w:r>
      <w:r>
        <w:rPr>
          <w:rStyle w:val="FootnoteAnchor"/>
          <w:rtl w:val="true"/>
        </w:rPr>
        <w:footnoteReference w:id="162"/>
      </w:r>
      <w:r>
        <w:rPr>
          <w:rFonts w:ascii="IRNazanin" w:hAnsi="IRNazanin" w:eastAsia="IRNazanin"/>
          <w:color w:val="111111"/>
          <w:sz w:val="28"/>
          <w:sz w:val="28"/>
          <w:szCs w:val="28"/>
          <w:rtl w:val="true"/>
          <w:lang w:bidi="fa-IR"/>
        </w:rPr>
        <w:t>العمومات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الکاظمی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المقتضی لصحّة العقد موجود و هو العقد و التمییز، و 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یرتفع بالإذن، فیکون صحیحاً</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هذه الصورة ینسب العقد إلی الولیّ و یجب علیه الوفاء، مضافاً إلی أنّه لا مانع من أن یکون فعل الصبیّ موضوعاً للحکم الإلزامی علی شخص آخر، و له نظائر فی الفقه،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إتلافه سبباً لضمانه، و أثر الضمان وجوب أداء المثل أو القیمة من مال الصبیّ علی الولیّ، کما صرّح به بعض الأعلام</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العمومات تدلّ علی حکم تکلیفی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کوجوب الوفاء و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حکم وضعی نعبّر عنه بالصحّة، و ما دلّ من المخصّص علی خروج الصغار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التنزّل و قبول ورود المخصّص بالنسبة إلی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دلّ علی عدم الحکم التکلیفی، و أمّا الحکم الوضعی فهو باقٍ‌</w:t>
      </w:r>
      <w:r>
        <w:rPr>
          <w:rStyle w:val="FootnoteAnchor"/>
          <w:rtl w:val="true"/>
        </w:rPr>
        <w:footnoteReference w:id="165"/>
      </w:r>
      <w:r>
        <w:rPr>
          <w:rFonts w:ascii="IRNazanin" w:hAnsi="IRNazanin" w:eastAsia="IRNazanin"/>
          <w:color w:val="111111"/>
          <w:sz w:val="28"/>
          <w:sz w:val="28"/>
          <w:szCs w:val="28"/>
          <w:rtl w:val="true"/>
          <w:lang w:bidi="fa-IR"/>
        </w:rPr>
        <w:t>علی عمومه، و المفروض عدم شرطیّة البلوغ فی الأحکام الوضعیّة کما هو المعروف بین الفقهاء</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الأعظم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مانع من أن یکون عقده سبباً لوجوب الوفاء بعد البلوغ، أو علی الولیّ إذا وقع بإذنه أو إجازته، کما یکون جنابته سبباً لوجوب غسله بعد البلوغ</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الوضعیّ هنا تابع للحکم التکلیفی؛ إذ لم نفهم الصحّة إلّا بوجوب الوفاء و متی خرج الصبیّ عن هذا الحکم فلا دلیل علی صحّة عقده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ثبت فی محلّه أنّ الأحکام الوضعیّة کما تکون تابعة للحکم التکلیفی تکون قابلة للجعل مستقلّاً أیضاً، و فی المقام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أنّه لو سلّمنا اختصاص الأحکام حتّی الوضعیّة بالبالغین، لکن لا مانع من کون فعل غیر بالغ موضوعاً للأحکام المجعولة فی حقّ البالغین، فیکون 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کسائر غیر البالغین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خارجاً عن ذلک الحکم إلی وقت البلوغ</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الأصفهانی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فمعنی عدم الوضع فی حقّ الصبیّ عدم سببیّة عقده للملکیّة، و عدم سببیّته فعلاً لوجوب الوفاء علی الصبیّ و لو بعد بلوغه، و هو لا ینافی سببیّة هذا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إنّه عقد الکبیر مع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لوجوب الوفاء به، فإنّه حکم تکلیفی و وضعی فی حقّ الکبیر، غایة الأمر أنّ موضوع الحکمین متقوّم بفعل الصغیر</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المناهل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الأحکام و إن لم تتعلّق بالأطفال، و لکنّها تتعلّق بالبالغین العاملین معهم، فإذا أفادت</w:t>
      </w:r>
      <w:r>
        <w:rPr>
          <w:rStyle w:val="FootnoteAnchor"/>
          <w:rtl w:val="true"/>
        </w:rPr>
        <w:footnoteReference w:id="170"/>
      </w:r>
      <w:r>
        <w:rPr>
          <w:rFonts w:ascii="IRNazanin" w:hAnsi="IRNazanin" w:eastAsia="IRNazanin"/>
          <w:color w:val="111111"/>
          <w:sz w:val="28"/>
          <w:sz w:val="28"/>
          <w:szCs w:val="28"/>
          <w:rtl w:val="true"/>
          <w:lang w:bidi="fa-IR"/>
        </w:rPr>
        <w:t>العمومات المذکورة صحّة</w:t>
      </w:r>
    </w:p>
    <w:p>
      <w:pPr>
        <w:pStyle w:val="BookText"/>
        <w:rPr/>
      </w:pPr>
      <w:r>
        <w:rPr>
          <w:rFonts w:ascii="IRNazanin" w:hAnsi="IRNazanin" w:eastAsia="IRNazanin"/>
          <w:color w:val="111111"/>
          <w:sz w:val="28"/>
          <w:sz w:val="28"/>
          <w:szCs w:val="28"/>
          <w:rtl w:val="true"/>
          <w:lang w:bidi="fa-IR"/>
        </w:rPr>
        <w:t>المعاملة بالنسبة إلی البالغین مع الأطفال أفادت الصحّة بالنسبة إلیهم أیضاً؛ لعدم القائل بالفصل، و لامتناع اتّصاف عقد واحد بالصحّة و الفساد من جهتین</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المناقشة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ادّعاه المستدلّ یثبت المقتضی و لکنّ المانع موجود، و هو أدلّة القول الأوّل من الآیات و النصوص و الإجماع</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الأدلّة المتقدِّمة لا تخصّص الإطلاقات، و ذلک لأنّ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آنَسْتُمْ مِنْهُمْ رُشْداً فَادْفَعُوا إِلَیْهِمْ أَمْوالَهُمْ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یشعر بعدم الجواز أصلاً، فضلاً عن الدلالة علیه، بل هو کالصریح فی عدم جواز تصرّفات الیتامی فی أموالهم، لا فی أموال غیرهم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الأخبار المتقدّمة الدالّة علی عدم نفوذ أمر الصبیّ قبل البلوغ فلا دلالة فی شیء منها علی عدم نفوذ تصرّفات الصبیّ فی هذه الصورة إذ قد عرفت أنّ ما دلّ علی رفع القلم عن الصبیّ أو أنّ عمده خطأ، لا دلالة فیه علی بطلان عقده أو إیقاعه، و أنّه مسلوب العبارة، فإذا کان صدوره منه وکالة عن ولیّه أو غیر 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التوکیل بنحو التفویض و الاستقلال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فالعقد عقد للموکّل حقیقةً، و حیث إنّ المفروض أنّ ما وقع علیه العقد لیس بمال للصغیر، فإذن یکون البائع هو الولیّ، و أنّه أذن له فی إجراء الصیغة بعد المقاولة و المراضاة، فلا مانع من شمول أدلّة صحّة البیع و نحوه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دلّ علی عدم نفوذ تصرّفات الصبیّ و أمره من الروایات المتقدّمة فلاختصاص تلک الروایات بالیتیم، و أنّه ما لم یذهب یتمه لا یجوز أمره، و لا یدفع إلیه ماله، فهی لا تدلّ إلّا علی عدم تصرّف الصبیّ فی ماله دون ما إذا کان فی مال غیره بإذنه</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الإجماع فقد تقدّم عدم شموله لما نحن فیه، و أنّ معقده غیر هذا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الإمام الخمینی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اعتبار البلوغ فی إجراء الصیغة بعد تمامیّة المساومة بین المتبایعین فلم یقم دلیل علیه، کما أنّه لم یقم دلیل ممّا تقدّم علی بطلان وکالته عن الغیر فی المعاملة</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یستدلّ به علی سلب عبارة الصبیّ و بطلان تصرّفاته من الإجماع و حدیث رفع القلم، و الأخبار الدالّة علی عدم جواز أمره، و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المتقدّمة، لا یشمل هذا القسم</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صرّح أیضاً المحقّق الأصفهانی بأنّ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الصورة التی یکون الصبیّ بائعاً بإذن 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مشمول للنصوص و معاقد الإجماعات</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استدلّ فی مهذّب الأحکام بما رواه فی قرب الإسناد عن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الیتیم متی ینقطع یتمه؟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احتلم و عرف الأخذ و العطاء</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إذ یستفاد منه أنّه لا موضوعیّة للبلوغ من حیث هو، و إنّما هو طریق لمعرفة الأخذ و الإعطاء،</w:t>
      </w:r>
    </w:p>
    <w:p>
      <w:pPr>
        <w:pStyle w:val="BookText"/>
        <w:rPr/>
      </w:pPr>
      <w:r>
        <w:rPr>
          <w:rFonts w:ascii="IRNazanin" w:hAnsi="IRNazanin" w:eastAsia="IRNazanin"/>
          <w:color w:val="111111"/>
          <w:sz w:val="28"/>
          <w:sz w:val="28"/>
          <w:szCs w:val="28"/>
          <w:rtl w:val="true"/>
          <w:lang w:bidi="fa-IR"/>
        </w:rPr>
        <w:t>فکلّما تحقّقت هذه الجهة تصحّ معاملاته و عقوده، و فی غیره لا یصحّ و إن کان بالغاً</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یلاحظ علیه بأنّ الأصل فی العناوین هو الموضوعیّة، و إلغاؤها یحتاج إلی دلیل، فعلی هذا یستفاد منها أنّ جواز إعطاء مال الیتیم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کنایة عن صحّة بیعه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علی 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 الرشد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علی نفوذ معاملات الصبیّ مطلقاً أو فی المحقّرات بمعتبرة السکونی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رسول اللّه صلی الله علیه و آله عن کسب الإماء، فإنّها إن لم تجد زنت، إلاّ أمة قد عرفت بصنعة ید، و نهی عن کسب الغلام الصغیر الذی لا یحسن صناعة بیده، فإنّه إن لم یجد سرق</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w:t>
      </w:r>
      <w:r>
        <w:rPr>
          <w:rStyle w:val="FootnoteAnchor"/>
          <w:rtl w:val="true"/>
        </w:rPr>
        <w:footnoteReference w:id="180"/>
      </w:r>
      <w:r>
        <w:rPr>
          <w:rFonts w:ascii="IRNazanin" w:hAnsi="IRNazanin" w:eastAsia="IRNazanin"/>
          <w:color w:val="111111"/>
          <w:sz w:val="28"/>
          <w:sz w:val="28"/>
          <w:szCs w:val="28"/>
          <w:rtl w:val="true"/>
          <w:lang w:bidi="fa-IR"/>
        </w:rPr>
        <w:t>من هذه الروایة الشریفة بملاحظة مفهوم الوصف أنّ الصغیر الذی یحسن الصناعة یجوز کسبه، و من المعلوم أنّه لیس المراد ما إذا کان بصرف إنشاء اللفظ منه مع صدور سائر إصلاحاته من غیره، بل الظاهر أنّه المباشر للعمل و الاکتساب مستقلّاً، غایة الأمر لمّا کان الاستقلال الرأسی الغیر المحتاج إلی إذن الولیّ مخالفاً للإجماع یقیّد الإطلاق بصورة کون الاکتساب بالصنعة عن إذن من الولیّ، و کذلک الظاهر عدم اختصاص النهی بخصوص الولیّ، بل متوجّه إلی عامّة الناس فیکون فی جانب المفهوم کذلک، فیکون</w:t>
      </w:r>
    </w:p>
    <w:p>
      <w:pPr>
        <w:pStyle w:val="BookText"/>
        <w:rPr/>
      </w:pPr>
      <w:r>
        <w:rPr>
          <w:rFonts w:ascii="IRNazanin" w:hAnsi="IRNazanin" w:eastAsia="IRNazanin"/>
          <w:color w:val="111111"/>
          <w:sz w:val="28"/>
          <w:sz w:val="28"/>
          <w:szCs w:val="28"/>
          <w:rtl w:val="true"/>
          <w:lang w:bidi="fa-IR"/>
        </w:rPr>
        <w:t>الخطاب عامّاً لجمیع الکسبة الذین یتعاملون مع الصبیّ بکسبه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فتدلّ الروایة علی جواز ذلک، غایة الأمر تقیید ذلک أیضاً بإذن الولیّ‌</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الشاهد علی ذلک اتّحاد سیاقه مع صدره المتکفّل لکسب الإماء معلّلاً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تجد زنت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أنّه لا ریب فی نفوذ معاملتها، فلیس مکسوبها حراماً علی أیّ تقدیر</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النهی فی الروایة هو النهی التنزیهی، فیدلّ علی نفوذ معاملات الصبیّ لا علی فسادها، و الشاهد علی ذلک أنّه لو کانت معاملات الصبیّ فاسدة، لما حصل النقل و الانتقال بینه و بین غیره، و کان التصرّف فیما بیده تصرّفاً فی مال غیره بدون إذنه، و علیه فکان تعلیل الفساد بذلک أولی من تعلیله بصدور السرقة من الصبیّ؛ لأنّ التعلیل بالأمر الذاتی أولی من التعلیل بالأمر العرضی</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الإیراد علی الاستدلال بالروایة بأنّها محمولة علی عوض کسب الصبیّ من التقاط أو اجرة عن إجارة أوقعها الولیّ أو الصبیّ بغیر إذن الولی أو عن عمل أمر به من دون إجارة، فأعطاه المستأجر أو الآمر اجرة المثل، فإنّ هذه کلّها ممّا یملکه الصبیّ، لکن یستحبّ للولیّ و غیره اجتنابها إذا لم یعلم صدق دعوی الصبیّ فیها، لاحتمال کونها من وجوه محرّمة</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 عنه السیّد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 التقیید و التعلیل ظاهران فی نفوذ کسبه فی</w:t>
      </w:r>
    </w:p>
    <w:p>
      <w:pPr>
        <w:pStyle w:val="BookText"/>
        <w:rPr/>
      </w:pPr>
      <w:r>
        <w:rPr>
          <w:rFonts w:ascii="IRNazanin" w:hAnsi="IRNazanin" w:eastAsia="IRNazanin"/>
          <w:color w:val="111111"/>
          <w:sz w:val="28"/>
          <w:sz w:val="28"/>
          <w:szCs w:val="28"/>
          <w:rtl w:val="true"/>
          <w:lang w:bidi="fa-IR"/>
        </w:rPr>
        <w:t>الجملة، و لو حمل النهی علی الکراهة فالدلالة أظهر، و حمله علی الکسب بنحو الالتقاط أو العمل بأمر الغیر ممّا لا یکون عقداً خلاف الإطلاق، بل خلاف ظاهر التعلیل جدّاً</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الإمام الخمینی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تدلّ علی صحّة معاملات الصبیّ الذی یحسن صنعة، بل علی صحّة معاملات الصبیّ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فالقدر المتیقّن</w:t>
      </w:r>
      <w:r>
        <w:rPr>
          <w:rStyle w:val="FootnoteAnchor"/>
          <w:rtl w:val="true"/>
        </w:rPr>
        <w:footnoteReference w:id="186"/>
      </w:r>
      <w:r>
        <w:rPr>
          <w:rFonts w:ascii="IRNazanin" w:hAnsi="IRNazanin" w:eastAsia="IRNazanin"/>
          <w:color w:val="111111"/>
          <w:sz w:val="28"/>
          <w:sz w:val="28"/>
          <w:szCs w:val="28"/>
          <w:rtl w:val="true"/>
          <w:lang w:bidi="fa-IR"/>
        </w:rPr>
        <w:t xml:space="preserve">منها صحّتها بإذن الولیّ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الإنصاف أنّها تدلّ علی صحّتها فی الجملة، سواء کان النهی متعلّقاً بکسبه بالمعنی المصدری أو بمکسوبه، و سواء کان النهی للتحریم أو التنزیه، و سواء کان المراد بالمکسوب ما فی یده أعمّ من کسبه و غیره أم اختصّ بما حصل بالکسب کما هو ظاهرها</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العقلائیة و الشرعیة، قال فی مهذّب الأحکام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یجد العرف فرقاً بین إخباراته و إنشائه فی صحّة الاُولی مع اجتماعها للشرائط دون الثانیة، کیف؟ و من مفاخر بعض الأنبیاء أنّه آتاه اللّه الحکم صبیّاً؛ و من فضائل علیّ علیه السلام أنّه أسلم صبیّاً، و قد أثبتت العلوم الحدیثة علماً خاصّاً لاستکشاف مراتب عقل الصبیان و فطنتهم من أفعالهم و قد جرّب ذلک، فکیف تکون تلک الأفعال الکاشفة عن الاستعدادات التکوینیّة و العقول الفطریّة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هذه المسألة العامّة البلوی بین الناس فی جمیع الأزمنة و الأمکنة، لا بدّ و أن یعتنی الشارع بها اعتناءً کثیراً، و أن یهتمّ الناس بالسؤال فیها فی أعصار المعصومین علیهم السلام فکیف اهمل حتّی ظهر الإجماع بعد قرون؟</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التأمّل فی ثبوت سیرة العقلاء علی ذلک فی جمیع الأعصار علی نحو غیرها من سیرهم التی لم یثبت الردع عنها، و الظاهر أنّ سیرة المتشرّعة جاریة علیها، فلا ینبغی التأمّل فی حجّیتها</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و قرّره فی مهذّب الأحکام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المورد من موارد جریان أصالة عدم النقل و الانتقال، و قد ثبت فی محلّه أنّ الاُصول الموضوعیّة مقدّمة علی الاُصول الحکمیّة، باطل؛ لأنّه فیما إذا شکّ فی أصل الصدق العرفی، لا ما إذا احرز ذلک و شکّ فی أصل تشریع شیء فیه جزءاً أو شرطاً، فإنّ المرجع فیه البراءة</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قریب من هذا ما فی مصباح الفقاهة</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العقد إذا وقع بإذن الولیّ کان کما لو صدر منه فیکون صحیحاً کما فی الإیضاح</w:t>
      </w:r>
      <w:r>
        <w:rPr>
          <w:rStyle w:val="FootnoteAnchor"/>
          <w:rtl w:val="true"/>
        </w:rPr>
        <w:footnoteReference w:id="192"/>
      </w:r>
      <w:r>
        <w:rPr>
          <w:rFonts w:ascii="IRNazanin" w:hAnsi="IRNazanin" w:eastAsia="IRNazanin"/>
          <w:color w:val="111111"/>
          <w:sz w:val="28"/>
          <w:sz w:val="28"/>
          <w:szCs w:val="28"/>
          <w:rtl w:val="true"/>
          <w:lang w:bidi="fa-IR"/>
        </w:rPr>
        <w:t>و قال المحقّق الأصفهانی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العقد الصادر من الصبیّ بإذن الولیّ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نسبتان إلی الصبیّ بالمباشرة، و إلی الولیّ بالتسبیب، و لا منافاة بین عدم نفوذ ما هو عقد الصبیّ بالمباشرة، و نفوذ ما هو عقد الولیّ بالتسبیب، 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یکن للغلام إلاّ إجراء الصیغة فقط فلیس له بیع و شراء، و لا عقد، و لذا لا ریب فی أنّ مباشر العقد غیر مأمور بالوفاء</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قرّره السیّد الحکیم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نفی مطلق الجواز عن عقد الصبیّ لا ینافی</w:t>
      </w:r>
      <w:bookmarkStart w:id="65" w:name="pg11757_135421"/>
    </w:p>
    <w:p>
      <w:pPr>
        <w:pStyle w:val="BookText"/>
        <w:rPr/>
      </w:pPr>
      <w:bookmarkEnd w:id="65"/>
      <w:r>
        <w:rPr>
          <w:rFonts w:ascii="IRNazanin" w:hAnsi="IRNazanin" w:eastAsia="IRNazanin"/>
          <w:color w:val="111111"/>
          <w:sz w:val="28"/>
          <w:sz w:val="28"/>
          <w:szCs w:val="28"/>
          <w:rtl w:val="true"/>
          <w:lang w:bidi="fa-IR"/>
        </w:rPr>
        <w:t>النفوذ بعنوان کونه عقداً للولیّ، فإنّ إذنه مصحّحة لنسبته إلیه و إن نسب إلی الصبیّ أیضاً، و لا تنافی بین عدم نفوذه بملاحظة کونه عقداً للصبیّ؛ لعدم مقتضی النفوذ فیه، و بین نفوذه بملاحظة کونه عقداً للولیّ لوجود مقتضیه فیه</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المتیقّن من صورة فساد بیع الصبیّ ما إذا کان مستقلّاً فی المعاملة، و أمّا البیع الصادر من الصبیّ الممیّز الرشید بإذن الولیّ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فی الاُمور الیسیرة و ما کان البیع و الشراء فیه متداولاً بین الصبیان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أنّه لا دلیل علی عدم الصحّة، بل تشمله إطلاقات الأدلّة، فیحکم بصحّته بمقتضی الإطلاقات، و هکذا بمقتضی بعض النصوص و السیرة، و تترتّب علیه الآثار إن کان جامعاً للشرائط الاُخری المعتبرة فیه بأن یکون بعد المقاولة و المراضاة من طرف الولیّ و المشتری مثلاً، إلاّ أنّ الاحتیاط حسن فلا ینبغی أن یترک</w:t>
      </w:r>
      <w:r>
        <w:rPr>
          <w:rFonts w:eastAsia="IRNazanin" w:cs="IRNazanin"/>
          <w:color w:val="111111"/>
          <w:sz w:val="28"/>
          <w:szCs w:val="28"/>
          <w:rtl w:val="true"/>
          <w:lang w:bidi="fa-IR"/>
        </w:rPr>
        <w:t>.</w:t>
      </w:r>
    </w:p>
    <w:p>
      <w:pPr>
        <w:pStyle w:val="Heading4"/>
        <w:numPr>
          <w:ilvl w:val="3"/>
          <w:numId w:val="1"/>
        </w:numPr>
        <w:rPr/>
      </w:pPr>
      <w:bookmarkStart w:id="66" w:name="__RefHeading___Toc9696563_73709187"/>
      <w:bookmarkStart w:id="67" w:name="_Toc25"/>
      <w:bookmarkEnd w:id="66"/>
      <w:r>
        <w:rPr>
          <w:rtl w:val="true"/>
        </w:rPr>
        <w:t>صحّة بیع الصبیّ الممیّز إذا کان رشیداً</w:t>
      </w:r>
      <w:bookmarkEnd w:id="67"/>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w:t>
      </w:r>
      <w:r>
        <w:rPr>
          <w:rStyle w:val="FootnoteAnchor"/>
          <w:rtl w:val="true"/>
        </w:rPr>
        <w:footnoteReference w:id="195"/>
      </w:r>
      <w:r>
        <w:rPr>
          <w:rFonts w:ascii="Amiri" w:hAnsi="Amiri" w:eastAsia="Amiri" w:cs="Amiri"/>
          <w:color w:val="111111"/>
          <w:sz w:val="28"/>
          <w:sz w:val="28"/>
          <w:szCs w:val="28"/>
          <w:rtl w:val="true"/>
          <w:lang w:bidi="ar-SA"/>
        </w:rPr>
        <w:t>أنّه یصحّ بیع الصبیّ الممیّز إذا کان رشیداً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الأردبیلی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یبعد جواز بیعه و شرائه و سائر معاملاته إذا کان بصیراً ممیّزاً رشیداً یعرف نفعه و ضرره فی المال و طریق الحفظ و التصرّف کما کان نجِدهُ فی کثیر من الصبیان، فإنّه قد یوجد بینهم من هو أعظم فی هذه الاُمور عن آبائهم، فلا مانع له من إیقاع العقد خصوصاً مع إذن الولیّ أو حضوره بعد تعیینه الثمن</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bookmarkStart w:id="68" w:name="pg11757_135422"/>
    </w:p>
    <w:p>
      <w:pPr>
        <w:pStyle w:val="BookText"/>
        <w:rPr/>
      </w:pPr>
      <w:bookmarkEnd w:id="68"/>
      <w:r>
        <w:rPr>
          <w:rFonts w:ascii="IRNazanin" w:hAnsi="IRNazanin" w:eastAsia="IRNazanin"/>
          <w:color w:val="111111"/>
          <w:sz w:val="28"/>
          <w:sz w:val="28"/>
          <w:szCs w:val="28"/>
          <w:rtl w:val="true"/>
          <w:lang w:bidi="fa-IR"/>
        </w:rPr>
        <w:t>و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البأس بجواز المعاملة مع غیر البالغ الممیّز سیّما بإذن الولیّ</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 w:name="__RefHeading___Toc9696565_73709187"/>
      <w:bookmarkStart w:id="70" w:name="_Toc26"/>
      <w:bookmarkEnd w:id="69"/>
      <w:r>
        <w:rPr>
          <w:rtl w:val="true"/>
        </w:rPr>
        <w:t>الأدلّة علی صحّة بیع الصبیّ إذا کان رشیداً</w:t>
      </w:r>
      <w:bookmarkEnd w:id="70"/>
    </w:p>
    <w:p>
      <w:pPr>
        <w:pStyle w:val="BookText"/>
        <w:rPr/>
      </w:pPr>
      <w:r>
        <w:rPr>
          <w:rFonts w:ascii="IRNazanin" w:hAnsi="IRNazanin" w:eastAsia="IRNazanin"/>
          <w:color w:val="111111"/>
          <w:sz w:val="28"/>
          <w:sz w:val="28"/>
          <w:szCs w:val="28"/>
          <w:rtl w:val="true"/>
          <w:lang w:bidi="fa-IR"/>
        </w:rPr>
        <w:t>و استدلّ لصحّة بیع الصبیّ فی مفروض الکلام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مجمع الفائدة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عموم الآیات و الأخبار و الأصل هو الجواز مع التمییز التامّ</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الأدلّة و إطلاقها و إن کان مقتضیاً</w:t>
      </w:r>
      <w:r>
        <w:rPr>
          <w:rStyle w:val="FootnoteAnchor"/>
          <w:rtl w:val="true"/>
        </w:rPr>
        <w:footnoteReference w:id="199"/>
      </w:r>
      <w:r>
        <w:rPr>
          <w:rFonts w:ascii="IRNazanin" w:hAnsi="IRNazanin" w:eastAsia="IRNazanin"/>
          <w:color w:val="111111"/>
          <w:sz w:val="28"/>
          <w:sz w:val="28"/>
          <w:szCs w:val="28"/>
          <w:rtl w:val="true"/>
          <w:lang w:bidi="fa-IR"/>
        </w:rPr>
        <w:t>لشمول بیع الصبیّ الممیّز بالتقریب المتقدّم فی البحث عن مباشرة الصبیّ للعقد، إلاّ أنّ المانع لکون الصبی مستقلّاً فی البیع موجود کما سیأتی، قال فی المناهل فی مقام الجواب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ما ادّعاه من دلالة الأصل و ظاهر الآیات و الأخبار علی الجواز فللمنع منه، بل الأصل</w:t>
      </w:r>
      <w:r>
        <w:rPr>
          <w:rStyle w:val="FootnoteAnchor"/>
          <w:rtl w:val="true"/>
        </w:rPr>
        <w:footnoteReference w:id="200"/>
      </w:r>
      <w:r>
        <w:rPr>
          <w:rFonts w:ascii="IRNazanin" w:hAnsi="IRNazanin" w:eastAsia="IRNazanin"/>
          <w:color w:val="111111"/>
          <w:sz w:val="28"/>
          <w:sz w:val="28"/>
          <w:szCs w:val="28"/>
          <w:rtl w:val="true"/>
          <w:lang w:bidi="fa-IR"/>
        </w:rPr>
        <w:t>مقتضی الفساد</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ابْتَلُوا الْیَتامی حَتّی إِذا بَلَغُوا النِّکاحَ فَإِنْ آنَسْتُمْ مِنْهُمْ رُشْداً فَادْفَعُوا إِلَیْهِمْ أَمْوالَهُمْ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 الاختبار قبل البلوغ؛ و لئلّا یلزم التأخیر فی الدفع مع الاستحقاق، و الظاهر منه وقوع المعاملة أیضاً و التفویض إلیه بالکلّیة، فإذا تحقّق الرشد یکون ما فعله صحیحاً کما فی مجمع</w:t>
      </w:r>
    </w:p>
    <w:p>
      <w:pPr>
        <w:pStyle w:val="BookText"/>
        <w:rPr/>
      </w:pPr>
      <w:r>
        <w:rPr>
          <w:rFonts w:ascii="IRNazanin" w:hAnsi="IRNazanin" w:eastAsia="IRNazanin"/>
          <w:color w:val="111111"/>
          <w:sz w:val="28"/>
          <w:sz w:val="28"/>
          <w:szCs w:val="28"/>
          <w:rtl w:val="true"/>
          <w:lang w:bidi="fa-IR"/>
        </w:rPr>
        <w:t>الفائدة أیضاً</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الآیة یدلّ علی أنّ الابتلاء قبل البلوغ، بقرینة التعبیر عنهم بالیتامی، 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سواء أ کانت للغایة أم للابتداء، و الظاهر من الابتلاء الابتلاء بالمعاملات علی الأموال و اختبار رشدهم فیها، و حملها علی الابتلاء بمقدّمات العقد خلاف الظاهر</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ورد فی جملة من النصوص ما یشعر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الاختبار یکون بعد الاحتلام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ما رواه فی التهذیب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یُتم الیتیم الاحتلام و هو أشدُّه، و إن احتلم و لم یؤنس منه رشد و کان سفیهاً أو ضعیفاً فلیمسک عنه ولیّه ماله</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العیّاشی فی تفسیره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نجدة الحروریّ کتب إلی ابن عبّاس یسأله عن الیتیم متی ینقضی یُتمه؟ 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الیتیم فانقطاع یتمه أشدّه و هو الاحتلام، إلاّ أن لا یؤنس منه رشد بعد ذلک، فیکون سفیهاً أو ضعیفاً فلیسند علیه</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فالمستفاد منها أنّ انقطاع الیُتم بعد الاحتلام و هو وقت الاختبار و حصول</w:t>
      </w:r>
    </w:p>
    <w:p>
      <w:pPr>
        <w:pStyle w:val="BookText"/>
        <w:rPr/>
      </w:pPr>
      <w:r>
        <w:rPr>
          <w:rFonts w:ascii="IRNazanin" w:hAnsi="IRNazanin" w:eastAsia="IRNazanin"/>
          <w:color w:val="111111"/>
          <w:sz w:val="28"/>
          <w:sz w:val="28"/>
          <w:szCs w:val="28"/>
          <w:rtl w:val="true"/>
          <w:lang w:bidi="fa-IR"/>
        </w:rPr>
        <w:t>الرشد، و إذا حصل الرشد یجوز دفع المال إلیه لا قبله؛ حیث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احتلم و لم یؤنس منه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فلیمسک عنه ولیّه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جاء فی الفقه المنسوب إلی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أروی عن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یُتم بعد احتلام، فإذا احتلم امتحن فی أمر الصغیر و الوسیط و الکبیر، فإن اونس منه رشد دفع إلیه ماله، و إلّا کان علی حالته إلی أن یؤنس منه الرشد</w:t>
      </w:r>
      <w:r>
        <w:rPr>
          <w:rFonts w:eastAsia="IRNazanin" w:cs="IRNazanin"/>
          <w:color w:val="111111"/>
          <w:sz w:val="28"/>
          <w:szCs w:val="28"/>
          <w:rtl w:val="true"/>
          <w:lang w:bidi="fa-IR"/>
        </w:rPr>
        <w:t>»</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اختبار الصبیّ لا یتوقّف علی دفع ماله إلیه لیستقلّ بالتصرّف فیه، بل یمکن</w:t>
      </w:r>
      <w:r>
        <w:rPr>
          <w:rStyle w:val="FootnoteAnchor"/>
          <w:rtl w:val="true"/>
        </w:rPr>
        <w:footnoteReference w:id="208"/>
      </w:r>
      <w:r>
        <w:rPr>
          <w:rFonts w:ascii="IRNazanin" w:hAnsi="IRNazanin" w:eastAsia="IRNazanin"/>
          <w:color w:val="111111"/>
          <w:sz w:val="28"/>
          <w:sz w:val="28"/>
          <w:szCs w:val="28"/>
          <w:rtl w:val="true"/>
          <w:lang w:bidi="fa-IR"/>
        </w:rPr>
        <w:t>ذلک بمباشرة البیع و الشراء بنظارة الولیّ، أو بنظارة شخص منصوب من قبله بمباشرته مقدّماتهما لیتصدّی الولیّ إیقاعهما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الابتلاء یثبت بتفویض الاستیام و المماکسة و تدبیر البیع</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یکفی مباشرة السوم و نحوه من الاُمور التی لا یعتبر فیها ذلک</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 أی البلوغ</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مقابس الأنوار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قالوا من أنّ تأخیر الاختبار یؤدّی إلی الحجر علی البالغ الرشید، و هو باطل بالإجماع، مدفوعٌ بأنّ الباطل هو الحجر علی من علم اجتماع الوصفین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البلوغ و الرُّشد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و لذلک وجب الحجر علی من لم یختبر قبل البلوغ و لم یتمکّن من اختباره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الآیة</w:t>
      </w:r>
      <w:r>
        <w:rPr>
          <w:rStyle w:val="FootnoteAnchor"/>
          <w:rtl w:val="true"/>
        </w:rPr>
        <w:footnoteReference w:id="211"/>
      </w:r>
      <w:r>
        <w:rPr>
          <w:rFonts w:ascii="IRNazanin" w:hAnsi="IRNazanin" w:eastAsia="IRNazanin"/>
          <w:color w:val="111111"/>
          <w:sz w:val="28"/>
          <w:sz w:val="28"/>
          <w:szCs w:val="28"/>
          <w:rtl w:val="true"/>
          <w:lang w:bidi="fa-IR"/>
        </w:rPr>
        <w:t>کون إیناس الرُّشد بعد البلوغ علی أنّا نمنع إمکان الاختبار قبله لأنّه</w:t>
      </w:r>
      <w:bookmarkStart w:id="71" w:name="pg11757_135425"/>
    </w:p>
    <w:p>
      <w:pPr>
        <w:pStyle w:val="BookText"/>
        <w:rPr/>
      </w:pPr>
      <w:bookmarkEnd w:id="71"/>
      <w:r>
        <w:rPr>
          <w:rFonts w:ascii="IRNazanin" w:hAnsi="IRNazanin" w:eastAsia="IRNazanin"/>
          <w:color w:val="111111"/>
          <w:sz w:val="28"/>
          <w:sz w:val="28"/>
          <w:szCs w:val="28"/>
          <w:rtl w:val="true"/>
          <w:lang w:bidi="fa-IR"/>
        </w:rPr>
        <w:t>یتوقّف غالباً علی تسلیم المال و تمکینه من التصرّف بانفراده کما زعمه المستدلّ، و الصبیّ لا أهلیّة له</w:t>
      </w:r>
      <w:r>
        <w:rPr>
          <w:rStyle w:val="FootnoteAnchor"/>
          <w:rtl w:val="true"/>
        </w:rPr>
        <w:footnoteReference w:id="212"/>
      </w:r>
      <w:r>
        <w:rPr>
          <w:rFonts w:ascii="IRNazanin" w:hAnsi="IRNazanin" w:eastAsia="IRNazanin"/>
          <w:color w:val="111111"/>
          <w:sz w:val="28"/>
          <w:sz w:val="28"/>
          <w:szCs w:val="28"/>
          <w:rtl w:val="true"/>
          <w:lang w:bidi="fa-IR"/>
        </w:rPr>
        <w:t>لذلک و لیس محلّاً للائتمان، لا سیّما فی ماله و إنّما جاز ذلک فی البالغ قبل العلم برشده للضرورة، و للأمر بذلک فیقتصر علیه و لا یتعدّی إلی صورة انتفاء الأمرین</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دلیل لصحّة بیع الممیّز، و القدر المتیقّن من معقد الإجماع المتقدّم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عدم جواز بیع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w:t>
      </w:r>
      <w:r>
        <w:rPr>
          <w:rStyle w:val="FootnoteAnchor"/>
          <w:rtl w:val="true"/>
        </w:rPr>
        <w:footnoteReference w:id="214"/>
      </w:r>
      <w:r>
        <w:rPr>
          <w:rFonts w:ascii="IRNazanin" w:hAnsi="IRNazanin" w:eastAsia="IRNazanin"/>
          <w:color w:val="111111"/>
          <w:sz w:val="28"/>
          <w:sz w:val="28"/>
          <w:szCs w:val="28"/>
          <w:rtl w:val="true"/>
          <w:lang w:bidi="fa-IR"/>
        </w:rPr>
        <w:t>هذا القول</w:t>
      </w:r>
      <w:r>
        <w:rPr>
          <w:rFonts w:eastAsia="IRNazanin" w:cs="IRNazanin"/>
          <w:color w:val="111111"/>
          <w:sz w:val="28"/>
          <w:szCs w:val="28"/>
          <w:rtl w:val="true"/>
          <w:lang w:bidi="fa-IR"/>
        </w:rPr>
        <w:t>.</w:t>
      </w:r>
    </w:p>
    <w:p>
      <w:pPr>
        <w:pStyle w:val="Heading4"/>
        <w:numPr>
          <w:ilvl w:val="3"/>
          <w:numId w:val="1"/>
        </w:numPr>
        <w:rPr/>
      </w:pPr>
      <w:bookmarkStart w:id="72" w:name="__RefHeading___Toc9696567_73709187"/>
      <w:bookmarkStart w:id="73" w:name="_Toc27"/>
      <w:bookmarkEnd w:id="72"/>
      <w:r>
        <w:rPr>
          <w:rtl w:val="true"/>
        </w:rPr>
        <w:t>صحّة بیع الصبیّ إذا بلغ عشراً</w:t>
      </w:r>
      <w:bookmarkEnd w:id="73"/>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بیع الصبیّ إذا بلغ عشراً، نسب الشیخ و العلّامة هذا القول إلی روایة حیث قال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یصحّ بیع الصبیّ و شراؤه، أذِنَ له الولیّ أو لم یأذن، و روی أنّه إذا بلغ عشر سنین و کان رشیداً کان جائزاً</w:t>
      </w:r>
      <w:r>
        <w:rPr>
          <w:rFonts w:eastAsia="IRNazanin" w:cs="IRNazanin"/>
          <w:color w:val="111111"/>
          <w:sz w:val="28"/>
          <w:szCs w:val="28"/>
          <w:rtl w:val="true"/>
          <w:lang w:bidi="fa-IR"/>
        </w:rPr>
        <w:t>»</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تحریر الأحکام</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نسب الشهید و الصیمری و المحقّق السبزواری هذا القول إلی القیل، جاء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یصحّ بیع الصبیّ و لا شراؤه و لو أذن له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بلغ عشراً عاقلاً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الأقوی، و قیل بجواز بیعه بالوصفین و هو ضعیف</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و کذا فی الشرح الصغیر</w:t>
      </w:r>
      <w:r>
        <w:rPr>
          <w:rStyle w:val="FootnoteAnchor"/>
          <w:rtl w:val="true"/>
        </w:rPr>
        <w:footnoteReference w:id="218"/>
      </w:r>
      <w:r>
        <w:rPr>
          <w:rFonts w:ascii="IRNazanin" w:hAnsi="IRNazanin" w:eastAsia="IRNazanin"/>
          <w:color w:val="111111"/>
          <w:sz w:val="28"/>
          <w:sz w:val="28"/>
          <w:szCs w:val="28"/>
          <w:rtl w:val="true"/>
          <w:lang w:bidi="fa-IR"/>
        </w:rPr>
        <w:t>و الکفایة</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الریاض بعد ذکر هذا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أقف علی مستنده سوی القیاس بجواز وصیّته و عتقه و طلاقه، و فیه منع القیاس أوّلاً، ثمّ المقیس علیه ثانیاً</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بهذا إلی ما استدلّ به فی مجمع الفائدة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جوّز عتقه و وصیّته و صدقته بالمعروف و غیرها من القربات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ظاهر الروایات الکثیرة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جواز بیعه و شرائه و سائر معاملاته</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الظاهر أنّ الشیخ و العلّامة قصدا ما رواه فی الکافی عن أبی أیّوب الخزّاز،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إسماعیل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تجوز شهادة الغلام؟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عشر سنین،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 رسول اللّه صلی الله علیه و آله دخل بعائشة و هی بنت عشر سنین و لیس یدخل بالجاریة حتّی تکون امرأة، فإذا کان للغلام عشر سنین جاز أمره و جازت شهادته</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جواز أمره کنایة عن صحّة 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الروایة أعرض الأصحاب عن العمل بها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الوسائل فی ذیل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إسماعیل</w:t>
      </w:r>
      <w:r>
        <w:rPr>
          <w:rStyle w:val="FootnoteAnchor"/>
          <w:rtl w:val="true"/>
        </w:rPr>
        <w:footnoteReference w:id="223"/>
      </w:r>
      <w:r>
        <w:rPr>
          <w:rFonts w:ascii="IRNazanin" w:hAnsi="IRNazanin" w:eastAsia="IRNazanin"/>
          <w:color w:val="111111"/>
          <w:sz w:val="28"/>
          <w:sz w:val="28"/>
          <w:szCs w:val="28"/>
          <w:rtl w:val="true"/>
          <w:lang w:bidi="fa-IR"/>
        </w:rPr>
        <w:t>لیس بحجّة و استدلاله هنا لیس بصحیح</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bookmarkStart w:id="74" w:name="pg11757_135427"/>
    </w:p>
    <w:p>
      <w:pPr>
        <w:pStyle w:val="BookText"/>
        <w:rPr/>
      </w:pPr>
      <w:bookmarkEnd w:id="74"/>
      <w:r>
        <w:rPr>
          <w:rFonts w:ascii="IRNazanin" w:hAnsi="IRNazanin" w:eastAsia="IRNazanin"/>
          <w:color w:val="111111"/>
          <w:sz w:val="28"/>
          <w:sz w:val="28"/>
          <w:szCs w:val="28"/>
          <w:rtl w:val="true"/>
          <w:lang w:bidi="fa-IR"/>
        </w:rPr>
        <w:t>و 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الثانی منهما لم یسند إلی معصوم، بل لا یخفی علیک ما فی متنه، فإنّ حکم الرجل و المرأة لا یجب أن یکون واحداً فی کلّ شیء، أ لا تری إلی الأمر الذی جعل جامعاً؟ فإنّ صاحب العشر سنین من الرجال لا یتأتّی منه النکاح غالباً</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النصوص المستفیضة المتقدّمة صریحة بالمنع عن بیعه و شرائه مستقلّاً، و هذه الروایة معارضة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معارضته بالاُصول السلیمة عمّا یصلح للمعارضة</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 w:name="__RefHeading___Toc9696569_73709187"/>
      <w:bookmarkStart w:id="76" w:name="_Toc28"/>
      <w:bookmarkEnd w:id="75"/>
      <w:r>
        <w:rPr>
          <w:rtl w:val="true"/>
        </w:rPr>
        <w:t>صحّة بیع الصبیّ وقت الاختبار</w:t>
      </w:r>
      <w:bookmarkEnd w:id="76"/>
    </w:p>
    <w:p>
      <w:pPr>
        <w:pStyle w:val="BookText"/>
        <w:rPr/>
      </w:pPr>
      <w:r>
        <w:rPr>
          <w:rFonts w:ascii="IRNazanin" w:hAnsi="IRNazanin" w:eastAsia="IRNazanin"/>
          <w:color w:val="111111"/>
          <w:sz w:val="28"/>
          <w:sz w:val="28"/>
          <w:szCs w:val="28"/>
          <w:rtl w:val="true"/>
          <w:lang w:bidi="fa-IR"/>
        </w:rPr>
        <w:t>القول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یصحّ بیع الصبیّ وقت الاختبار قبل البلوغ و مع إذن الولیّ و إن لم یحرز رشده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فی التحریر فی کتاب الحجر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الاختبار قبل البلوغ مع التمییز، و مع إذن الولیّ یصحّ تصرّفه و بیعه</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 و جعله فی بیع التذکرة وجهاً لأصحابنا</w:t>
      </w:r>
      <w:r>
        <w:rPr>
          <w:rStyle w:val="FootnoteAnchor"/>
          <w:rtl w:val="true"/>
        </w:rPr>
        <w:footnoteReference w:id="228"/>
      </w:r>
      <w:r>
        <w:rPr>
          <w:rFonts w:ascii="IRNazanin" w:hAnsi="IRNazanin" w:eastAsia="IRNazanin"/>
          <w:color w:val="111111"/>
          <w:sz w:val="28"/>
          <w:sz w:val="28"/>
          <w:szCs w:val="28"/>
          <w:rtl w:val="true"/>
          <w:lang w:bidi="fa-IR"/>
        </w:rPr>
        <w:t>، و استشکله فی حجر القواعد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صحّة العقد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وقت الاختبار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یمکن أن یستدلّ له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ابْتَلُوا الْیَتامی حَتّی إِذا بَلَغُوا النِّکاحَ فَإِنْ آنَسْتُمْ مِنْهُمْ رُشْداً فَادْفَعُوا إِلَیْهِمْ أَمْوالَهُمْ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یستفاد منها أنّ</w:t>
      </w:r>
      <w:bookmarkStart w:id="77" w:name="pg11757_135428"/>
    </w:p>
    <w:p>
      <w:pPr>
        <w:pStyle w:val="BookText"/>
        <w:rPr/>
      </w:pPr>
      <w:bookmarkEnd w:id="77"/>
      <w:r>
        <w:rPr>
          <w:rFonts w:ascii="IRNazanin" w:hAnsi="IRNazanin" w:eastAsia="IRNazanin"/>
          <w:color w:val="111111"/>
          <w:sz w:val="28"/>
          <w:sz w:val="28"/>
          <w:szCs w:val="28"/>
          <w:rtl w:val="true"/>
          <w:lang w:bidi="fa-IR"/>
        </w:rPr>
        <w:t>الابتلاء المأمور به قبل البلوغ؛ لأنّه تعالی سمّاهم یتامی و إنّما یصدق هذا الاسم قبل البلوغ لا بعده، و الابتلاء إنّما یحصل إذا أذن له الولیّ غیر مرّة فی البیع و الشراء و نحوهما لیحصل الغرض المقصود من الاختبار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بالابتلاء یقتضی کون الفعل الصادر من الصبیّ معتبراً، کما فی جامع المقاصد</w:t>
      </w:r>
      <w:r>
        <w:rPr>
          <w:rStyle w:val="FootnoteAnchor"/>
          <w:rtl w:val="true"/>
        </w:rPr>
        <w:footnoteReference w:id="230"/>
      </w:r>
      <w:r>
        <w:rPr>
          <w:rFonts w:ascii="Amiri" w:hAnsi="Amiri" w:eastAsia="Amiri" w:cs="Amiri"/>
          <w:color w:val="111111"/>
          <w:sz w:val="28"/>
          <w:sz w:val="28"/>
          <w:szCs w:val="28"/>
          <w:rtl w:val="true"/>
          <w:lang w:bidi="ar-SA"/>
        </w:rPr>
        <w:t>و مجمع الفائدة</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جوابه نفس ما تقدّم فی جواب الاستدلال بالآیة الکریمة للقول الثانی، فما قلنا هناک یأتی هنا،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جامع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الصغر مانع من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بالابتلاء لا یستلزم أزید من کون ما به الابتلاء معتبراً فی إفادة الرشد و عدمه، فلا یقتضی ترتّب أثر آخر علیه</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إلی أنّ صحّة المعاملة تتوقّف</w:t>
      </w:r>
      <w:r>
        <w:rPr>
          <w:rStyle w:val="FootnoteAnchor"/>
          <w:rtl w:val="true"/>
        </w:rPr>
        <w:footnoteReference w:id="233"/>
      </w:r>
      <w:r>
        <w:rPr>
          <w:rFonts w:ascii="IRNazanin" w:hAnsi="IRNazanin" w:eastAsia="IRNazanin"/>
          <w:color w:val="111111"/>
          <w:sz w:val="28"/>
          <w:sz w:val="28"/>
          <w:szCs w:val="28"/>
          <w:rtl w:val="true"/>
          <w:lang w:bidi="fa-IR"/>
        </w:rPr>
        <w:t>علی الرشد، و فی حال الاختبار لم یحرز هذا الشرط، بل یمکن أن یعلم بعد الاختبار أنّه لم یکن رشیداً، فکیف یحکم بصحّة بیعه وقت الاختبار؟</w:t>
      </w:r>
    </w:p>
    <w:p>
      <w:pPr>
        <w:pStyle w:val="Heading4"/>
        <w:numPr>
          <w:ilvl w:val="3"/>
          <w:numId w:val="1"/>
        </w:numPr>
        <w:rPr/>
      </w:pPr>
      <w:bookmarkStart w:id="78" w:name="__RefHeading___Toc9696571_73709187"/>
      <w:bookmarkStart w:id="79" w:name="_Toc29"/>
      <w:bookmarkEnd w:id="78"/>
      <w:r>
        <w:rPr>
          <w:rtl w:val="true"/>
        </w:rPr>
        <w:t>صحّة بیع الصبیّ إذا أجازه الولیّ‌</w:t>
      </w:r>
      <w:bookmarkEnd w:id="79"/>
    </w:p>
    <w:p>
      <w:pPr>
        <w:pStyle w:val="BookText"/>
        <w:rPr/>
      </w:pPr>
      <w:r>
        <w:rPr>
          <w:rFonts w:ascii="Amiri" w:hAnsi="Amiri" w:eastAsia="Amiri" w:cs="Amiri"/>
          <w:color w:val="111111"/>
          <w:sz w:val="28"/>
          <w:sz w:val="28"/>
          <w:szCs w:val="28"/>
          <w:rtl w:val="true"/>
          <w:lang w:bidi="ar-SA"/>
        </w:rPr>
        <w:t>القول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یصحّ بیع الصبیّ الممیّز إذا کان رشیداً و أجازه الولیّ</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اختاره السیّد الیزدی فی حاشیته علی المکاسب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صحّة</w:t>
      </w:r>
      <w:bookmarkStart w:id="80" w:name="pg11757_135429"/>
    </w:p>
    <w:p>
      <w:pPr>
        <w:pStyle w:val="BookText"/>
        <w:rPr/>
      </w:pPr>
      <w:bookmarkEnd w:id="80"/>
      <w:r>
        <w:rPr>
          <w:rFonts w:ascii="IRNazanin" w:hAnsi="IRNazanin" w:eastAsia="IRNazanin"/>
          <w:color w:val="111111"/>
          <w:sz w:val="28"/>
          <w:sz w:val="28"/>
          <w:szCs w:val="28"/>
          <w:rtl w:val="true"/>
          <w:lang w:bidi="fa-IR"/>
        </w:rPr>
        <w:t>نفوذ التصرّفات منه بإذن الولیّ أو إجازته، لکن فی المقدار الذی هو مورد السیرة، بل مطلقاً</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الصبیّ إذا باع ماله ثمّ أجازه الولیّ حکم بصحّة البیع</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یدلّ علیه أنّه بعد الإجازة یکون بیع الصبیّ بیع الولیّ بقاءً</w:t>
      </w:r>
      <w:r>
        <w:rPr>
          <w:rStyle w:val="FootnoteAnchor"/>
          <w:rtl w:val="true"/>
        </w:rPr>
        <w:footnoteReference w:id="236"/>
      </w:r>
      <w:r>
        <w:rPr>
          <w:rFonts w:ascii="IRNazanin" w:hAnsi="IRNazanin" w:eastAsia="IRNazanin"/>
          <w:color w:val="111111"/>
          <w:sz w:val="28"/>
          <w:sz w:val="28"/>
          <w:szCs w:val="28"/>
          <w:rtl w:val="true"/>
          <w:lang w:bidi="fa-IR"/>
        </w:rPr>
        <w:t>، و ینسب إلیه، و أنّه بعد الإجازة یصیر من صغریات الفضولی</w:t>
      </w:r>
      <w:r>
        <w:rPr>
          <w:rStyle w:val="FootnoteAnchor"/>
          <w:rtl w:val="true"/>
        </w:rPr>
        <w:footnoteReference w:id="237"/>
      </w:r>
      <w:r>
        <w:rPr>
          <w:rFonts w:ascii="IRNazanin" w:hAnsi="IRNazanin" w:eastAsia="IRNazanin"/>
          <w:color w:val="111111"/>
          <w:sz w:val="28"/>
          <w:sz w:val="28"/>
          <w:szCs w:val="28"/>
          <w:rtl w:val="true"/>
          <w:lang w:bidi="fa-IR"/>
        </w:rPr>
        <w:t>و تشمله أدلّة الصحّة، و أنّه مع عدم الدلیل علی البطلان فالمرجع العمومات و الإطلاقات، و هی تقتضی الصحّة کما صرّح به السیّد الیزدی</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 w:name="__RefHeading___Toc9696573_73709187"/>
      <w:bookmarkStart w:id="82" w:name="_Toc30"/>
      <w:bookmarkEnd w:id="81"/>
      <w:r>
        <w:rPr>
          <w:rtl w:val="true"/>
        </w:rPr>
        <w:t>صحّة بیع الصبیّ فیما جرت به العادة</w:t>
      </w:r>
      <w:bookmarkEnd w:id="82"/>
    </w:p>
    <w:p>
      <w:pPr>
        <w:pStyle w:val="BookText"/>
        <w:rPr/>
      </w:pPr>
      <w:r>
        <w:rPr>
          <w:rFonts w:ascii="IRNazanin" w:hAnsi="IRNazanin" w:eastAsia="IRNazanin"/>
          <w:color w:val="111111"/>
          <w:sz w:val="28"/>
          <w:sz w:val="28"/>
          <w:szCs w:val="28"/>
          <w:rtl w:val="true"/>
          <w:lang w:bidi="fa-IR"/>
        </w:rPr>
        <w:t>القول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بیع الصبیّ الممیّز فیما جرت به العادة من الأشیاء الیسیرة أو إذا کان فیه بمنزلة الآلة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المحدّث الکاشانی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الأظهر جواز بیعه و شرائه فیما جرت به منه فی الشیء 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فیما کان فیه بمنزلة الآلة لمن له الأهلیّة</w:t>
      </w:r>
      <w:r>
        <w:rPr>
          <w:rFonts w:eastAsia="IRNazanin" w:cs="IRNazanin"/>
          <w:color w:val="111111"/>
          <w:sz w:val="28"/>
          <w:szCs w:val="28"/>
          <w:rtl w:val="true"/>
          <w:lang w:bidi="fa-IR"/>
        </w:rPr>
        <w:t>»</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الریاض</w:t>
      </w:r>
      <w:r>
        <w:rPr>
          <w:rStyle w:val="FootnoteAnchor"/>
          <w:rtl w:val="true"/>
        </w:rPr>
        <w:footnoteReference w:id="240"/>
      </w:r>
      <w:r>
        <w:rPr>
          <w:rFonts w:ascii="IRNazanin" w:hAnsi="IRNazanin" w:eastAsia="IRNazanin"/>
          <w:color w:val="111111"/>
          <w:sz w:val="28"/>
          <w:sz w:val="28"/>
          <w:szCs w:val="28"/>
          <w:rtl w:val="true"/>
          <w:lang w:bidi="fa-IR"/>
        </w:rPr>
        <w:t>و مفتاح الکرامة</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bookmarkStart w:id="83" w:name="pg11757_135430"/>
    </w:p>
    <w:p>
      <w:pPr>
        <w:pStyle w:val="BookText"/>
        <w:rPr/>
      </w:pPr>
      <w:bookmarkEnd w:id="83"/>
      <w:r>
        <w:rPr>
          <w:rFonts w:ascii="IRNazanin" w:hAnsi="IRNazanin" w:eastAsia="IRNazanin"/>
          <w:color w:val="111111"/>
          <w:sz w:val="28"/>
          <w:sz w:val="28"/>
          <w:szCs w:val="28"/>
          <w:rtl w:val="true"/>
          <w:lang w:bidi="fa-IR"/>
        </w:rPr>
        <w:t>و فی مقابس الأنوار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القول لا یخلو من قوّة</w:t>
      </w:r>
      <w:r>
        <w:rPr>
          <w:rFonts w:eastAsia="IRNazanin" w:cs="IRNazanin"/>
          <w:color w:val="111111"/>
          <w:sz w:val="28"/>
          <w:szCs w:val="28"/>
          <w:rtl w:val="true"/>
          <w:lang w:bidi="fa-IR"/>
        </w:rPr>
        <w:t>»</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فی مهذّب الأحکام</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الإمام الخمینی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صحّة معاملاته فی الاُمور الیسیرة المتعارفة مع إذن الولیّ‌</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منیة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 من الاکتفاء بما هو المتیقّن من جریان سیرة المتدیّنین علیه، و هو المعاملة التی لا تحتاج إلی المساومة، بل کانت قیمة العین معیّنة فی الخارج بحیث کان الصبیّ آلة صرفة و واسطة فی الإیصال</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 w:name="__RefHeading___Toc9696575_73709187"/>
      <w:bookmarkStart w:id="85" w:name="_Toc31"/>
      <w:bookmarkEnd w:id="84"/>
      <w:r>
        <w:rPr>
          <w:rtl w:val="true"/>
        </w:rPr>
        <w:t>أدلّة هذا القول</w:t>
      </w:r>
      <w:bookmarkEnd w:id="8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مفاتیح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رفعاً للحرج فی بعض الأحیان</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 علیه الشیخ الأعظم بأنّ الحرج ممنوع،</w:t>
      </w:r>
      <w:r>
        <w:rPr>
          <w:rStyle w:val="FootnoteAnchor"/>
          <w:rtl w:val="true"/>
        </w:rPr>
        <w:footnoteReference w:id="247"/>
      </w:r>
      <w:r>
        <w:rPr>
          <w:rFonts w:ascii="IRNazanin" w:hAnsi="IRNazanin" w:eastAsia="IRNazanin"/>
          <w:color w:val="111111"/>
          <w:sz w:val="28"/>
          <w:sz w:val="28"/>
          <w:szCs w:val="28"/>
          <w:rtl w:val="true"/>
          <w:lang w:bidi="fa-IR"/>
        </w:rPr>
        <w:t>سواء أراد أنّ الحرج یلزم من منعهم عن المعاملة فی المحقّرات و التزام مباشرة البالغین لشرائها، أم أراد أنّه یلزم من التجنّب عن معاملتهم بعد بناء الناس علی نصب الصبیان للبیع و الشراء فی الأشیاء الحقیرة</w:t>
      </w:r>
      <w:r>
        <w:rPr>
          <w:rStyle w:val="FootnoteAnchor"/>
          <w:rtl w:val="true"/>
        </w:rPr>
        <w:footnoteReference w:id="248"/>
      </w:r>
      <w:r>
        <w:rPr>
          <w:rFonts w:ascii="IRNazanin" w:hAnsi="IRNazanin" w:eastAsia="IRNazanin"/>
          <w:color w:val="111111"/>
          <w:sz w:val="28"/>
          <w:sz w:val="28"/>
          <w:szCs w:val="28"/>
          <w:rtl w:val="true"/>
          <w:lang w:bidi="fa-IR"/>
        </w:rPr>
        <w:t>، مضافاً إلی أنّه یقتصر فی رفع الحرج بمقدار</w:t>
      </w:r>
    </w:p>
    <w:p>
      <w:pPr>
        <w:pStyle w:val="BookText"/>
        <w:rPr/>
      </w:pPr>
      <w:r>
        <w:rPr>
          <w:rFonts w:ascii="IRNazanin" w:hAnsi="IRNazanin" w:eastAsia="IRNazanin"/>
          <w:color w:val="111111"/>
          <w:sz w:val="28"/>
          <w:sz w:val="28"/>
          <w:szCs w:val="28"/>
          <w:rtl w:val="true"/>
          <w:lang w:bidi="fa-IR"/>
        </w:rPr>
        <w:t xml:space="preserve">الضرورة لا مطلقاً، 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w:t>
      </w:r>
      <w:r>
        <w:rPr>
          <w:rStyle w:val="FootnoteAnchor"/>
          <w:rtl w:val="true"/>
        </w:rPr>
        <w:footnoteReference w:id="249"/>
      </w:r>
      <w:r>
        <w:rPr>
          <w:rFonts w:ascii="Amiri" w:hAnsi="Amiri" w:eastAsia="Amiri" w:cs="Amiri"/>
          <w:color w:val="111111"/>
          <w:sz w:val="28"/>
          <w:sz w:val="28"/>
          <w:szCs w:val="28"/>
          <w:rtl w:val="true"/>
          <w:lang w:bidi="ar-SA"/>
        </w:rPr>
        <w:t>دافعاً للحکم الحرجی و لم یکن مثبتاً و مشرّعاً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یستأنس بما رواه الشیخ فی الموثّق کالصحیح 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شهادة الصبیّ و المملوک،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قدرها یوم اشهد، تجوز فی الأمر الدُّون و لا تجوز فی الأمر الکبیر</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إذا شرّع الفرق فی الشهادة فلا یبعد فی المعاملة التی قضت بصحّتها الضرورة</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راجعة إلی باب الشهادة، و الظاهر أنّه لا ملازمة بین قبول شهادته فی المحقّرات و بین نفوذ معاملاته فیها</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انصراف الأدلّة المانعة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بقرینة مناسبة الحکم و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الأشیاء الحقیرة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الانصراف یحتاج إلی دلیل و المفروض عدمه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مفتاح الکرامة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لتداوله فی الأعصار و الأمصار حتّی کاد یکون إجماعیّاً من المسلمین قاطبةً، و لعلّ الأولی تخصیصه بما هو المعتاد فی أمثال هذه الأزمنة، فإنّه هو الذی یمکن دعوی اتّفاق المسلمین علیه</w:t>
      </w:r>
      <w:r>
        <w:rPr>
          <w:rFonts w:eastAsia="IRNazanin" w:cs="IRNazanin"/>
          <w:color w:val="111111"/>
          <w:sz w:val="28"/>
          <w:szCs w:val="28"/>
          <w:rtl w:val="true"/>
          <w:lang w:bidi="fa-IR"/>
        </w:rPr>
        <w:t>»</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w:t>
      </w:r>
    </w:p>
    <w:p>
      <w:pPr>
        <w:pStyle w:val="BookText"/>
        <w:rPr/>
      </w:pPr>
      <w:r>
        <w:rPr>
          <w:rFonts w:ascii="IRNazanin" w:hAnsi="IRNazanin" w:eastAsia="IRNazanin"/>
          <w:color w:val="111111"/>
          <w:sz w:val="28"/>
          <w:sz w:val="28"/>
          <w:szCs w:val="28"/>
          <w:rtl w:val="true"/>
          <w:lang w:bidi="fa-IR"/>
        </w:rPr>
        <w:t>فی الریاض</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مقابس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المستمرّة تکون علی ذلک</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اجیب عن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بمنع</w:t>
      </w:r>
      <w:r>
        <w:rPr>
          <w:rStyle w:val="FootnoteAnchor"/>
          <w:rtl w:val="true"/>
        </w:rPr>
        <w:footnoteReference w:id="256"/>
      </w:r>
      <w:r>
        <w:rPr>
          <w:rFonts w:ascii="IRNazanin" w:hAnsi="IRNazanin" w:eastAsia="IRNazanin"/>
          <w:color w:val="111111"/>
          <w:sz w:val="28"/>
          <w:sz w:val="28"/>
          <w:szCs w:val="28"/>
          <w:rtl w:val="true"/>
          <w:lang w:bidi="fa-IR"/>
        </w:rPr>
        <w:t>تداول ذلک فی جمیع الأعصار و الأمصار بحیث یحصل منه العلم بالإجماع</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بمنع کونها من المتدیّنین، بل حادثة و صادرة ممّن یتساهل بأحکام الشرع</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الإنصاف أنّ استقرار سیرة المتشرّعة علی معاملات الصبیّ فی الاُمور الحقیرة غیر قابل للإنکار؛ إذ لا یحتمل عدم ممارسة الصبیان الممیّزین فی أمر المعاملات فی عصر المعصومین علیهم السلام، کیف و قد استقرّت علی ذلک سیرة العقلاء فی جمیع الأعصار و لم یثبت الردع عنها؟ فلا ینبغی التأمّل فی حجّیتها، کما صرّح به السیّد الحکیم</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مع ذلک کلّه لا تکشف هذه السیرة عن نفوذ معاملات الصبیّ علی نحو الاستقلال؛ لأنّه یحتمل</w:t>
      </w:r>
      <w:r>
        <w:rPr>
          <w:rStyle w:val="FootnoteAnchor"/>
          <w:rtl w:val="true"/>
        </w:rPr>
        <w:footnoteReference w:id="260"/>
      </w:r>
      <w:r>
        <w:rPr>
          <w:rFonts w:ascii="IRNazanin" w:hAnsi="IRNazanin" w:eastAsia="IRNazanin"/>
          <w:color w:val="111111"/>
          <w:sz w:val="28"/>
          <w:sz w:val="28"/>
          <w:szCs w:val="28"/>
          <w:rtl w:val="true"/>
          <w:lang w:bidi="fa-IR"/>
        </w:rPr>
        <w:t>قویّاً أن یکون مورد السیرة هو صورة إذن الولیّ، کما صرّح به غیر واحد من أعلام الفقهاء</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مضافاً إلی أنّ الحکم باستقلال الصبیّ فی البیع و الشراء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فی الأشیاء الیسیرة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مستنداً إلی السیرة مخالف للإجماع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أراد استقلاله فی البیع و الشراء لنفسه بماله من دون إذن الولیّ لیکون حاصله أنّه غیر محجور علیه فی الأشیاء الیسیرة فالظاهر کونه مخالفاً للإجماع</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التستری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السیرة و الضرورة فالتمسّک بهما فی مقابل إطلاق الآیة و الروایة و فتوی الإمامیّة و غیرهم من العامّة خروج عن جادّة الصواب، و عدول عن طریق الاحتیاط المطلوب فی کلّ باب</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القول بصحّة بیع الصبیّ إذا کان فیه بمنزلة الآلة فالاعتماد</w:t>
      </w:r>
      <w:r>
        <w:rPr>
          <w:rStyle w:val="FootnoteAnchor"/>
          <w:rtl w:val="true"/>
        </w:rPr>
        <w:footnoteReference w:id="264"/>
      </w:r>
      <w:r>
        <w:rPr>
          <w:rFonts w:ascii="IRNazanin" w:hAnsi="IRNazanin" w:eastAsia="IRNazanin"/>
          <w:color w:val="111111"/>
          <w:sz w:val="28"/>
          <w:sz w:val="28"/>
          <w:szCs w:val="28"/>
          <w:rtl w:val="true"/>
          <w:lang w:bidi="fa-IR"/>
        </w:rPr>
        <w:t>فی الحقیقة علی الإذن المستفاد من حال المالک فی الأخذ و الإعطاء مع البناء علی ما هو الغالب من کونه صحیح التصرّف، لا علی قول الصبیّ أو معاملته من حیث إنّه کذلک، و کثیراً ما یعتمد الناس علی الإذن المستفاد من غیر وجود ذی ید أصلاً إذا شهدت الحال بذلک، کما فی دخول الحمّام و وضع الاُجرة، کما فی المقابس</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مکاسب الشیخ الأعظم</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الصورة فی الحقیقة لیست هی بیع الصبیّ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صحیح أم لا،</w:t>
      </w:r>
      <w:bookmarkStart w:id="86" w:name="pg11757_135434"/>
    </w:p>
    <w:p>
      <w:pPr>
        <w:pStyle w:val="BookText"/>
        <w:rPr/>
      </w:pPr>
      <w:bookmarkEnd w:id="86"/>
      <w:r>
        <w:rPr>
          <w:rFonts w:ascii="IRNazanin" w:hAnsi="IRNazanin" w:eastAsia="IRNazanin"/>
          <w:color w:val="111111"/>
          <w:sz w:val="28"/>
          <w:sz w:val="28"/>
          <w:szCs w:val="28"/>
          <w:rtl w:val="true"/>
          <w:lang w:bidi="fa-IR"/>
        </w:rPr>
        <w:t>أو صحیح فی الدون و غیر صحیح فی الخطیر، بل هی أمارة لإذن الولیّ، و سیأتی فی ذلک زیادة توضیح قریباً</w:t>
      </w:r>
      <w:r>
        <w:rPr>
          <w:rFonts w:eastAsia="IRNazanin" w:cs="IRNazanin"/>
          <w:color w:val="111111"/>
          <w:sz w:val="28"/>
          <w:szCs w:val="28"/>
          <w:rtl w:val="true"/>
          <w:lang w:bidi="fa-IR"/>
        </w:rPr>
        <w:t>.</w:t>
      </w:r>
    </w:p>
    <w:p>
      <w:pPr>
        <w:pStyle w:val="Heading4"/>
        <w:numPr>
          <w:ilvl w:val="3"/>
          <w:numId w:val="1"/>
        </w:numPr>
        <w:rPr/>
      </w:pPr>
      <w:bookmarkStart w:id="87" w:name="__RefHeading___Toc9696577_73709187"/>
      <w:bookmarkStart w:id="88" w:name="_Toc32"/>
      <w:bookmarkEnd w:id="87"/>
      <w:r>
        <w:rPr>
          <w:rtl w:val="true"/>
        </w:rPr>
        <w:t>ثبوت الإباحة فی بیع الصبیّ الممیّز</w:t>
      </w:r>
      <w:bookmarkEnd w:id="88"/>
    </w:p>
    <w:p>
      <w:pPr>
        <w:pStyle w:val="BookText"/>
        <w:rPr/>
      </w:pPr>
      <w:r>
        <w:rPr>
          <w:rFonts w:ascii="IRNazanin" w:hAnsi="IRNazanin" w:eastAsia="IRNazanin"/>
          <w:color w:val="111111"/>
          <w:sz w:val="28"/>
          <w:sz w:val="28"/>
          <w:szCs w:val="28"/>
          <w:rtl w:val="true"/>
          <w:lang w:bidi="fa-IR"/>
        </w:rPr>
        <w:t>القول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کاشف الغطاء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تثبت الإباحة فی معاملة الممیّزین إذا جلسوا فی مقام أولیائهم أو تظاهروا علی رءوس الأشهاد حتّی یظنّ أنّ ذلک عن إذن من الأولیاء خصوصاً فی المحقّرات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قیل یتملّک الأخذ منهم لدلالة مأذونیّته فی جمیع التصرّفات، فیکون موجباً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قابلاً لم یکن بعیداً</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 التستری من تلامذته فی توضیح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کان بناء المعاطاة علی حصول المراضاة کیف اتّفقت و کانت مفیدة لإباحة التصرّف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جرت عادة الناس بالتسامح فی الأشیاء الیسیرة و الرضا باعتماد غیرهم فی التصرّف فیها علی الأمارات المورثة للظنّ بالرضا فی المعاوضات و غیرها، و کان الغالب فی الأشیاء التی یعتمد فیها علی قول الصبیّ تعیین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فلأجل ذلک صحّ القول باعتماد علی ما یصدر</w:t>
      </w:r>
      <w:r>
        <w:rPr>
          <w:rStyle w:val="FootnoteAnchor"/>
          <w:rtl w:val="true"/>
        </w:rPr>
        <w:footnoteReference w:id="268"/>
      </w:r>
      <w:r>
        <w:rPr>
          <w:rFonts w:ascii="IRNazanin" w:hAnsi="IRNazanin" w:eastAsia="IRNazanin"/>
          <w:color w:val="111111"/>
          <w:sz w:val="28"/>
          <w:sz w:val="28"/>
          <w:szCs w:val="28"/>
          <w:rtl w:val="true"/>
          <w:lang w:bidi="fa-IR"/>
        </w:rPr>
        <w:t xml:space="preserve">من الصبیّ من صورة البیع و الشراء مع الشروط المذکورة، کما یعتمد علیه فی الإذن فی دخول الدار و إیصال الهدیّة إذا ظهرت أمارات 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فالتحقیق أنّ هذا لیس مستثنی من اطلاق کلام الأصحاب و لا منافیاً له، و لا یعتمد علی ذلک أیضاً فی مقام الدعوی و لا فیما إذا طالب المالک بحقّه و أظهر عدم الرضا</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bookmarkStart w:id="89" w:name="pg11757_135435"/>
    </w:p>
    <w:p>
      <w:pPr>
        <w:pStyle w:val="BookText"/>
        <w:rPr/>
      </w:pPr>
      <w:bookmarkEnd w:id="89"/>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مناط الإباحة و مدارها فی المعاطاة لیس علی وجود تعاط قائم بشخصین أو شخص منزّل منزلة شخصین، بل علی تحقّق الرضا من کلّ منهما بتصرّف صاحبه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ما نحن فیه إذا تحقّق البیع و الشراء علی النحو المذکور مع الشرائط المذکورة من تعیین القیمة فی الأشیاء الیسیرة فتثبت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الشیخ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ذلک موقوف علی ثبوت حکم المعاطاة من دون إنشاء إباحة و تملیک، و الاکتفاء فیها بمجرّد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ما ذکر مختصّ بما إذا علم</w:t>
      </w:r>
      <w:r>
        <w:rPr>
          <w:rStyle w:val="FootnoteAnchor"/>
          <w:rtl w:val="true"/>
        </w:rPr>
        <w:footnoteReference w:id="270"/>
      </w:r>
      <w:r>
        <w:rPr>
          <w:rFonts w:ascii="IRNazanin" w:hAnsi="IRNazanin" w:eastAsia="IRNazanin"/>
          <w:color w:val="111111"/>
          <w:sz w:val="28"/>
          <w:sz w:val="28"/>
          <w:szCs w:val="28"/>
          <w:rtl w:val="true"/>
          <w:lang w:bidi="fa-IR"/>
        </w:rPr>
        <w:t>إذن شخص بالغ عاقل للصبیّ، ولیّاً کان أم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کاشف الغطاء أخیراً من صیرورة الشخص موجباً قابلاً 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تولّی وظیفة الغائب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إذن للصغیر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بإذنٍ منه فالمفروض</w:t>
      </w:r>
      <w:r>
        <w:rPr>
          <w:rStyle w:val="FootnoteAnchor"/>
          <w:rtl w:val="true"/>
        </w:rPr>
        <w:footnoteReference w:id="271"/>
      </w:r>
      <w:r>
        <w:rPr>
          <w:rFonts w:ascii="IRNazanin" w:hAnsi="IRNazanin" w:eastAsia="IRNazanin"/>
          <w:color w:val="111111"/>
          <w:sz w:val="28"/>
          <w:sz w:val="28"/>
          <w:szCs w:val="28"/>
          <w:rtl w:val="true"/>
          <w:lang w:bidi="fa-IR"/>
        </w:rPr>
        <w:t>انتفاؤه، و إن کان بمجرّد العلم برضاه فالاکتفاء به فی الخروج عن موضوع الفضولی مشکل، بل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المحسوس بالوجدان عدم قصد من یعامل مع الأطفال النیابة عمّن أذن للصبیّ‌</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 w:name="__RefHeading___Toc9696579_73709187"/>
      <w:bookmarkStart w:id="91" w:name="_Toc33"/>
      <w:bookmarkEnd w:id="90"/>
      <w:r>
        <w:rPr>
          <w:rtl w:val="true"/>
        </w:rPr>
        <w:t>فروع</w:t>
      </w:r>
      <w:bookmarkEnd w:id="9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اشتری الصبیّ و قبض أو استقرض</w:t>
      </w:r>
    </w:p>
    <w:p>
      <w:pPr>
        <w:pStyle w:val="BookText"/>
        <w:rPr/>
      </w:pPr>
      <w:r>
        <w:rPr>
          <w:rFonts w:ascii="IRNazanin" w:hAnsi="IRNazanin" w:eastAsia="IRNazanin"/>
          <w:color w:val="111111"/>
          <w:sz w:val="28"/>
          <w:sz w:val="28"/>
          <w:szCs w:val="28"/>
          <w:rtl w:val="true"/>
          <w:lang w:bidi="fa-IR"/>
        </w:rPr>
        <w:t>و أتلف فلا ضمان علیه؛ لأنّ التضییع من الدافع، فإن کان المال باقیاً ردّه، و علی الولیّ استرداد الثمن و لا یبرأ البائع بالردّ إلی الصبیّ</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نهایة الإحکام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اشتری و قبض المبیع فتلف فی یده أو أتلفه فلا ضمان علیه فی الحال و لا بعد البلوغ، و کذا لو استقرض مالاً؛ لأنّ المالک هو المضیّع لماله بالتسلیم إلیه، و ما دامت العین باقیة فی الموضعین فللمالک الاسترجاع، و لو سلّمه ثمن ما اشتراه فعلی الولیّ استرجاعه، و البائع یردّه علی الولیّ، فإن ردّه علی الصبیّ لم یبرأ من ضمانه</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المسالک، و علّله بأنّ البائع فرّط بتسلیطه علیه مع عدم أهلیّته</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عرض الصبیّ دیناراً علی ناقد لینقده أو متاعاً علی مقوّم لیقوّمه فأخذه لم یجز ردّه علی الصبیّ، بل علی ولیّه إن کان للصبیّ، و علی مالکه إن کان 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أمره ولیّ الصبیّ بالدفع إلیه فدفعه إلیه برئ من ضمانه إن کان المال للولیّ، و إن کان للصبیّ فلا</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تبایع الصبیّان و تقابضا و أتلف کلّ منهما ما قبضه، فإن جری بإذن الولیّین فالضمان علیهما، و إلّا فلا ضمان علیهما، بل علی الصبیّین؛ لأنّ تسلیمهما لا یعدّ تسلیطاً و تضییعاً</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bookmarkStart w:id="92" w:name="pg11757_135437"/>
    </w:p>
    <w:p>
      <w:pPr>
        <w:pStyle w:val="Heading4"/>
        <w:numPr>
          <w:ilvl w:val="3"/>
          <w:numId w:val="1"/>
        </w:numPr>
        <w:rPr/>
      </w:pPr>
      <w:bookmarkStart w:id="93" w:name="__RefHeading___Toc9696581_73709187"/>
      <w:bookmarkStart w:id="94" w:name="_Toc34"/>
      <w:bookmarkEnd w:id="92"/>
      <w:bookmarkEnd w:id="93"/>
      <w:r>
        <w:rPr>
          <w:rtl w:val="true"/>
        </w:rPr>
        <w:t>بیع الصبیّ عند أهل السنّة</w:t>
      </w:r>
      <w:bookmarkEnd w:id="94"/>
    </w:p>
    <w:p>
      <w:pPr>
        <w:pStyle w:val="Heading5"/>
        <w:numPr>
          <w:ilvl w:val="4"/>
          <w:numId w:val="1"/>
        </w:numPr>
        <w:rPr/>
      </w:pPr>
      <w:bookmarkStart w:id="95" w:name="__RefHeading___Toc9696583_73709187"/>
      <w:bookmarkStart w:id="96" w:name="_Toc35"/>
      <w:bookmarkEnd w:id="95"/>
      <w:r>
        <w:rPr>
          <w:rtl w:val="true"/>
        </w:rPr>
        <w:t>اشارة</w:t>
      </w:r>
      <w:bookmarkEnd w:id="96"/>
    </w:p>
    <w:p>
      <w:pPr>
        <w:pStyle w:val="BookText"/>
        <w:rPr/>
      </w:pPr>
      <w:r>
        <w:rPr>
          <w:rFonts w:ascii="IRNazanin" w:hAnsi="IRNazanin" w:eastAsia="IRNazanin"/>
          <w:color w:val="111111"/>
          <w:sz w:val="28"/>
          <w:sz w:val="28"/>
          <w:szCs w:val="28"/>
          <w:rtl w:val="true"/>
          <w:lang w:bidi="fa-IR"/>
        </w:rPr>
        <w:t>ذهب الحنابلة و الحنفیّة و المالکیّة إلی صحّة تصرّف الصبیّ الممیّز بالبیع و الشراء لو کان رشیداً و أذن له الولیّ أو أجازه، و أمّا الشافعیّة فقالوا لا ینعقد بیعه و إن أذن له الولیّ، و إلیک نصّ کلماتهم</w:t>
      </w:r>
      <w:r>
        <w:rPr>
          <w:rFonts w:eastAsia="IRNazanin" w:cs="IRNazanin"/>
          <w:color w:val="111111"/>
          <w:sz w:val="28"/>
          <w:szCs w:val="28"/>
          <w:rtl w:val="true"/>
          <w:lang w:bidi="fa-IR"/>
        </w:rPr>
        <w:t>.</w:t>
      </w:r>
    </w:p>
    <w:p>
      <w:pPr>
        <w:pStyle w:val="Heading5"/>
        <w:numPr>
          <w:ilvl w:val="4"/>
          <w:numId w:val="1"/>
        </w:numPr>
        <w:rPr/>
      </w:pPr>
      <w:bookmarkStart w:id="97" w:name="__RefHeading___Toc9696585_73709187"/>
      <w:bookmarkStart w:id="98" w:name="_Toc36"/>
      <w:bookmarkEnd w:id="97"/>
      <w:r>
        <w:rPr>
          <w:rtl w:val="true"/>
        </w:rPr>
        <w:t xml:space="preserve">ألف </w:t>
      </w:r>
      <w:r>
        <w:rPr>
          <w:rtl w:val="true"/>
        </w:rPr>
        <w:t xml:space="preserve">- </w:t>
      </w:r>
      <w:r>
        <w:rPr>
          <w:rtl w:val="true"/>
        </w:rPr>
        <w:t>الحنابلة</w:t>
      </w:r>
      <w:bookmarkEnd w:id="98"/>
    </w:p>
    <w:p>
      <w:pPr>
        <w:pStyle w:val="BookText"/>
        <w:rPr/>
      </w:pPr>
      <w:r>
        <w:rPr>
          <w:rFonts w:ascii="IRNazanin" w:hAnsi="IRNazanin" w:eastAsia="IRNazanin"/>
          <w:color w:val="111111"/>
          <w:sz w:val="28"/>
          <w:sz w:val="28"/>
          <w:szCs w:val="28"/>
          <w:rtl w:val="true"/>
          <w:lang w:bidi="fa-IR"/>
        </w:rPr>
        <w:t>جاء فی المغنی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یصحّ تصرّف الصبیّ الممیّز بالبیع و الشراء فیما أذن له الولیّ فیه فی إحدی الروایتین، و هو قول 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ابْتَلُوا الْیَتامی حَتّی إِذا بَلَغُوا النِّکاحَ فَإِنْ آنَسْتُمْ مِنْهُمْ رُشْداً فَادْفَعُوا إِلَیْهِمْ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اختبروهم لتعلموا رشدهم، و إنّما یتحقّق اختبارهم بتفویض التصرّف إلیهم من البیع و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لأنّه عاقل ممیّز محجور علیه، فصحّ تصرّفه بإذن ولیّه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 غیر الممیّز، فإنّه لا تحصل المصلحة بتصرّفه؛ لعدم تمییزه و معرفته، و لا حاجة إلی اختباره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إن تصرّف بغیر إذن ولیّه لم یصحّ تصرّفه، و یحتمل أن یصحّ و یقف علی إجازة الولیّ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غیر الممیّز فلا یصحّ تصرّفه و إن أذن له الولیّ فیه إلّا فی الشیء الیسیر</w:t>
      </w:r>
      <w:r>
        <w:rPr>
          <w:rFonts w:eastAsia="Amiri" w:cs="Amiri" w:ascii="Amiri" w:hAnsi="Amiri"/>
          <w:color w:val="111111"/>
          <w:sz w:val="28"/>
          <w:szCs w:val="28"/>
          <w:rtl w:val="true"/>
          <w:lang w:bidi="ar-SA"/>
        </w:rPr>
        <w:t>»</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الإقناع</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المرداوی فی شرائط صحّة البیع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العاقد جائز التصرّف و هو المکلّف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الصبیّ الممیّز و السفیه، فإنّه یصحّ تصرّفهما بإذن ولیّهما فی إحدی الروایتین، و هی المذهب و علیه الأصحاب، و الروایة</w:t>
      </w:r>
      <w:bookmarkStart w:id="99" w:name="pg11757_135438"/>
    </w:p>
    <w:p>
      <w:pPr>
        <w:pStyle w:val="BookText"/>
        <w:rPr/>
      </w:pPr>
      <w:bookmarkEnd w:id="99"/>
      <w:r>
        <w:rPr>
          <w:rFonts w:ascii="Amiri" w:hAnsi="Amiri" w:eastAsia="Amiri" w:cs="Amiri"/>
          <w:color w:val="111111"/>
          <w:sz w:val="28"/>
          <w:sz w:val="28"/>
          <w:szCs w:val="28"/>
          <w:rtl w:val="true"/>
          <w:lang w:bidi="ar-SA"/>
        </w:rPr>
        <w:t>الاُخری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یصحّ تصرّفهما إلّا فی الشیء الیسیر</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یختبر إلاّ المراهق الممیّز الذی یعرف البیع و الشراء، فإذا تصرّف بإذن ولیّه صحّ تصرّفه؛ لأنّه متصرّف بأمر اللّه تعالی فصحّ تصرّفه کالرشید، و فیه روایة اخری لا یختبر إلّا بعد البلوغ؛ لأنّه قبله لیس بأهل للتصرّف؛ لأنّه لم یوجد البلوغ الذی هو مظنّة العقل، فکان عقله بمنزلة المعدوم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تصرّف الصبیّ الممیّز بإذن ولیّه روایتان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یؤنس منه رشد لم یدفع إلیه ماله و لم ینفکّ الحجر عنه و إن صار شیخاً</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 w:name="__RefHeading___Toc9696587_73709187"/>
      <w:bookmarkStart w:id="101" w:name="_Toc37"/>
      <w:bookmarkEnd w:id="100"/>
      <w:r>
        <w:rPr>
          <w:rtl w:val="true"/>
        </w:rPr>
        <w:t xml:space="preserve">ب </w:t>
      </w:r>
      <w:r>
        <w:rPr>
          <w:rtl w:val="true"/>
        </w:rPr>
        <w:t xml:space="preserve">- </w:t>
      </w:r>
      <w:r>
        <w:rPr>
          <w:rtl w:val="true"/>
        </w:rPr>
        <w:t>الحنفیّة</w:t>
      </w:r>
      <w:bookmarkEnd w:id="101"/>
    </w:p>
    <w:p>
      <w:pPr>
        <w:pStyle w:val="BookText"/>
        <w:rPr/>
      </w:pPr>
      <w:r>
        <w:rPr>
          <w:rFonts w:ascii="IRNazanin" w:hAnsi="IRNazanin" w:eastAsia="IRNazanin"/>
          <w:color w:val="111111"/>
          <w:sz w:val="28"/>
          <w:sz w:val="28"/>
          <w:szCs w:val="28"/>
          <w:rtl w:val="true"/>
          <w:lang w:bidi="fa-IR"/>
        </w:rPr>
        <w:t>إنّهم لم یشترطوا فی البیع البلوغ، فیصحّ عندهم تصرّف الصبیّ الممیّز البالغ من العمر سبع سنوات،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تصرّفاته تنقسم إلی ثلاثة أقسام، و منها التصرّفات الدائرة بین الضرر و النفع کالبیع و الشراء و الإیجار، فهذه التصرّفات تصحّ من الصبیّ الممیّز و لکنّها تکون موقوفة علی إذن الولیّ أو إجازته ما دام صغیراً، أو علی إجازته بنفسه بعد البلوغ؛ لأنّ للممیّز جانباً من الإدراک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عابدین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تردّد من العقود بین نفع و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کالبیع و الشراء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علی الإذن حتّی لو بلغ فأجازه نفذ</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شرح فتح القدیر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تصرّف الصغیر إلاّ بإذن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باع من هؤلاء</w:t>
      </w:r>
      <w:r>
        <w:rPr>
          <w:rStyle w:val="FootnoteAnchor"/>
          <w:rtl w:val="true"/>
        </w:rPr>
        <w:footnoteReference w:id="283"/>
      </w:r>
      <w:r>
        <w:rPr>
          <w:rFonts w:ascii="IRNazanin" w:hAnsi="IRNazanin" w:eastAsia="IRNazanin"/>
          <w:color w:val="111111"/>
          <w:sz w:val="28"/>
          <w:sz w:val="28"/>
          <w:szCs w:val="28"/>
          <w:rtl w:val="true"/>
          <w:lang w:bidi="fa-IR"/>
        </w:rPr>
        <w:t>شیئاً أو اشتری و هو یعقل البیع و یقصده فالولیّ بالخیار، إن شاء</w:t>
      </w:r>
      <w:bookmarkStart w:id="102" w:name="pg11757_135439"/>
    </w:p>
    <w:p>
      <w:pPr>
        <w:pStyle w:val="BookText"/>
        <w:rPr/>
      </w:pPr>
      <w:bookmarkEnd w:id="102"/>
      <w:r>
        <w:rPr>
          <w:rFonts w:ascii="IRNazanin" w:hAnsi="IRNazanin" w:eastAsia="IRNazanin"/>
          <w:color w:val="111111"/>
          <w:sz w:val="28"/>
          <w:sz w:val="28"/>
          <w:szCs w:val="28"/>
          <w:rtl w:val="true"/>
          <w:lang w:bidi="fa-IR"/>
        </w:rPr>
        <w:t>أجازه إذا کان فیه مصلحة، و إن شاء فسخه</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البدائع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الذی یرجع إلی العاقد فنوعان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عاقلاً، فلا ینعقد بیع المجنون و الصبیّ الذی لا یعقل؛ لأنّ أهلیّة المتصرّف شرط انعقاد التصرّف، و الأهلیّة لا تثبت بدون العقل فلا یثبت الانعقاد بدونه، فأمّا البلوغ فلیس بشرط لانعقاد البیع عندنا حتّی لو باع الصبیّ العاقل مال نفسه ینعقد عندنا موقوفاً علی إجازة ولیّه، و علی إجازة نفسه بعد البلوغ</w:t>
      </w:r>
      <w:r>
        <w:rPr>
          <w:rFonts w:eastAsia="IRNazanin" w:cs="IRNazanin"/>
          <w:color w:val="111111"/>
          <w:sz w:val="28"/>
          <w:szCs w:val="28"/>
          <w:rtl w:val="true"/>
          <w:lang w:bidi="fa-IR"/>
        </w:rPr>
        <w:t>»</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البحر الرائق</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 w:name="__RefHeading___Toc9696589_73709187"/>
      <w:bookmarkStart w:id="104" w:name="_Toc38"/>
      <w:bookmarkEnd w:id="103"/>
      <w:r>
        <w:rPr>
          <w:rtl w:val="true"/>
        </w:rPr>
        <w:t xml:space="preserve">ج </w:t>
      </w:r>
      <w:r>
        <w:rPr>
          <w:rtl w:val="true"/>
        </w:rPr>
        <w:t xml:space="preserve">- </w:t>
      </w:r>
      <w:r>
        <w:rPr>
          <w:rtl w:val="true"/>
        </w:rPr>
        <w:t>المالکیّة</w:t>
      </w:r>
      <w:bookmarkEnd w:id="104"/>
    </w:p>
    <w:p>
      <w:pPr>
        <w:pStyle w:val="BookText"/>
        <w:rPr/>
      </w:pPr>
      <w:r>
        <w:rPr>
          <w:rFonts w:ascii="IRNazanin" w:hAnsi="IRNazanin" w:eastAsia="IRNazanin"/>
          <w:color w:val="111111"/>
          <w:sz w:val="28"/>
          <w:sz w:val="28"/>
          <w:szCs w:val="28"/>
          <w:rtl w:val="true"/>
          <w:lang w:bidi="fa-IR"/>
        </w:rPr>
        <w:t>جاء فی عقد الجواهر الثمینة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شرطه التمییز فلا ینعقد بیع غیر الممیّز لصغر أو جنون أو إغماء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التکلیف فی الانعقاد، و لکن یقف اللزوم علیه</w:t>
      </w:r>
      <w:r>
        <w:rPr>
          <w:rFonts w:eastAsia="IRNazanin" w:cs="IRNazanin"/>
          <w:color w:val="111111"/>
          <w:sz w:val="28"/>
          <w:szCs w:val="28"/>
          <w:rtl w:val="true"/>
          <w:lang w:bidi="fa-IR"/>
        </w:rPr>
        <w:t>»</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حاشیة الدسوقی</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حاشیة الخرشی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عاقده التمییز، و هو بمعنی أنّه إذا کلّم بشیء من مقاصد العقلاء فهمه و أحسن الجواب عنه، فلا ینعقد من غیر ممیّز لصبا أو جنون</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مواهب الجلیل</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bookmarkStart w:id="105" w:name="pg11757_135440"/>
    </w:p>
    <w:p>
      <w:pPr>
        <w:pStyle w:val="Heading5"/>
        <w:numPr>
          <w:ilvl w:val="4"/>
          <w:numId w:val="1"/>
        </w:numPr>
        <w:rPr/>
      </w:pPr>
      <w:bookmarkStart w:id="106" w:name="__RefHeading___Toc9696591_73709187"/>
      <w:bookmarkStart w:id="107" w:name="_Toc39"/>
      <w:bookmarkEnd w:id="105"/>
      <w:bookmarkEnd w:id="106"/>
      <w:r>
        <w:rPr>
          <w:rtl w:val="true"/>
        </w:rPr>
        <w:t xml:space="preserve">د </w:t>
      </w:r>
      <w:r>
        <w:rPr>
          <w:rtl w:val="true"/>
        </w:rPr>
        <w:t xml:space="preserve">- </w:t>
      </w:r>
      <w:r>
        <w:rPr>
          <w:rtl w:val="true"/>
        </w:rPr>
        <w:t>الشافعیّة</w:t>
      </w:r>
      <w:bookmarkEnd w:id="107"/>
    </w:p>
    <w:p>
      <w:pPr>
        <w:pStyle w:val="BookText"/>
        <w:rPr/>
      </w:pPr>
      <w:r>
        <w:rPr>
          <w:rFonts w:ascii="IRNazanin" w:hAnsi="IRNazanin" w:eastAsia="IRNazanin"/>
          <w:color w:val="111111"/>
          <w:sz w:val="28"/>
          <w:sz w:val="28"/>
          <w:szCs w:val="28"/>
          <w:rtl w:val="true"/>
          <w:lang w:bidi="fa-IR"/>
        </w:rPr>
        <w:t>إنّهم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ینعقد بیع الصبیّ؛ لعدم أهلیّته، و شرط العاقد بائعاً أو مشتریاً أن یکون راشداً، و هو أن یتّصف بالبلوغ و صلاح الدِّین و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یصحّ البیع من کلّ بالغ عاقل مختار، فأمّا الصبیّ و المجنون فلا یصحّ بیعهما؛ لقوله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القلم عن ثلاثة عن الصبیّ حتّی یبلغ</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و لأنّه تصرّف فی المال فلم یفوّض إلی الصبیّ و المجنون کحفظ المال</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المجموع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الصبیّ فلا یصحّ بیعه و لا شراؤه و لا إجارته و سائر عقوده، لا لنفسه و لا لغیره، سواء باع بغبن أو بغبطة، و سواء کان ممیّزاً أو غیره، و سواء باع بإذن الولیّ أو بغیر إذنه</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البیان، و علّله بقوله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القلم عن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الصبیّ حتّی یبلغ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الحدیث، و لأنّ الصبیّ غیر مکلّف فلم یصحّ بیعه</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مغنی المحتاج</w:t>
      </w:r>
      <w:r>
        <w:rPr>
          <w:rStyle w:val="FootnoteAnchor"/>
          <w:rtl w:val="true"/>
        </w:rPr>
        <w:footnoteReference w:id="295"/>
      </w:r>
      <w:r>
        <w:rPr>
          <w:rFonts w:ascii="IRNazanin" w:hAnsi="IRNazanin" w:eastAsia="IRNazanin"/>
          <w:color w:val="111111"/>
          <w:sz w:val="28"/>
          <w:sz w:val="28"/>
          <w:szCs w:val="28"/>
          <w:rtl w:val="true"/>
          <w:lang w:bidi="fa-IR"/>
        </w:rPr>
        <w:t>و غیره</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فی المغنی لقول الشافعی بأنّ الصبیّ غیر المکلّف أشبه غیر الممیّز، و لأنّ العقل لا یمکن الوقوف منه علی الحدّ الذی یصلح به التصرّف؛ لخفائه و تزایده تزایداً خفیّ التدریج، فجعل الشارع له ضابطاً و هو البلوغ، فلا یثبت</w:t>
      </w:r>
    </w:p>
    <w:p>
      <w:pPr>
        <w:pStyle w:val="BookText"/>
        <w:rPr/>
      </w:pPr>
      <w:r>
        <w:rPr>
          <w:rFonts w:ascii="IRNazanin" w:hAnsi="IRNazanin" w:eastAsia="IRNazanin"/>
          <w:color w:val="111111"/>
          <w:sz w:val="28"/>
          <w:sz w:val="28"/>
          <w:szCs w:val="28"/>
          <w:rtl w:val="true"/>
          <w:lang w:bidi="fa-IR"/>
        </w:rPr>
        <w:t>له أحکام العقلاء قبل وجود المظنّة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بأنّه یعلم ذلک بآثاره و جریان تصرّفاته علی وفق المصلحة کما یعلم فی حقّ البائع، فإنّ معرفة رشده شرط دفع ماله إلیه و صحّة تصرّفه کذا ههنا</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bookmarkStart w:id="108" w:name="pg11757_135444"/>
    </w:p>
    <w:p>
      <w:pPr>
        <w:pStyle w:val="Heading3"/>
        <w:numPr>
          <w:ilvl w:val="2"/>
          <w:numId w:val="1"/>
        </w:numPr>
        <w:rPr/>
      </w:pPr>
      <w:bookmarkStart w:id="109" w:name="__RefHeading___Toc9696593_73709187"/>
      <w:bookmarkStart w:id="110" w:name="_Toc40"/>
      <w:bookmarkEnd w:id="108"/>
      <w:bookmarkEnd w:id="109"/>
      <w:r>
        <w:rPr>
          <w:rtl w:val="true"/>
        </w:rPr>
        <w:t>الفصل الثانی</w:t>
      </w:r>
      <w:r>
        <w:rPr>
          <w:rtl w:val="true"/>
        </w:rPr>
        <w:t xml:space="preserve">: </w:t>
      </w:r>
      <w:r>
        <w:rPr>
          <w:rtl w:val="true"/>
        </w:rPr>
        <w:t>رهن الصبیّ</w:t>
      </w:r>
      <w:bookmarkEnd w:id="110"/>
    </w:p>
    <w:p>
      <w:pPr>
        <w:pStyle w:val="Heading4"/>
        <w:numPr>
          <w:ilvl w:val="3"/>
          <w:numId w:val="1"/>
        </w:numPr>
        <w:rPr/>
      </w:pPr>
      <w:bookmarkStart w:id="111" w:name="__RefHeading___Toc9696595_73709187"/>
      <w:bookmarkStart w:id="112" w:name="_Toc41"/>
      <w:bookmarkEnd w:id="111"/>
      <w:r>
        <w:rPr>
          <w:rtl w:val="true"/>
        </w:rPr>
        <w:t>الرهن لغةً و اصطلاحاً</w:t>
      </w:r>
      <w:bookmarkEnd w:id="112"/>
    </w:p>
    <w:p>
      <w:pPr>
        <w:pStyle w:val="BookText"/>
        <w:rPr/>
      </w:pPr>
      <w:r>
        <w:rPr>
          <w:rFonts w:ascii="IRNazanin" w:hAnsi="IRNazanin" w:eastAsia="IRNazanin"/>
          <w:color w:val="111111"/>
          <w:sz w:val="28"/>
          <w:sz w:val="28"/>
          <w:szCs w:val="28"/>
          <w:rtl w:val="true"/>
          <w:lang w:bidi="fa-IR"/>
        </w:rPr>
        <w:t>الرهن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وضع عند الإنسان ممّا ینوب مناب ما اخذ منه</w:t>
      </w:r>
      <w:r>
        <w:rPr>
          <w:rStyle w:val="FootnoteAnchor"/>
          <w:rtl w:val="true"/>
        </w:rPr>
        <w:footnoteReference w:id="298"/>
      </w:r>
      <w:r>
        <w:rPr>
          <w:rFonts w:ascii="IRNazanin" w:hAnsi="IRNazanin" w:eastAsia="IRNazanin"/>
          <w:color w:val="111111"/>
          <w:sz w:val="28"/>
          <w:sz w:val="28"/>
          <w:szCs w:val="28"/>
          <w:rtl w:val="true"/>
          <w:lang w:bidi="fa-IR"/>
        </w:rPr>
        <w:t xml:space="preserve">، فهو وضع للثبات و الدوام، و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 راهنة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ثابتة دائمة</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راهن لک، أی دائم محبوس علیک</w:t>
      </w:r>
      <w:r>
        <w:rPr>
          <w:rStyle w:val="FootnoteAnchor"/>
          <w:rtl w:val="true"/>
        </w:rPr>
        <w:footnoteReference w:id="300"/>
      </w:r>
      <w:r>
        <w:rPr>
          <w:rFonts w:ascii="IRNazanin" w:hAnsi="IRNazanin" w:eastAsia="IRNazanin"/>
          <w:color w:val="111111"/>
          <w:sz w:val="28"/>
          <w:sz w:val="28"/>
          <w:szCs w:val="28"/>
          <w:rtl w:val="true"/>
          <w:lang w:bidi="fa-IR"/>
        </w:rPr>
        <w:t>، و فی المصباح المنیر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رهنته المتاع بالدَّین رهناً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حبسته به، فهو مرهون</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عرّفه الفقهاء بأنّه وثیقة لدین 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الرهن فی الشریعة فإنّه اسم لجعل المال وثیقة فی دین إذا تعذّر استیفاؤه ممّن علیه استوفی من ثمن الرهن</w:t>
      </w:r>
      <w:r>
        <w:rPr>
          <w:rFonts w:eastAsia="IRNazanin" w:cs="IRNazanin"/>
          <w:color w:val="111111"/>
          <w:sz w:val="28"/>
          <w:szCs w:val="28"/>
          <w:rtl w:val="true"/>
          <w:lang w:bidi="fa-IR"/>
        </w:rPr>
        <w:t>»</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الغنیة</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أجمعت الاُمّة کافّة علی جواز الرهن فی الجملة، و لیس واجباً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عقد لازم من طرف الراهن جائز من جهة المرتهن، فلیس للراهن فسخ الرهن و یجوز للمرتهن فسخه</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یشترط فی الراهن و المرتهن کمال العقل بالبلوغ و الرشد و جواز التصرّف برفع الحجر عنهما فی التصرّفات المالیّة کما فی سائر العقود، فلا یصحّ رهن الصبیّ و لو کان ممیّزاً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الصبیّ تارةً یکون راهناً، و أُخری مرتهناً، و علی کلا التقدیرین تارةً یکون فی ماله، و أُخری فی مال الغیر بالإذن أو الوکالة من الولیّ أو صاحب المال أو بدونهما، کما أنّه قد یکون وکیلاً فی إجراء العقد فقط، و فی کلّ الفروض یجری ما تقدّم فی بیع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یشترط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الراهن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العقل، و جواز التصرّف</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 و کذا فی المرتهن</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فی المتعاقدین التکلیف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رهن الصبیّ و لا المجنون المطبق، و لا من یعتوره حالة الجنون إیجاباً و قبولاً</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فیه شروط العقد، من البلوغ و العقل و عدم الحجر</w:t>
      </w:r>
      <w:r>
        <w:rPr>
          <w:rFonts w:eastAsia="IRNazanin" w:cs="IRNazanin"/>
          <w:color w:val="111111"/>
          <w:sz w:val="28"/>
          <w:szCs w:val="28"/>
          <w:rtl w:val="true"/>
          <w:lang w:bidi="fa-IR"/>
        </w:rPr>
        <w:t>»</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فی السرائر</w:t>
      </w:r>
      <w:r>
        <w:rPr>
          <w:rStyle w:val="FootnoteAnchor"/>
          <w:rtl w:val="true"/>
        </w:rPr>
        <w:footnoteReference w:id="309"/>
      </w:r>
      <w:r>
        <w:rPr>
          <w:rFonts w:ascii="IRNazanin" w:hAnsi="IRNazanin" w:eastAsia="IRNazanin"/>
          <w:color w:val="111111"/>
          <w:sz w:val="28"/>
          <w:sz w:val="28"/>
          <w:szCs w:val="28"/>
          <w:rtl w:val="true"/>
          <w:lang w:bidi="fa-IR"/>
        </w:rPr>
        <w:t>و إرشاد الأذهان</w:t>
      </w:r>
      <w:r>
        <w:rPr>
          <w:rStyle w:val="FootnoteAnchor"/>
          <w:rtl w:val="true"/>
        </w:rPr>
        <w:footnoteReference w:id="310"/>
      </w:r>
      <w:r>
        <w:rPr>
          <w:rFonts w:ascii="IRNazanin" w:hAnsi="IRNazanin" w:eastAsia="IRNazanin"/>
          <w:color w:val="111111"/>
          <w:sz w:val="28"/>
          <w:sz w:val="28"/>
          <w:szCs w:val="28"/>
          <w:rtl w:val="true"/>
          <w:lang w:bidi="fa-IR"/>
        </w:rPr>
        <w:t>و إیضاح الفوائد</w:t>
      </w:r>
      <w:r>
        <w:rPr>
          <w:rStyle w:val="FootnoteAnchor"/>
          <w:rtl w:val="true"/>
        </w:rPr>
        <w:footnoteReference w:id="311"/>
      </w:r>
      <w:r>
        <w:rPr>
          <w:rFonts w:ascii="IRNazanin" w:hAnsi="IRNazanin" w:eastAsia="IRNazanin"/>
          <w:color w:val="111111"/>
          <w:sz w:val="28"/>
          <w:sz w:val="28"/>
          <w:szCs w:val="28"/>
          <w:rtl w:val="true"/>
          <w:lang w:bidi="fa-IR"/>
        </w:rPr>
        <w:t>و مجمع</w:t>
      </w:r>
      <w:bookmarkStart w:id="113" w:name="pg11757_135446"/>
    </w:p>
    <w:p>
      <w:pPr>
        <w:pStyle w:val="BookText"/>
        <w:rPr/>
      </w:pPr>
      <w:bookmarkEnd w:id="113"/>
      <w:r>
        <w:rPr>
          <w:rFonts w:ascii="Amiri" w:hAnsi="Amiri" w:eastAsia="Amiri" w:cs="Amiri"/>
          <w:color w:val="111111"/>
          <w:sz w:val="28"/>
          <w:sz w:val="28"/>
          <w:szCs w:val="28"/>
          <w:rtl w:val="true"/>
          <w:lang w:bidi="ar-SA"/>
        </w:rPr>
        <w:t>الفائدة</w:t>
      </w:r>
      <w:r>
        <w:rPr>
          <w:rStyle w:val="FootnoteAnchor"/>
          <w:rtl w:val="true"/>
        </w:rPr>
        <w:footnoteReference w:id="312"/>
      </w:r>
      <w:r>
        <w:rPr>
          <w:rFonts w:ascii="IRNazanin" w:hAnsi="IRNazanin" w:eastAsia="IRNazanin"/>
          <w:color w:val="111111"/>
          <w:sz w:val="28"/>
          <w:sz w:val="28"/>
          <w:szCs w:val="28"/>
          <w:rtl w:val="true"/>
          <w:lang w:bidi="fa-IR"/>
        </w:rPr>
        <w:t>و المسالک</w:t>
      </w:r>
      <w:r>
        <w:rPr>
          <w:rStyle w:val="FootnoteAnchor"/>
          <w:rtl w:val="true"/>
        </w:rPr>
        <w:footnoteReference w:id="313"/>
      </w:r>
      <w:r>
        <w:rPr>
          <w:rFonts w:ascii="IRNazanin" w:hAnsi="IRNazanin" w:eastAsia="IRNazanin"/>
          <w:color w:val="111111"/>
          <w:sz w:val="28"/>
          <w:sz w:val="28"/>
          <w:szCs w:val="28"/>
          <w:rtl w:val="true"/>
          <w:lang w:bidi="fa-IR"/>
        </w:rPr>
        <w:t>و الریاض</w:t>
      </w:r>
      <w:r>
        <w:rPr>
          <w:rStyle w:val="FootnoteAnchor"/>
          <w:rtl w:val="true"/>
        </w:rPr>
        <w:footnoteReference w:id="314"/>
      </w:r>
      <w:r>
        <w:rPr>
          <w:rFonts w:ascii="IRNazanin" w:hAnsi="IRNazanin" w:eastAsia="IRNazanin"/>
          <w:color w:val="111111"/>
          <w:sz w:val="28"/>
          <w:sz w:val="28"/>
          <w:szCs w:val="28"/>
          <w:rtl w:val="true"/>
          <w:lang w:bidi="fa-IR"/>
        </w:rPr>
        <w:t>و غیرها</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یشترط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الراهن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صحّة الرهن له و لغیره کباقی 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العقل، فلا یصحّ من الصبیّ و لا المجنون و لو مع الإجازة؛ لسلب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یشترط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المرتهن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یشترط فی الراهن</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جامع المدارک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اشتراط ما ذکر من کمال العقل و جواز التصرّف ذُکِرَ فی کتاب البیع</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فی الراهن و المرتهن البلوغ و العقل و القصد</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من اختار فی بیع الصبیّ عدم الصحّة مطلقاً أو یقول بالصحّة مع إذن الولیّ أو إجازته یقول به کذلک فی باب الرهن، و ما هو الدلیل فی باب البیع یکون دلیلاً هنا، فما اخترناه من أنّه یصحّ بیع الصبیّ بإذن الولیّ أو إجازته مع رعایة مصلحته یکون حکم رهنه أیضاً کذلک، فیصحّ مع إذن الولیّ، و الدلیل هو الدلیل، و لم نعثر علی دلیل له بخصوصه</w:t>
      </w:r>
      <w:r>
        <w:rPr>
          <w:rFonts w:eastAsia="IRNazanin" w:cs="IRNazanin"/>
          <w:color w:val="111111"/>
          <w:sz w:val="28"/>
          <w:szCs w:val="28"/>
          <w:rtl w:val="true"/>
          <w:lang w:bidi="fa-IR"/>
        </w:rPr>
        <w:t>.</w:t>
      </w:r>
    </w:p>
    <w:p>
      <w:pPr>
        <w:pStyle w:val="Heading4"/>
        <w:numPr>
          <w:ilvl w:val="3"/>
          <w:numId w:val="1"/>
        </w:numPr>
        <w:rPr/>
      </w:pPr>
      <w:bookmarkStart w:id="114" w:name="__RefHeading___Toc9696597_73709187"/>
      <w:bookmarkStart w:id="115" w:name="_Toc42"/>
      <w:bookmarkEnd w:id="114"/>
      <w:r>
        <w:rPr>
          <w:rtl w:val="true"/>
        </w:rPr>
        <w:t>رهن الصبیّ عند أهل السنّة</w:t>
      </w:r>
      <w:bookmarkEnd w:id="11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یستفاد من کلام جمهور فقهائهم إلاّ الشافعیّة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رهن الصبیّ الممیّز ینعقد</w:t>
      </w:r>
    </w:p>
    <w:p>
      <w:pPr>
        <w:pStyle w:val="BookText"/>
        <w:rPr/>
      </w:pPr>
      <w:r>
        <w:rPr>
          <w:rFonts w:ascii="IRNazanin" w:hAnsi="IRNazanin" w:eastAsia="IRNazanin"/>
          <w:color w:val="111111"/>
          <w:sz w:val="28"/>
          <w:sz w:val="28"/>
          <w:szCs w:val="28"/>
          <w:rtl w:val="true"/>
          <w:lang w:bidi="fa-IR"/>
        </w:rPr>
        <w:t>و لکنّه لا ینفذ إلاّ إذا کان بإذن الولیّ فی هذا الشیء الذی رهنه بخصوصه، جاء فی المغنی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الراهن الذی یرهن و یقبض یکون جائز التصرّف فی ماله، و هو الحرّ المکلّف الرشید، و لا یکون محجوراً علیه لصغر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نوع تصرّف فی المال، فلم یصحّ من المحجور علیه من غیر إذن کالبیع</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شاس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یصحّ الرهن ممّن یصحّ منه البیع</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البدائع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الذی یرجع إلی الراهن و المرتهن فعقلهما حتّی لا یجوز الرهن و الارتهان من المجنون و الصبیّ الذی لایعقل، فأمّا البلوغ فلیس بشرط و کذا الحریّة، حتّی یجوز من الصبیّ المأذون و العبد المأذون؛ لأنّ ذلک من توابع التجارة، فیملکه من یملک التجارة؛ و لأنّ الرهن و الارتهان من باب إیفاء الدَّین و استیفائه و هما یملکان ذلک</w:t>
      </w:r>
      <w:r>
        <w:rPr>
          <w:rFonts w:eastAsia="IRNazanin" w:cs="IRNazanin"/>
          <w:color w:val="111111"/>
          <w:sz w:val="28"/>
          <w:szCs w:val="28"/>
          <w:rtl w:val="true"/>
          <w:lang w:bidi="fa-IR"/>
        </w:rPr>
        <w:t>»</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ردّ المحتار</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الشافعیّة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یصحّ الرهن إلّا من جائز التصرّف فی المال لأنّه عقد علی المال</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النووی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یشترط أهلیّة الطرفین، فلا ینعقد الرهن علی الصبیّ، و لا المجنون، لا لأنفسهما و لا لغیرهما، سواء کان الصبیّ ممیّزاً أو غیر ممیّز، و من جاز بیعه جاز رهنه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العاقدان یعتبر فیهما التکلیف</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bookmarkStart w:id="116" w:name="pg11757_135450"/>
    </w:p>
    <w:p>
      <w:pPr>
        <w:pStyle w:val="Heading3"/>
        <w:numPr>
          <w:ilvl w:val="2"/>
          <w:numId w:val="1"/>
        </w:numPr>
        <w:rPr/>
      </w:pPr>
      <w:bookmarkStart w:id="117" w:name="__RefHeading___Toc9696599_73709187"/>
      <w:bookmarkStart w:id="118" w:name="_Toc43"/>
      <w:bookmarkEnd w:id="116"/>
      <w:bookmarkEnd w:id="117"/>
      <w:r>
        <w:rPr>
          <w:rtl w:val="true"/>
        </w:rPr>
        <w:t>الفصل الثالث</w:t>
      </w:r>
      <w:r>
        <w:rPr>
          <w:rtl w:val="true"/>
        </w:rPr>
        <w:t xml:space="preserve">: </w:t>
      </w:r>
      <w:r>
        <w:rPr>
          <w:rtl w:val="true"/>
        </w:rPr>
        <w:t>محجوریّة الصبیّ</w:t>
      </w:r>
      <w:bookmarkEnd w:id="118"/>
    </w:p>
    <w:p>
      <w:pPr>
        <w:pStyle w:val="Heading4"/>
        <w:numPr>
          <w:ilvl w:val="3"/>
          <w:numId w:val="1"/>
        </w:numPr>
        <w:rPr/>
      </w:pPr>
      <w:bookmarkStart w:id="119" w:name="__RefHeading___Toc9696601_73709187"/>
      <w:bookmarkStart w:id="120" w:name="_Toc44"/>
      <w:bookmarkEnd w:id="119"/>
      <w:r>
        <w:rPr>
          <w:rtl w:val="true"/>
        </w:rPr>
        <w:t>الحجر لغةً و اصطلاحاً</w:t>
      </w:r>
      <w:bookmarkEnd w:id="120"/>
    </w:p>
    <w:p>
      <w:pPr>
        <w:pStyle w:val="BookText"/>
        <w:rPr/>
      </w:pPr>
      <w:r>
        <w:rPr>
          <w:rFonts w:ascii="IRNazanin" w:hAnsi="IRNazanin" w:eastAsia="IRNazanin"/>
          <w:color w:val="111111"/>
          <w:sz w:val="28"/>
          <w:sz w:val="28"/>
          <w:szCs w:val="28"/>
          <w:rtl w:val="true"/>
          <w:lang w:bidi="fa-IR"/>
        </w:rPr>
        <w:t>الحجر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ففی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التصرّف،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القاضی علی الصغیر و السفیه، إذا منعهما من التصرّف فی مالهما</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 القاضی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منعه عن التصرّف</w:t>
      </w:r>
      <w:r>
        <w:rPr>
          <w:rFonts w:eastAsia="IRNazanin" w:cs="IRNazanin"/>
          <w:color w:val="111111"/>
          <w:sz w:val="28"/>
          <w:szCs w:val="28"/>
          <w:rtl w:val="true"/>
          <w:lang w:bidi="fa-IR"/>
        </w:rPr>
        <w:t>»</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غیرهما</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فی الاصطلاح فقال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المحجور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الممنوع من التصرّف فی ماله</w:t>
      </w:r>
      <w:r>
        <w:rPr>
          <w:rFonts w:eastAsia="IRNazanin" w:cs="IRNazanin"/>
          <w:color w:val="111111"/>
          <w:sz w:val="28"/>
          <w:szCs w:val="28"/>
          <w:rtl w:val="true"/>
          <w:lang w:bidi="fa-IR"/>
        </w:rPr>
        <w:t>»</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غیره</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کون إنسان ممنوعاً عن التصرّف</w:t>
      </w:r>
      <w:bookmarkStart w:id="121" w:name="pg11757_135451"/>
    </w:p>
    <w:p>
      <w:pPr>
        <w:pStyle w:val="BookText"/>
        <w:rPr/>
      </w:pPr>
      <w:bookmarkEnd w:id="121"/>
      <w:r>
        <w:rPr>
          <w:rFonts w:ascii="IRNazanin" w:hAnsi="IRNazanin" w:eastAsia="IRNazanin"/>
          <w:color w:val="111111"/>
          <w:sz w:val="28"/>
          <w:sz w:val="28"/>
          <w:szCs w:val="28"/>
          <w:rtl w:val="true"/>
          <w:lang w:bidi="fa-IR"/>
        </w:rPr>
        <w:t>فی ماله أو ما یتعلّق به، کالذمّة و الشراء نسیئة بسبب من الأسباب</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 w:name="__RefHeading___Toc9696603_73709187"/>
      <w:bookmarkStart w:id="123" w:name="_Toc45"/>
      <w:bookmarkEnd w:id="122"/>
      <w:r>
        <w:rPr>
          <w:rtl w:val="true"/>
        </w:rPr>
        <w:t>و الحجر علی ضربین</w:t>
      </w:r>
      <w:r>
        <w:rPr>
          <w:rtl w:val="true"/>
        </w:rPr>
        <w:t>:</w:t>
      </w:r>
      <w:bookmarkEnd w:id="123"/>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المحجور علیه لحقّ الغیر کالمفلّس لحقّ الغرماء، و المریض محجور علیه فی الوصیّة بما زاد علی الثلث من الترکة لحقّ ورثته، و العبد المکاتب محجور علیه فیما فی یده لحقّ 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محجور علیه لحقّ نفسه و هو أیضاً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الصبیّ و المجنون و السفیه</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صرّح کثیر من الفقهاء أنّ موجبات الحجر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الصغر و الجنون و الرقّ و المرض و الفلس و السفه</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 بعضهم بالأسباب</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الحجر إمّا عامّ فی سائر التصرّفات أو خاص ببعضها، و الأوّل إمّا أن یکون ذا غایة یزول سببه فیها أو لا، و الأوّل الصغر، و الثانی 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الخاصّ إمّا أن یکون الحجر فیه مقصوراً علی مصلحة المحجور أو لا، و الأوّل السفیه، و الثانی إمّا أن یکون موقوفاً علی حکم الحاکم أو لا، و الأوّل الفلس، و الثانی المرض</w:t>
      </w:r>
      <w:r>
        <w:rPr>
          <w:rFonts w:eastAsia="IRNazanin" w:cs="IRNazanin"/>
          <w:color w:val="111111"/>
          <w:sz w:val="28"/>
          <w:szCs w:val="28"/>
          <w:rtl w:val="true"/>
          <w:lang w:bidi="fa-IR"/>
        </w:rPr>
        <w:t>»</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الجواهر</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المقصود فی المقام البحث فی حجر الصبیّ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و لا 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ثبت الإجماع القطعی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الصبیّ</w:t>
      </w:r>
    </w:p>
    <w:p>
      <w:pPr>
        <w:pStyle w:val="BookText"/>
        <w:rPr/>
      </w:pPr>
      <w:r>
        <w:rPr>
          <w:rFonts w:ascii="IRNazanin" w:hAnsi="IRNazanin" w:eastAsia="IRNazanin"/>
          <w:color w:val="111111"/>
          <w:sz w:val="28"/>
          <w:sz w:val="28"/>
          <w:szCs w:val="28"/>
          <w:rtl w:val="true"/>
          <w:lang w:bidi="fa-IR"/>
        </w:rPr>
        <w:t>محجور علیه فی الجملة، بمعنی أنّه ممنوع من التصرّف فی أمواله، و قد استثنیت بعض الموارد کالبیع مع إذن ولیّه و الوصیّة فی وجوه البرّ و غیرهما ممّا تقدّم</w:t>
      </w:r>
      <w:r>
        <w:rPr>
          <w:rStyle w:val="FootnoteAnchor"/>
          <w:rtl w:val="true"/>
        </w:rPr>
        <w:footnoteReference w:id="336"/>
      </w:r>
      <w:r>
        <w:rPr>
          <w:rFonts w:ascii="IRNazanin" w:hAnsi="IRNazanin" w:eastAsia="IRNazanin"/>
          <w:color w:val="111111"/>
          <w:sz w:val="28"/>
          <w:sz w:val="28"/>
          <w:szCs w:val="28"/>
          <w:rtl w:val="true"/>
          <w:lang w:bidi="fa-IR"/>
        </w:rPr>
        <w:t>، و سیأتی فی الفصول القادمة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الحکم المذکور الکتاب و النصوص المعتبرة، 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تدلّ علیه عدّة 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ابْتَلُوا الْیَتامی حَتّی إِذا بَلَغُوا النِّکاحَ فَإِنْ آنَسْتُمْ مِنْهُمْ رُشْداً فَادْفَعُوا إِلَیْهِمْ أَمْوالَهُمْ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الشیخ فی التبیان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خطاب لأولیاء الیتامی، أمر اللّه تعالی بأن یختبروا عقول الیتامی فی أفهامهم، و صلاحهم فی أدیانهم، و إصلاحهم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بَلَغُوا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یبلغوا الحدّ الذی یقدرون علی مجامعة النساء و ینزل</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مجمع البیان، و زاد بأنّ هذا قول عدّة من المفسّرین</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و امتحنوا؛ لأنّ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الاختبار فی اللغة، و 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أبوه قبل بلوغه، فأمّا من مات أبوه بعد بلوغه فلا یکون یتیماً؛ لما رواه علیّ علیه السلام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یُتم بعد الحلم</w:t>
      </w:r>
      <w:r>
        <w:rPr>
          <w:rFonts w:eastAsia="IRNazanin" w:cs="IRNazanin"/>
          <w:color w:val="111111"/>
          <w:sz w:val="28"/>
          <w:szCs w:val="28"/>
          <w:rtl w:val="true"/>
          <w:lang w:bidi="fa-IR"/>
        </w:rPr>
        <w:t>»</w:t>
      </w:r>
      <w:r>
        <w:rPr>
          <w:rStyle w:val="FootnoteAnchor"/>
          <w:rtl w:val="true"/>
        </w:rPr>
        <w:footnoteReference w:id="339"/>
      </w:r>
      <w:r>
        <w:rPr>
          <w:rFonts w:ascii="Amiri" w:hAnsi="Amiri" w:eastAsia="Amiri" w:cs="Amiri"/>
          <w:color w:val="111111"/>
          <w:sz w:val="28"/>
          <w:sz w:val="28"/>
          <w:szCs w:val="28"/>
          <w:rtl w:val="true"/>
          <w:lang w:bidi="ar-SA"/>
        </w:rPr>
        <w:t>، و کذلک إذا ماتت امّه قبل بلوغه لا یکون یتیماً حقیقةً، 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آنَسْتُمْ مِنْهُمْ</w:t>
      </w:r>
    </w:p>
    <w:p>
      <w:pPr>
        <w:pStyle w:val="BookText"/>
        <w:rPr/>
      </w:pPr>
      <w:r>
        <w:rPr>
          <w:rFonts w:ascii="IRNazanin" w:hAnsi="IRNazanin" w:eastAsia="IRNazanin"/>
          <w:color w:val="111111"/>
          <w:sz w:val="28"/>
          <w:sz w:val="28"/>
          <w:szCs w:val="28"/>
          <w:rtl w:val="true"/>
          <w:lang w:bidi="fa-IR"/>
        </w:rPr>
        <w:t>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علمتم، فوضع الإیناس موضع العلم، و هو إجماع لا خلاف فیه، إذا ثبت هذا فالصبیّ محجور علیه ما لم یبلغ</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کنز العرفان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المعانی اللغویّة للآیة و إعرابها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فهنا 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 الأمر بابتلائهم علی وجوب الحجر علیهم فی التصرّفات، و إلّا لانتفت فائدة الابتلاء الذی یترتّب علیه وجوب دفع الأموال إلیهم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الآیة ظاهرة فی تقدّم الابتلاء علی البلوغ، و فائدته عدم الاحتیاج إلی اختبار آخر، بل یسلّم إلیه ماله إن علم رشده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أشار إلی غایة الحجر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بَلَغُوا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حال البلوغ، أی أوان یصلح له أن ینکح بأن یحتلم أو یبلغ خمسة عشر سنة عندنا</w:t>
      </w:r>
      <w:r>
        <w:rPr>
          <w:rFonts w:eastAsia="IRNazanin" w:cs="IRNazanin"/>
          <w:color w:val="111111"/>
          <w:sz w:val="28"/>
          <w:szCs w:val="28"/>
          <w:rtl w:val="true"/>
          <w:lang w:bidi="fa-IR"/>
        </w:rPr>
        <w:t>»</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 هذا فی غیرها</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دلالة الآیة علی ذلک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متعلّق الابتلاء الیتامی، و المراد بالیتیم لغةً و شرعاً من لا أب له، و هو دون البلوغ، فالبالغ لیس بیتیم بطریق الحقیقة، و إطلاق اللفظ محمول علی الحقیقة إذا لم یمنع منها مانع، و هو منتف هنا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بَلَغُوا النِّکاحَ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غایة اختبارهم البلوغ، فدلّ علی أنّ الاختبار قبله؛ و لأنّ تأخیر الاختبار إلی البلوغ یؤدّی إلی</w:t>
      </w:r>
    </w:p>
    <w:p>
      <w:pPr>
        <w:pStyle w:val="BookText"/>
        <w:rPr/>
      </w:pPr>
      <w:r>
        <w:rPr>
          <w:rFonts w:ascii="IRNazanin" w:hAnsi="IRNazanin" w:eastAsia="IRNazanin"/>
          <w:color w:val="111111"/>
          <w:sz w:val="28"/>
          <w:sz w:val="28"/>
          <w:szCs w:val="28"/>
          <w:rtl w:val="true"/>
          <w:lang w:bidi="fa-IR"/>
        </w:rPr>
        <w:t>الإضرار به بسبب الحجر</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w:t>
      </w:r>
      <w:r>
        <w:rPr>
          <w:rStyle w:val="FootnoteAnchor"/>
          <w:rtl w:val="true"/>
        </w:rPr>
        <w:footnoteReference w:id="344"/>
      </w:r>
      <w:r>
        <w:rPr>
          <w:rFonts w:ascii="IRNazanin" w:hAnsi="IRNazanin" w:eastAsia="IRNazanin"/>
          <w:color w:val="111111"/>
          <w:sz w:val="28"/>
          <w:sz w:val="28"/>
          <w:szCs w:val="28"/>
          <w:rtl w:val="true"/>
          <w:lang w:bidi="fa-IR"/>
        </w:rPr>
        <w:t xml:space="preserve">الآیة الکریمة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جعل البلوغ غایة الابتلاء و غیر ذلک من القرائن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جواز الدفع مشروط بشرطین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 الرشد، فمفهومها عدم جواز الدفع مع السفاهة أو الصباوة، و لیس ذلک إلّا من جهة حجره فی تصرّفاته، بل المراد من عدم الدفع ذلک، فمجمل الکلام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الآیة علی حجر الصغیر عن التصرّف فی أمواله ممّا لا ینکر، حیث جعل اللّه سبحانه الغایة فی دفع المال إلی الصبیّ بلوغه و رشده، و من الواضح عدم جواز دفع أمواله إلیه قبل بلوغه حتّی لو کان رشیداً، و هو المطلوب</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Style w:val="FootnoteAnchor"/>
          <w:rtl w:val="true"/>
        </w:rPr>
        <w:footnoteReference w:id="345"/>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تُؤْتُوا السُّفَهاءَ أَمْوالَکُمُ الَّتِی جَعَلَ اللّهُ لَکُمْ قِیاماً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استدلّ الشیخ قدس سره بعموم الآیة علی حجر الصغیر حیث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الأولی حمل الآیة علی عمومها فی المنع من إعطاء المال السفیه، سواء کان رجلاً أو امرأة، بالغاً أو غیر بالغ، و السفیه هو الذی یستحقّ الحجر علیه لتضییعه ماله، و وضعه فی غیر موضعه؛ لأنّ اللّه تعالی قال عقیب هذه الأوصاف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ابْتَلُوا الْیَتامی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یدخل فی الیتامی الذکور و الإناث،</w:t>
      </w:r>
    </w:p>
    <w:p>
      <w:pPr>
        <w:pStyle w:val="BookText"/>
        <w:rPr/>
      </w:pPr>
      <w:r>
        <w:rPr>
          <w:rFonts w:ascii="IRNazanin" w:hAnsi="IRNazanin" w:eastAsia="IRNazanin"/>
          <w:color w:val="111111"/>
          <w:sz w:val="28"/>
          <w:sz w:val="28"/>
          <w:szCs w:val="28"/>
          <w:rtl w:val="true"/>
          <w:lang w:bidi="fa-IR"/>
        </w:rPr>
        <w:t>فوجب حملها علی عمومها</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مجمع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 عامّ فی کلّ سفیه من صبیّ أو مجنون أو محجور علیه للتبذیر</w:t>
      </w:r>
      <w:r>
        <w:rPr>
          <w:rFonts w:eastAsia="IRNazanin" w:cs="IRNazanin"/>
          <w:color w:val="111111"/>
          <w:sz w:val="28"/>
          <w:szCs w:val="28"/>
          <w:rtl w:val="true"/>
          <w:lang w:bidi="fa-IR"/>
        </w:rPr>
        <w:t>»</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کنز العرفان</w:t>
      </w:r>
      <w:r>
        <w:rPr>
          <w:rStyle w:val="FootnoteAnchor"/>
          <w:rtl w:val="true"/>
        </w:rPr>
        <w:footnoteReference w:id="348"/>
      </w:r>
      <w:r>
        <w:rPr>
          <w:rFonts w:ascii="IRNazanin" w:hAnsi="IRNazanin" w:eastAsia="IRNazanin"/>
          <w:color w:val="111111"/>
          <w:sz w:val="28"/>
          <w:sz w:val="28"/>
          <w:szCs w:val="28"/>
          <w:rtl w:val="true"/>
          <w:lang w:bidi="fa-IR"/>
        </w:rPr>
        <w:t>و زبدة البیان</w:t>
      </w:r>
      <w:r>
        <w:rPr>
          <w:rStyle w:val="FootnoteAnchor"/>
          <w:rtl w:val="true"/>
        </w:rPr>
        <w:footnoteReference w:id="349"/>
      </w:r>
      <w:r>
        <w:rPr>
          <w:rFonts w:ascii="IRNazanin" w:hAnsi="IRNazanin" w:eastAsia="IRNazanin"/>
          <w:color w:val="111111"/>
          <w:sz w:val="28"/>
          <w:sz w:val="28"/>
          <w:szCs w:val="28"/>
          <w:rtl w:val="true"/>
          <w:lang w:bidi="fa-IR"/>
        </w:rPr>
        <w:t>و کنز الدقائق</w:t>
      </w:r>
      <w:r>
        <w:rPr>
          <w:rStyle w:val="FootnoteAnchor"/>
          <w:rtl w:val="true"/>
        </w:rPr>
        <w:footnoteReference w:id="350"/>
      </w:r>
      <w:r>
        <w:rPr>
          <w:rFonts w:ascii="IRNazanin" w:hAnsi="IRNazanin" w:eastAsia="IRNazanin"/>
          <w:color w:val="111111"/>
          <w:sz w:val="28"/>
          <w:sz w:val="28"/>
          <w:szCs w:val="28"/>
          <w:rtl w:val="true"/>
          <w:lang w:bidi="fa-IR"/>
        </w:rPr>
        <w:t>و المیزان</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أضاف اللّه تعالی الأموال إلی الأولیاء و هی لغیرهم؛ لأنّهم القوّام علیها و المدبّرون لها، و قد یضاف الشیء إلی غیره بأدنی ملابسة</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 xml:space="preserve">، یعنی أنّ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أموال الیتامی التی فی أیدی الأوصیاء، و الإضافة إلیهم لأدنی ملابسة</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یدلّ علی أنّ المراد أموالهم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ارْزُقُوهُمْ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الضمیر راجع إلی السفهاء، فلو لم یکن المراد أموالهم یلزم إیجاب أرزاق السفهاء علی غیرهم مطلقاً، أو علی الأولیاء من غیر أموال السفهاء و لا قائل به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أیضاً یدلّ علیه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قُولُوا لَهُمْ قَوْلاً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أنّ الخطاب للأولیاء، أو لمن بیده مال السفهاء؛ لأنّه فسّر بأن یقولوا لهم قولاً جمیلاً معروفاً، شرعاً و عقلاً، بأن یعدهم وعداً حسناً،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صلحتم و رشدتم سلّمنا إلیکم أموالکم، کما فی زبدة البیان</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فالآیة تدلّ علی عدم جواز تسلیم مال السفهاء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بیده 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جعل سبحانه مناط المنع السفه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ارید به أموال السفهاء أو الأعمّ من أموالهم و أموال الأولیاء، و هذا هو المقصود من محجوریّة الصبیّ، و یؤیّده بعض الأخبار الواردة فی معنی الآیة،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تفسیر العیاشی عن علیّ بن حمزة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تُؤْتُوا السُّفَهاءَ أَمْوالَکُمُ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الیتامی لا تعطوهم أموالهم حتّی تعرفوا منهم 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یکون أموالهم أموالنا؟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أنت الوارث لهم</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فالمستفاد من الآیة أنّ أولیاء السفهاء ینوبون عنهم فی التصرّف فی أموالهم، وهم ممنوعون عنه، فظهورها فی حجر الصبیّ و غیره من السفهاء ممّا لا ینکر و لا یخفی عند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النصوص فهی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w:t>
      </w:r>
      <w:r>
        <w:rPr>
          <w:rStyle w:val="FootnoteAnchor"/>
          <w:rtl w:val="true"/>
        </w:rPr>
        <w:footnoteReference w:id="356"/>
      </w:r>
      <w:r>
        <w:rPr>
          <w:rFonts w:ascii="IRNazanin" w:hAnsi="IRNazanin" w:eastAsia="IRNazanin"/>
          <w:color w:val="111111"/>
          <w:sz w:val="28"/>
          <w:sz w:val="28"/>
          <w:szCs w:val="28"/>
          <w:rtl w:val="true"/>
          <w:lang w:bidi="fa-IR"/>
        </w:rPr>
        <w:t>هشام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انقطاع یُتم الیتیم بالاحتلام، و هو أشدّه، و إن احتلم و لم یؤنس منه رشده و کان سفیهاً أو ضعیفاً فلیمسک عنه ولیّه ماله</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 xml:space="preserve">، فإنّها تدلّ علی أنّ الیتیم لو لم یبلغ و لم یؤنس منه الرشد، یمسک عنه ولیّه ماله، و یکون ممنوعاً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محجوراً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التصرّف فی ماله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معتبرة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أبی و أنا حاضر عن الیتیم متی یجوز أمره؟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یبلغ أشدّه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أشدّه؟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الغلام ابن ثمان عشرة سنة أو أقلّ أو أکثر و لم یحتلم؟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و کتب علیه الشیء جاز أمره، إلاّ أن یکون سفیهاً أو ضعیفاً</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 و دلالتها کسابقتها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الروایة رواها صاحب الوسائل قدس سره عن أبی الحسین الخادم بیّاع اللؤلؤ عن أبی عبد اللّه علیه السلام من دون ذکر ابن سنان، لکنّه من سهو القلم أو السقط فی الاستنساخ، و الصحیح ما أثبتناه، و فی الخصال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حمران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الغلام لا یجوز أمره فی الشراء و البیع، و لا یخرج من الیُتم حتّی یبلغ خمس عشرة سنة، أو یحتلم، أو یشعر أو ینبت قبل ذلک</w:t>
      </w:r>
      <w:r>
        <w:rPr>
          <w:rFonts w:eastAsia="IRNazanin" w:cs="IRNazanin"/>
          <w:color w:val="111111"/>
          <w:sz w:val="28"/>
          <w:szCs w:val="28"/>
          <w:rtl w:val="true"/>
          <w:lang w:bidi="fa-IR"/>
        </w:rPr>
        <w:t>»</w:t>
      </w:r>
      <w:r>
        <w:rPr>
          <w:rStyle w:val="FootnoteAnchor"/>
          <w:rtl w:val="true"/>
        </w:rPr>
        <w:footnoteReference w:id="359"/>
      </w:r>
      <w:r>
        <w:rPr>
          <w:rFonts w:ascii="Amiri" w:hAnsi="Amiri" w:eastAsia="Amiri" w:cs="Amiri"/>
          <w:color w:val="111111"/>
          <w:sz w:val="28"/>
          <w:sz w:val="28"/>
          <w:szCs w:val="28"/>
          <w:rtl w:val="true"/>
          <w:lang w:bidi="ar-SA"/>
        </w:rPr>
        <w:t>، و مثله مرسلة الصدوق</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الروایات تدلّ بإطلاقها علی ممنوعیّة الصغیر من التصرّف فی أمواله و عدم جواز أمره حتّی یبلغ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محجور علیه بالنصّ و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ممیّزاً أو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التصرّفات، إلّا ما یستثنی</w:t>
      </w:r>
      <w:r>
        <w:rPr>
          <w:rFonts w:eastAsia="IRNazanin" w:cs="IRNazanin"/>
          <w:color w:val="111111"/>
          <w:sz w:val="28"/>
          <w:szCs w:val="28"/>
          <w:rtl w:val="true"/>
          <w:lang w:bidi="fa-IR"/>
        </w:rPr>
        <w:t>»</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مجمع الفائدة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إجماع الاُمّة علی کونه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محجوراً فی</w:t>
      </w:r>
      <w:bookmarkStart w:id="124" w:name="pg11757_135458"/>
    </w:p>
    <w:p>
      <w:pPr>
        <w:pStyle w:val="BookText"/>
        <w:rPr/>
      </w:pPr>
      <w:bookmarkEnd w:id="124"/>
      <w:r>
        <w:rPr>
          <w:rFonts w:ascii="Amiri" w:hAnsi="Amiri" w:eastAsia="Amiri" w:cs="Amiri"/>
          <w:color w:val="111111"/>
          <w:sz w:val="28"/>
          <w:sz w:val="28"/>
          <w:szCs w:val="28"/>
          <w:rtl w:val="true"/>
          <w:lang w:bidi="ar-SA"/>
        </w:rPr>
        <w:t>الجملة</w:t>
      </w:r>
      <w:r>
        <w:rPr>
          <w:rFonts w:eastAsia="Amiri" w:cs="Amiri" w:ascii="Amiri" w:hAnsi="Amiri"/>
          <w:color w:val="111111"/>
          <w:sz w:val="28"/>
          <w:szCs w:val="28"/>
          <w:rtl w:val="true"/>
          <w:lang w:bidi="ar-SA"/>
        </w:rPr>
        <w:t>»</w:t>
      </w:r>
      <w:r>
        <w:rPr>
          <w:rStyle w:val="FootnoteAnchor"/>
          <w:rtl w:val="true"/>
        </w:rPr>
        <w:footnoteReference w:id="363"/>
      </w:r>
      <w:r>
        <w:rPr>
          <w:rFonts w:ascii="IRNazanin" w:hAnsi="IRNazanin" w:eastAsia="IRNazanin"/>
          <w:color w:val="111111"/>
          <w:sz w:val="28"/>
          <w:sz w:val="28"/>
          <w:szCs w:val="28"/>
          <w:rtl w:val="true"/>
          <w:lang w:bidi="fa-IR"/>
        </w:rPr>
        <w:t>، 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الإجماع بقسمیه علیه</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 و کذا فی غیرها</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 w:name="__RefHeading___Toc9696605_73709187"/>
      <w:bookmarkStart w:id="126" w:name="_Toc46"/>
      <w:bookmarkEnd w:id="125"/>
      <w:r>
        <w:rPr>
          <w:rtl w:val="true"/>
        </w:rPr>
        <w:t>مذهب فقهاء أهل السنّة فی محجوریّة الصبیّ‌</w:t>
      </w:r>
      <w:bookmarkEnd w:id="126"/>
    </w:p>
    <w:p>
      <w:pPr>
        <w:pStyle w:val="BookText"/>
        <w:rPr/>
      </w:pPr>
      <w:r>
        <w:rPr>
          <w:rFonts w:ascii="IRNazanin" w:hAnsi="IRNazanin" w:eastAsia="IRNazanin"/>
          <w:color w:val="111111"/>
          <w:sz w:val="28"/>
          <w:sz w:val="28"/>
          <w:szCs w:val="28"/>
          <w:rtl w:val="true"/>
          <w:lang w:bidi="fa-IR"/>
        </w:rPr>
        <w:t>إنّهم اتّفقوا علی أنّ الصبیّ محجور علیه قبل البلوغ و الرشد، و إلیک نصّ کلماتهم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فی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ملک الصبیّ أو المجنون مالاً حجر علیه فی ماله؛ و الدلیل علیه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ابْتَلُوا الْیَتامی حَتّی إِذا بَلَغُوا النِّکاحَ فَإِنْ آنَسْتُمْ مِنْهُمْ رُشْداً فَادْفَعُوا إِلَیْهِمْ أَمْوالَهُمْ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فدلّ علی أنّه لا یسلّم إلیه المال قبل البلوغ و الرشد</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النووی فی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 ثابت علی الیتامی حتّی یجمعوا خصلتین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البلوغ و الرشد، فالبلوغ استکمال خمس عشرة سنة، الذکر و الاُنثی فی ذلک سواء، إلاّ أن یحتلم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الیُتم لا ینقطع بمجرّد البلوغ، و لا بعلوّ السِّنّ، بل لا بدّ أن یظهر منه الرشد فی دینه و ماله</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الحجر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علی الإنسان لحقّ نفسه و حجر علیه لحقّ غیره، فالحجر علیه لحقّ غیره کالحجر علی المفلّس لحقّ غرمائه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المحجور علیه لحقّ نفسه فثلاثة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الصبیّ و المجنون و السفیه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الحجر علیهم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حجر عامّ؛ لأنّهم یمنعون التصرّف فی أموالهم و ذممهم، و الأصل فی الحجر علیهم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تُؤْتُوا السُّفَهاءَ أَمْوالَکُمُ الَّتِی جَعَلَ اللّهُ لَکُمْ قِیاماً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الآیة التی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أضاف الأموال إلی الأولیاء و هی لغیرهم لأنّهم قوّامها و مدبّروها، 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ابْتَلُوا الْیَتامی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اختبروهم فی حفظهم لأموالهم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بَلَغُوا النِّکاحَ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مبلغ الرجال و النساء</w:t>
      </w:r>
      <w:r>
        <w:rPr>
          <w:rFonts w:eastAsia="Amiri" w:cs="Amiri" w:ascii="Amiri" w:hAnsi="Amiri"/>
          <w:color w:val="111111"/>
          <w:sz w:val="28"/>
          <w:szCs w:val="28"/>
          <w:rtl w:val="true"/>
          <w:lang w:bidi="ar-SA"/>
        </w:rPr>
        <w:t>»</w:t>
      </w:r>
      <w:r>
        <w:rPr>
          <w:rStyle w:val="FootnoteAnchor"/>
          <w:rtl w:val="true"/>
        </w:rPr>
        <w:footnoteReference w:id="368"/>
      </w:r>
      <w:r>
        <w:rPr>
          <w:rFonts w:ascii="IRNazanin" w:hAnsi="IRNazanin" w:eastAsia="IRNazanin"/>
          <w:color w:val="111111"/>
          <w:sz w:val="28"/>
          <w:sz w:val="28"/>
          <w:szCs w:val="28"/>
          <w:rtl w:val="true"/>
          <w:lang w:bidi="fa-IR"/>
        </w:rPr>
        <w:t>، و قریب من هذا مع اختلاف تعبیراتهم فی الهدایة</w:t>
      </w:r>
      <w:r>
        <w:rPr>
          <w:rStyle w:val="FootnoteAnchor"/>
          <w:rtl w:val="true"/>
        </w:rPr>
        <w:footnoteReference w:id="369"/>
      </w:r>
      <w:r>
        <w:rPr>
          <w:rFonts w:ascii="IRNazanin" w:hAnsi="IRNazanin" w:eastAsia="IRNazanin"/>
          <w:color w:val="111111"/>
          <w:sz w:val="28"/>
          <w:sz w:val="28"/>
          <w:szCs w:val="28"/>
          <w:rtl w:val="true"/>
          <w:lang w:bidi="fa-IR"/>
        </w:rPr>
        <w:t>و حاشیة ردّ المحتار</w:t>
      </w:r>
      <w:r>
        <w:rPr>
          <w:rStyle w:val="FootnoteAnchor"/>
          <w:rtl w:val="true"/>
        </w:rPr>
        <w:footnoteReference w:id="370"/>
      </w:r>
      <w:r>
        <w:rPr>
          <w:rFonts w:ascii="IRNazanin" w:hAnsi="IRNazanin" w:eastAsia="IRNazanin"/>
          <w:color w:val="111111"/>
          <w:sz w:val="28"/>
          <w:sz w:val="28"/>
          <w:szCs w:val="28"/>
          <w:rtl w:val="true"/>
          <w:lang w:bidi="fa-IR"/>
        </w:rPr>
        <w:t>، و البحر الرائق</w:t>
      </w:r>
      <w:r>
        <w:rPr>
          <w:rStyle w:val="FootnoteAnchor"/>
          <w:rtl w:val="true"/>
        </w:rPr>
        <w:footnoteReference w:id="371"/>
      </w:r>
      <w:r>
        <w:rPr>
          <w:rFonts w:ascii="IRNazanin" w:hAnsi="IRNazanin" w:eastAsia="IRNazanin"/>
          <w:color w:val="111111"/>
          <w:sz w:val="28"/>
          <w:sz w:val="28"/>
          <w:szCs w:val="28"/>
          <w:rtl w:val="true"/>
          <w:lang w:bidi="fa-IR"/>
        </w:rPr>
        <w:t>، و تبیین المسالک</w:t>
      </w:r>
      <w:r>
        <w:rPr>
          <w:rStyle w:val="FootnoteAnchor"/>
          <w:rtl w:val="true"/>
        </w:rPr>
        <w:footnoteReference w:id="372"/>
      </w:r>
      <w:r>
        <w:rPr>
          <w:rFonts w:ascii="IRNazanin" w:hAnsi="IRNazanin" w:eastAsia="IRNazanin"/>
          <w:color w:val="111111"/>
          <w:sz w:val="28"/>
          <w:sz w:val="28"/>
          <w:szCs w:val="28"/>
          <w:rtl w:val="true"/>
          <w:lang w:bidi="fa-IR"/>
        </w:rPr>
        <w:t>و المدوّنة الکبری</w:t>
      </w:r>
      <w:r>
        <w:rPr>
          <w:rStyle w:val="FootnoteAnchor"/>
          <w:rtl w:val="true"/>
        </w:rPr>
        <w:footnoteReference w:id="373"/>
      </w:r>
      <w:r>
        <w:rPr>
          <w:rFonts w:ascii="IRNazanin" w:hAnsi="IRNazanin" w:eastAsia="IRNazanin"/>
          <w:color w:val="111111"/>
          <w:sz w:val="28"/>
          <w:sz w:val="28"/>
          <w:szCs w:val="28"/>
          <w:rtl w:val="true"/>
          <w:lang w:bidi="fa-IR"/>
        </w:rPr>
        <w:t>و غیرها</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bookmarkStart w:id="127" w:name="pg11757_135462"/>
    </w:p>
    <w:p>
      <w:pPr>
        <w:pStyle w:val="Heading3"/>
        <w:numPr>
          <w:ilvl w:val="2"/>
          <w:numId w:val="1"/>
        </w:numPr>
        <w:rPr/>
      </w:pPr>
      <w:bookmarkStart w:id="128" w:name="__RefHeading___Toc9696607_73709187"/>
      <w:bookmarkStart w:id="129" w:name="_Toc47"/>
      <w:bookmarkEnd w:id="127"/>
      <w:bookmarkEnd w:id="128"/>
      <w:r>
        <w:rPr>
          <w:rtl w:val="true"/>
        </w:rPr>
        <w:t>الفصل الرابع</w:t>
      </w:r>
      <w:r>
        <w:rPr>
          <w:rtl w:val="true"/>
        </w:rPr>
        <w:t xml:space="preserve">: </w:t>
      </w:r>
      <w:r>
        <w:rPr>
          <w:rtl w:val="true"/>
        </w:rPr>
        <w:t>تمییز الصبیّ</w:t>
      </w:r>
      <w:bookmarkEnd w:id="129"/>
    </w:p>
    <w:p>
      <w:pPr>
        <w:pStyle w:val="Heading4"/>
        <w:numPr>
          <w:ilvl w:val="3"/>
          <w:numId w:val="1"/>
        </w:numPr>
        <w:rPr/>
      </w:pPr>
      <w:bookmarkStart w:id="130" w:name="__RefHeading___Toc9696609_73709187"/>
      <w:bookmarkStart w:id="131" w:name="_Toc48"/>
      <w:bookmarkEnd w:id="130"/>
      <w:r>
        <w:rPr>
          <w:rtl w:val="true"/>
        </w:rPr>
        <w:t>مراحل عمر الإنسان الأساسیّة</w:t>
      </w:r>
      <w:bookmarkEnd w:id="131"/>
    </w:p>
    <w:p>
      <w:pPr>
        <w:pStyle w:val="BookText"/>
        <w:rPr/>
      </w:pPr>
      <w:r>
        <w:rPr>
          <w:rFonts w:ascii="IRNazanin" w:hAnsi="IRNazanin" w:eastAsia="IRNazanin"/>
          <w:color w:val="111111"/>
          <w:sz w:val="28"/>
          <w:sz w:val="28"/>
          <w:szCs w:val="28"/>
          <w:rtl w:val="true"/>
          <w:lang w:bidi="fa-IR"/>
        </w:rPr>
        <w:t>لمّا کانت هناک جملة من الأحکام تتعلّق بالصبیّ الذی بلغ سنّ التمییز دون غیر الممیّز، فاللازم أن نبیّن معنی الممیّز و الحدّ الذی یبلغ الصبیّ فیه سنّ التمییز، و نشیر قبل هذا إلی المراحل الأساسیّة التی یمرّ بها الإنسان تمهیداً للبحث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المراحل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مرحلة الجنین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ذهب الفقهاء إلی ثبوت بعض الحقوق للجنین کحقّه فی النسب، و حقّه فی الإرث، و حقّه فی الوصیّة و غیرها، و قد بحثنا عن بعضها فیما تقدّم من الموسوعة، و یأتی بعضها الآخر فی الأبواب القادمة</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مرحلة الطفولة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تبدأ هذه المرحلة من حین انفصال الجنین عن امّه حیّاً، و تمتدّ إلی سنّ التمییز</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 الفقهاء فی هذه المرحلة الأحکام التی تتعلّق بالصبیّ غیر الممیّز،</w:t>
      </w:r>
      <w:bookmarkStart w:id="132" w:name="pg11757_135463"/>
    </w:p>
    <w:p>
      <w:pPr>
        <w:pStyle w:val="BookText"/>
        <w:rPr/>
      </w:pPr>
      <w:bookmarkEnd w:id="132"/>
      <w:r>
        <w:rPr>
          <w:rFonts w:ascii="IRNazanin" w:hAnsi="IRNazanin" w:eastAsia="IRNazanin"/>
          <w:color w:val="111111"/>
          <w:sz w:val="28"/>
          <w:sz w:val="28"/>
          <w:szCs w:val="28"/>
          <w:rtl w:val="true"/>
          <w:lang w:bidi="fa-IR"/>
        </w:rPr>
        <w:t>سواء کان من حقوق اللّه أم حقوق العباد، کما ذکروا أیضاً حکم أقواله و أفعاله، و قد بحثنا عن بعض أحکام هذه المرحلة أیضاً فیما تقدّم من الموسوعة</w:t>
      </w:r>
      <w:r>
        <w:rPr>
          <w:rStyle w:val="FootnoteAnchor"/>
          <w:rtl w:val="true"/>
        </w:rPr>
        <w:footnoteReference w:id="376"/>
      </w:r>
      <w:r>
        <w:rPr>
          <w:rFonts w:ascii="IRNazanin" w:hAnsi="IRNazanin" w:eastAsia="IRNazanin"/>
          <w:color w:val="111111"/>
          <w:sz w:val="28"/>
          <w:sz w:val="28"/>
          <w:szCs w:val="28"/>
          <w:rtl w:val="true"/>
          <w:lang w:bidi="fa-IR"/>
        </w:rPr>
        <w:t>، و سیأتی بعضها الآخر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مرحلة التمییز أی من بلوغه سنّ التمییز إلی البلوغ، و قد عقدنا هذا المبحث لبحثها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مرحلة البلوغ، أی بعد انتقاله من سنّ الصغر إلی سنّ الکبر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مرحلة الرشد، أی اکتمال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سوف نبحث المرحلتین الأخیرتین إجمالاً و علی نحو الاختصار فی آخر هذا الفصل إن شاء اللّه</w:t>
      </w:r>
      <w:r>
        <w:rPr>
          <w:rFonts w:eastAsia="IRNazanin" w:cs="IRNazanin"/>
          <w:color w:val="111111"/>
          <w:sz w:val="28"/>
          <w:szCs w:val="28"/>
          <w:rtl w:val="true"/>
          <w:lang w:bidi="fa-IR"/>
        </w:rPr>
        <w:t>.</w:t>
      </w:r>
    </w:p>
    <w:p>
      <w:pPr>
        <w:pStyle w:val="Heading4"/>
        <w:numPr>
          <w:ilvl w:val="3"/>
          <w:numId w:val="1"/>
        </w:numPr>
        <w:rPr/>
      </w:pPr>
      <w:bookmarkStart w:id="133" w:name="__RefHeading___Toc9696611_73709187"/>
      <w:bookmarkStart w:id="134" w:name="_Toc49"/>
      <w:bookmarkEnd w:id="133"/>
      <w:r>
        <w:rPr>
          <w:rtl w:val="true"/>
        </w:rPr>
        <w:t>التمییز لغةً و اصطلاحاً</w:t>
      </w:r>
      <w:bookmarkEnd w:id="134"/>
    </w:p>
    <w:p>
      <w:pPr>
        <w:pStyle w:val="BookText"/>
        <w:rPr/>
      </w:pPr>
      <w:r>
        <w:rPr>
          <w:rFonts w:ascii="IRNazanin" w:hAnsi="IRNazanin" w:eastAsia="IRNazanin"/>
          <w:color w:val="111111"/>
          <w:sz w:val="28"/>
          <w:sz w:val="28"/>
          <w:szCs w:val="28"/>
          <w:rtl w:val="true"/>
          <w:lang w:bidi="fa-IR"/>
        </w:rPr>
        <w:t>التمییز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من میّزته تمییزاً و تمیّز بعضهم من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التمییز بین الأشیاء، مزت الشیء أمیزه میزاً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عزلته و فرزته</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مزته میزاً من باب باع عزلته و فصلته من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یکون فی المشتبهات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لِیَمِیزَ اللّهُ الْخَبِیثَ مِنَ الطَّیِّبِ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تمیّز الشیء</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انفصل عن غیره، و الفقهاء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التمییز، و المراد سنّ إذا انتهی إلیها عرف مضارّه و منافعه، و کأنّه مأخوذ من میّزت الأشیاء، إذا فرّقتها بعد المعرفة بها،</w:t>
      </w:r>
    </w:p>
    <w:p>
      <w:pPr>
        <w:pStyle w:val="BookText"/>
        <w:rPr/>
      </w:pPr>
      <w:r>
        <w:rPr>
          <w:rFonts w:ascii="IRNazanin" w:hAnsi="IRNazanin" w:eastAsia="IRNazanin"/>
          <w:color w:val="111111"/>
          <w:sz w:val="28"/>
          <w:sz w:val="28"/>
          <w:szCs w:val="28"/>
          <w:rtl w:val="true"/>
          <w:lang w:bidi="fa-IR"/>
        </w:rPr>
        <w:t>و بعض الناس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فی الدماغ یستنبط بها المعانی</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فی الاصطلاح فلم نعثر من الأصحاب من حدّده بحدّ جامع، و لکن یستفاد من ظاهر کلماتهم فی مختلف أبواب الفقه أنّ الصبیّ الممیّز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بلغ سنّاً یعقل معانی الکلمات إجمالاً، و یقدر علی تمییز الاُمور بعضها عن بعض، بمعنی أنّه یعرف منافعه من مضارّه، و یعقل معانی العقود المعاملیّة، و یتمکّن من استقلاله بمباشرة بعض التصرّفات بنفسه، و یتحقّق منه القصد، و یضع الاُمور فی مواضعها، و یتفطّن بما ینبغی فعله، و یفهم الخطاب، أی إذا کُلِّم بشیء من مقاصد العقلاء فهمه و یحسن الجواب عنه، و غیر ذلک ممّا یتحقّق من البالغ العاقل</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اختلفت کلماتهم فی أنّه هل تبدأ هذه المرحلة ببلوغ الصبیّ سبع سنین أو عشر سنین أو غیرهما، کما اختلف لسان الأخبار فی ذلک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الغلامُ إذا طلّق و کان ممّن یحسّن الطلاق و قد اتی علیه عشر سنین فصاعداً، جاز طلاقه، و کذلک عتقه و صدقته و وصیّته، و متی کان سنّه أقلّ من ذلک، و لا یکون ممّن یحسن الطلاق، فإنّه لا یجوز طلاقه</w:t>
      </w:r>
      <w:r>
        <w:rPr>
          <w:rFonts w:eastAsia="IRNazanin" w:cs="IRNazanin"/>
          <w:color w:val="111111"/>
          <w:sz w:val="28"/>
          <w:szCs w:val="28"/>
          <w:rtl w:val="true"/>
          <w:lang w:bidi="fa-IR"/>
        </w:rPr>
        <w:t>»</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المهذّب</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تبلغ 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لم تبلغ عشر سنین فصاعداً، و لا یصحّ منه الطلاق، و لا من ولیّه له، أو بلغ و کان ممیّزاً، و یصحّ طلاقه، و عتقه</w:t>
      </w:r>
    </w:p>
    <w:p>
      <w:pPr>
        <w:pStyle w:val="BookText"/>
        <w:rPr/>
      </w:pPr>
      <w:r>
        <w:rPr>
          <w:rFonts w:ascii="IRNazanin" w:hAnsi="IRNazanin" w:eastAsia="IRNazanin"/>
          <w:color w:val="111111"/>
          <w:sz w:val="28"/>
          <w:sz w:val="28"/>
          <w:szCs w:val="28"/>
          <w:rtl w:val="true"/>
          <w:lang w:bidi="fa-IR"/>
        </w:rPr>
        <w:t>و صدقته و وصیّته بالمعروف</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 و صرّح العلّامة فی التذکرة سبع سنین</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مجمع البرهان</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تلخیص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بانت المرأة من الرجل و بینهما ولد، فإن کان طفلاً لا یمیّز فهی أحقّ به بلا خلاف، و إن کان طفلاً یمیّز، و هو إذا بلغ سبع سنین أو ثمان سنین فما فوقها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ذکراً فالأب أحقّ به</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 و کذا فی السرائر</w:t>
      </w:r>
      <w:r>
        <w:rPr>
          <w:rStyle w:val="FootnoteAnchor"/>
          <w:rtl w:val="true"/>
        </w:rPr>
        <w:footnoteReference w:id="386"/>
      </w:r>
      <w:r>
        <w:rPr>
          <w:rFonts w:ascii="IRNazanin" w:hAnsi="IRNazanin" w:eastAsia="IRNazanin"/>
          <w:color w:val="111111"/>
          <w:sz w:val="28"/>
          <w:sz w:val="28"/>
          <w:szCs w:val="28"/>
          <w:rtl w:val="true"/>
          <w:lang w:bidi="fa-IR"/>
        </w:rPr>
        <w:t>، و المختلف</w:t>
      </w:r>
      <w:r>
        <w:rPr>
          <w:rStyle w:val="FootnoteAnchor"/>
          <w:rtl w:val="true"/>
        </w:rPr>
        <w:footnoteReference w:id="387"/>
      </w:r>
      <w:r>
        <w:rPr>
          <w:rFonts w:ascii="IRNazanin" w:hAnsi="IRNazanin" w:eastAsia="IRNazanin"/>
          <w:color w:val="111111"/>
          <w:sz w:val="28"/>
          <w:sz w:val="28"/>
          <w:szCs w:val="28"/>
          <w:rtl w:val="true"/>
          <w:lang w:bidi="fa-IR"/>
        </w:rPr>
        <w:t>، و کنز الفوائد</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التنقیح الرائع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الصبیّ الممیّز یؤخذ بالواجب لسبع استحباباً مع الطاقة</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 و فی جامع 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یؤمر الصبیّ إذا بلغ سبع سنین بالصوم تأدیباً</w:t>
      </w:r>
      <w:r>
        <w:rPr>
          <w:rFonts w:eastAsia="IRNazanin" w:cs="IRNazanin"/>
          <w:color w:val="111111"/>
          <w:sz w:val="28"/>
          <w:szCs w:val="28"/>
          <w:rtl w:val="true"/>
          <w:lang w:bidi="fa-IR"/>
        </w:rPr>
        <w:t>»</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الحدائق</w:t>
      </w:r>
      <w:r>
        <w:rPr>
          <w:rStyle w:val="FootnoteAnchor"/>
          <w:rtl w:val="true"/>
        </w:rPr>
        <w:footnoteReference w:id="391"/>
      </w:r>
      <w:r>
        <w:rPr>
          <w:rFonts w:ascii="IRNazanin" w:hAnsi="IRNazanin" w:eastAsia="IRNazanin"/>
          <w:color w:val="111111"/>
          <w:sz w:val="28"/>
          <w:sz w:val="28"/>
          <w:szCs w:val="28"/>
          <w:rtl w:val="true"/>
          <w:lang w:bidi="fa-IR"/>
        </w:rPr>
        <w:t>و الریاض</w:t>
      </w:r>
      <w:r>
        <w:rPr>
          <w:rStyle w:val="FootnoteAnchor"/>
          <w:rtl w:val="true"/>
        </w:rPr>
        <w:footnoteReference w:id="392"/>
      </w:r>
      <w:r>
        <w:rPr>
          <w:rFonts w:ascii="IRNazanin" w:hAnsi="IRNazanin" w:eastAsia="IRNazanin"/>
          <w:color w:val="111111"/>
          <w:sz w:val="28"/>
          <w:sz w:val="28"/>
          <w:szCs w:val="28"/>
          <w:rtl w:val="true"/>
          <w:lang w:bidi="fa-IR"/>
        </w:rPr>
        <w:t>و غیرها ممّا هو کثیر و إنّما ذکرنا انموذجاً منها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منشأ الاختلاف فی کلمات الفقهاء فی بیان حدّ التمیّز و الصبیّ الممیّز هو الاختلاف فی جملة من الروایات التی تدلّ علی تعلّق بعض الأحکام المندوبة بالصبیّ الممیّز، و هذه الروایات کثیرة فی مختلف أبواب الفقه و غیره،</w:t>
      </w:r>
    </w:p>
    <w:p>
      <w:pPr>
        <w:pStyle w:val="BookText"/>
        <w:rPr/>
      </w:pPr>
      <w:r>
        <w:rPr>
          <w:rFonts w:ascii="IRNazanin" w:hAnsi="IRNazanin" w:eastAsia="IRNazanin"/>
          <w:color w:val="111111"/>
          <w:sz w:val="28"/>
          <w:sz w:val="28"/>
          <w:szCs w:val="28"/>
          <w:rtl w:val="true"/>
          <w:lang w:bidi="fa-IR"/>
        </w:rPr>
        <w:t>و نشیر إلی بعضها، و هی علی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التحدید بستّ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کصحیحة إسحاق بن عمّار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أتی علی الصبیّ ستّ سنین وجبت علیه الصلاة، و إذا أطاق الصوم وجب علیه الصیام</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قدس سره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أطاق وجب علیه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علی التأدیب دون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 محمّد بن مسلم عن أحدهما علیهما السلام فی الصبیّ متی یصلّی؟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عقل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یعقل الصلاة و تجب علیه؟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سنین</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مثلها مرسلة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یفرّق بین الصبیان فی المضاجع لستّ سنین</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الطائفة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التحدید فیما بین سبع سنین و ستّ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فی کم یؤخذ الصبیّ بالصلاة؟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بین سبع سنین و ستّ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کم یؤخذ بالصیام؟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بین خمس عشرة أو أربع عشرة</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الطائفة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التحدید بالسبع و تسع سنین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الحلبی عن أبی عبد اللّه علیه السلام عن أبیه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نأمر صبیاننا بالصلاة إذا کانوا بنی خمس سنین، فمروا صبیانکم بالصلاة إذا کانوا بنی سبع</w:t>
      </w:r>
    </w:p>
    <w:p>
      <w:pPr>
        <w:pStyle w:val="BookText"/>
        <w:rPr/>
      </w:pPr>
      <w:r>
        <w:rPr>
          <w:rFonts w:ascii="IRNazanin" w:hAnsi="IRNazanin" w:eastAsia="IRNazanin"/>
          <w:color w:val="111111"/>
          <w:sz w:val="28"/>
          <w:sz w:val="28"/>
          <w:szCs w:val="28"/>
          <w:rtl w:val="true"/>
          <w:lang w:bidi="fa-IR"/>
        </w:rPr>
        <w:t>سنین، و نحن نأمر صبیاننا بالصوم إذا کانوا بنی سبع سنین بما أطاقوا من صیام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فمروا صبیانکم إذا کانوا بنی تسع سنین</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مثلها ما رواه فی الفقیه عن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یؤخذ الغلام بالصلاة و هو ابن سبع سنین</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یعقوب بن سالم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الغلام یلعب سبع سنین و یتعلّم الکتاب سبع سنین</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التحدید بالعشر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المشایخ الثلاثة عن 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الغلام عشر سنین فأوصی بثلث ماله فی حقّ جازت وصیّته، و إذا کان ابن سبع سنین فأوصی من ماله بالیسیر فی حقّ جازت وصیّته</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ما ورد فی التفریق بین الصبیان فی المضاجع، کقوله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الصبیّ و الصبیّ، و الصبیّ و الصبیّة و الصبیّة و الصبیّة یفرّق بینهم فی المضاجع لعشر سنین</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الطائفة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التحدید بالتعقّل و قوّة التمییز و وضع الاُمور فی موضعها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فی الکافی و الفقیه عن أحمد بن محمّد بن خالد، و عن علیّ بن إبراهیم</w:t>
      </w:r>
      <w:bookmarkStart w:id="135" w:name="pg11757_135468"/>
    </w:p>
    <w:p>
      <w:pPr>
        <w:pStyle w:val="BookText"/>
        <w:rPr/>
      </w:pPr>
      <w:bookmarkEnd w:id="135"/>
      <w:r>
        <w:rPr>
          <w:rFonts w:ascii="IRNazanin" w:hAnsi="IRNazanin" w:eastAsia="IRNazanin"/>
          <w:color w:val="111111"/>
          <w:sz w:val="28"/>
          <w:sz w:val="28"/>
          <w:szCs w:val="28"/>
          <w:rtl w:val="true"/>
          <w:lang w:bidi="fa-IR"/>
        </w:rPr>
        <w:t>عن أبیه جمیعاً، عن عثمان بن عیسی،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طلاق الغلام و لم یحتلم و صدقته،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طلّق للسنّة و وضع الصدقة فی موضعها و حقّها فلا بأس، و هو جائز</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التهذیب عن أبی بکیر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طلاق الغلام إذا کان قد عقل و وصیّته و صدقته و إن لم یحتلم</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محمّد بن مسلم المتقدّمة فی الصبیّ متی یصلّی؟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عقل الصلاة</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 w:name="__RefHeading___Toc9696613_73709187"/>
      <w:bookmarkStart w:id="137" w:name="_Toc50"/>
      <w:bookmarkEnd w:id="136"/>
      <w:r>
        <w:rPr>
          <w:rtl w:val="true"/>
        </w:rPr>
        <w:t>التحقیق فی المسألة</w:t>
      </w:r>
      <w:bookmarkEnd w:id="137"/>
    </w:p>
    <w:p>
      <w:pPr>
        <w:pStyle w:val="BookText"/>
        <w:rPr/>
      </w:pPr>
      <w:r>
        <w:rPr>
          <w:rFonts w:ascii="IRNazanin" w:hAnsi="IRNazanin" w:eastAsia="IRNazanin"/>
          <w:color w:val="111111"/>
          <w:sz w:val="28"/>
          <w:sz w:val="28"/>
          <w:szCs w:val="28"/>
          <w:rtl w:val="true"/>
          <w:lang w:bidi="fa-IR"/>
        </w:rPr>
        <w:t>یستفاد من الروایات أنّ سنّ التمییز</w:t>
      </w:r>
      <w:r>
        <w:rPr>
          <w:rStyle w:val="FootnoteAnchor"/>
          <w:rtl w:val="true"/>
        </w:rPr>
        <w:footnoteReference w:id="405"/>
      </w:r>
      <w:r>
        <w:rPr>
          <w:rFonts w:ascii="IRNazanin" w:hAnsi="IRNazanin" w:eastAsia="IRNazanin"/>
          <w:color w:val="111111"/>
          <w:sz w:val="28"/>
          <w:sz w:val="28"/>
          <w:szCs w:val="28"/>
          <w:rtl w:val="true"/>
          <w:lang w:bidi="fa-IR"/>
        </w:rPr>
        <w:t>لا ینضبط بحدّ خاصّ و سنّ معیّن، کما انضبط فی الشرع سنّ البلوغ بالاحتلام أو الإنبات أو غیرهما، بل یختلف باختلاف الأشخاص فی الاستعداد و الإدراک، و کذا باختلاف الموارد، ففی مثل</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الطلاق و العتق و الوصیّة و الصدقة یلزم الفهم القویّ و البلوغ عشر سنین</w:t>
      </w:r>
      <w:bookmarkStart w:id="138" w:name="pg11757_135469"/>
    </w:p>
    <w:p>
      <w:pPr>
        <w:pStyle w:val="BookText"/>
        <w:rPr/>
      </w:pPr>
      <w:bookmarkEnd w:id="138"/>
      <w:r>
        <w:rPr>
          <w:rFonts w:ascii="IRNazanin" w:hAnsi="IRNazanin" w:eastAsia="IRNazanin"/>
          <w:color w:val="111111"/>
          <w:sz w:val="28"/>
          <w:sz w:val="28"/>
          <w:szCs w:val="28"/>
          <w:rtl w:val="true"/>
          <w:lang w:bidi="fa-IR"/>
        </w:rPr>
        <w:t>فصاعداً، و فی الصلاة یکفی بلوغ سبع سنین أو أقلّ من ذلک، و فی الصوم تسع سنین، قال فی کشف الغطاء فی البحث عن وقت مؤاخذة الصبیان بالصلاة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أشعر به بعض الأخبار من أنّ التفاوت فی قلّة السنین و کثرتها مبنیّ علی قلّة المعرفة و کثرتها، و قوّة القابلیّة و ضعفها</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فالظاهر أنّ سنّ التمییز فی الأطفال یختلف باختلاف إدراکهم فی فهم المعانی و قابلیّتهم لإصلاح الاُمور و وضع الشیء فی موضعه،</w:t>
      </w:r>
      <w:r>
        <w:rPr>
          <w:rStyle w:val="FootnoteAnchor"/>
          <w:rtl w:val="true"/>
        </w:rPr>
        <w:footnoteReference w:id="407"/>
      </w:r>
      <w:r>
        <w:rPr>
          <w:rFonts w:ascii="IRNazanin" w:hAnsi="IRNazanin" w:eastAsia="IRNazanin"/>
          <w:color w:val="111111"/>
          <w:sz w:val="28"/>
          <w:sz w:val="28"/>
          <w:szCs w:val="28"/>
          <w:rtl w:val="true"/>
          <w:lang w:bidi="fa-IR"/>
        </w:rPr>
        <w:t>و قدرتهم علی إتیان ما هو مندوب فی حقّهم، و لعلّ بعض الأخبار یشعر بذلک کما فی خبر عبد اللّه بن فضالة عن أبی جعفر علیه 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یترک الغلام حتّی یتمّ له سبع سنین، فإذا تمَّ له سبع سنین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وجهک و کفّیک، فإذا غسلهما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ثمّ یترک حتّی یتمّ له تسع سنین، فإذا تمّت له علّم الوضوء و ضرب علیه، و امر بالصلاة و ضُرب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الحدیث</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 w:name="__RefHeading___Toc9696615_73709187"/>
      <w:bookmarkStart w:id="140" w:name="_Toc51"/>
      <w:bookmarkEnd w:id="139"/>
      <w:r>
        <w:rPr>
          <w:rtl w:val="true"/>
        </w:rPr>
        <w:t>الصبیّ الممیّز عند أهل السنّة</w:t>
      </w:r>
      <w:bookmarkEnd w:id="14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شرح المجلّة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الصغیر غیر الممیّز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لا یفهم البیع و الشراء، یعنی من لا یعرف أنّ البیع سالب للملکیّة و الشراء جالب لها، و لا یفرّق بین الغبن الفاحش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کالتغریر فی العشرة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الغبن الیسیر، و یقال للذی یمیّز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صبیّ ممیّز</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درر الحکّام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الصغیر الممیّز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یعرف أنّ البیع سالب و الشراء جالب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المبیع خارج من ملک البائع و داخل فی ملک المشتری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یقصد الربح، و یمیّز بین الغبن الفاحش و الغبن الیسیر</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حدّ التمییز عندهم فالأکثر أنّه سبع سنین،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یختلف باختلاف إدراک الصبیان و قوّة فهمهم، و إلیک نصّ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الشافعیّة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 التمییز سبع أو ثمان سنین تقریباً</w:t>
      </w:r>
      <w:r>
        <w:rPr>
          <w:rFonts w:eastAsia="IRNazanin" w:cs="IRNazanin"/>
          <w:color w:val="111111"/>
          <w:sz w:val="28"/>
          <w:szCs w:val="28"/>
          <w:rtl w:val="true"/>
          <w:lang w:bidi="fa-IR"/>
        </w:rPr>
        <w:t>»</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فی الاُمّ‌</w:t>
      </w:r>
      <w:r>
        <w:rPr>
          <w:rStyle w:val="FootnoteAnchor"/>
          <w:rtl w:val="true"/>
        </w:rPr>
        <w:footnoteReference w:id="412"/>
      </w:r>
      <w:r>
        <w:rPr>
          <w:rFonts w:ascii="IRNazanin" w:hAnsi="IRNazanin" w:eastAsia="IRNazanin"/>
          <w:color w:val="111111"/>
          <w:sz w:val="28"/>
          <w:sz w:val="28"/>
          <w:szCs w:val="28"/>
          <w:rtl w:val="true"/>
          <w:lang w:bidi="fa-IR"/>
        </w:rPr>
        <w:t>و غیره</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تفسیر القرطبی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الولد ثمان سنین و هو سنّ التمییز خُیّر بین أبویه، فإنّه فی تلک الحالة تتحرّک همّته لتعلّم القرآن و الأدب و وظائف العبادات، و ذلک یستوی فیه الغلام و الجاریة</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صرّح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التمییز یختلف وقته باختلاف الصبیان؛ فمنهم من یحصل له من سبع سنین، و منهم من یحصل له قبلها، و منهم من لا یمیّز و إن بلغ سبعاً و عشراً و أکثر</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مغنی المحتاج فی ذیل کلام الماتن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یحرم التفریق بین الاُمّ و الولد حتّی یمیّز</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ظاهر کلامه الاکتفاء بالتمییز و إن حصل قبل السبع، و عبارة المحرّر إلی سنّ التمییز، و عبارة الجمهور إلی سبع سنین، فیجوز أن یکون</w:t>
      </w:r>
    </w:p>
    <w:p>
      <w:pPr>
        <w:pStyle w:val="BookText"/>
        <w:rPr/>
      </w:pPr>
      <w:r>
        <w:rPr>
          <w:rFonts w:ascii="IRNazanin" w:hAnsi="IRNazanin" w:eastAsia="IRNazanin"/>
          <w:color w:val="111111"/>
          <w:sz w:val="28"/>
          <w:sz w:val="28"/>
          <w:szCs w:val="28"/>
          <w:rtl w:val="true"/>
          <w:lang w:bidi="fa-IR"/>
        </w:rPr>
        <w:t>إطلاقهم لذلک لأنّه مظنّة التمییز</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الحطّاب من فقهاء المالکیّة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البساطی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الممیّز هو الذی عقل الصلاة و الصیام، و قال ابن جماعة الشافعی فی منسکه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حقیقة الممیّز أنّه هو الذی یفهم الخطاب و یحسن ردّ الجواب و مقاصد الکلام، و لا ینضبط بسنّ مخصوص، بل یختلف باختلاف الأفهام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کلام حسن، و نحوه لابن فرحون</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 و صرّح بذلک فی موضع آخر أیضاً</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الحنابلة و الحنفیّة و بعض المالکیّة إلی أنّ سنّ التمییز تبدأ ببلوغ الصبیّ سبع سنین، قال المرداوی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 الأصحاب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 التمییز سبع سنین</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الغلام حدّاً یعرب عن نفسه و یمیّز بین الإکرام و ضدّه فمال إلی أحد الأبوین دلّ علی أنّه أرفق به و أشفق علیه فقدّم بذلک، و قیّدناه بالسبع لأنّها أوّل حال أمر الشرع فیها بمخاطبته بالأمر بالصلاة</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 و قریب من هذا فی مواضع منه</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فی المبسوط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دفع المال إلیه و تمکینه من التصرّفات جائز إذا صار عاقلاً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 صلی الله علیه و آله لعمر بن أبی سلمة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یا عمر فزوّج امّک من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ابن سبع سنین</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تکملة ردّ المحتار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المختار أنّ أوّل وقته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و آخره اثنتا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أنّ سبع سنین أوّل وقت استغناء الصبیّ عن الغیر فی الأکل و الشرب و اللّبس</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قال البهوتی الحنبلی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تصحّ الصلاة من صغیر لم یمیّز لفقد شرطها و هو النیّة، و تصحّ من ممیّز و هو من بلغ سبع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یفهم الخطاب و یردّ الجواب و لا ینضبط بسنّ، بل یختلف باختلاف الأفهام</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فتح الباری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ینبغی فی ذلک اعتبار الفهم، فمن فهم الخطاب سمع و إن کان دون ابن خمس، و إلّا فلا، و قال ابن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أنّهم أرادوا بتحدید الخمس أنّها مظنّة لذلک، لا أنّ بلوغها شرط لا بدّ من تحقّقه و اللّه أعلم، و قریب منه ضبط الفقهاء سنّ التمییز بستّ أو سبع، و المرجّح أنّها مظنّة لا تحدید</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bookmarkStart w:id="141" w:name="pg11757_135476"/>
    </w:p>
    <w:p>
      <w:pPr>
        <w:pStyle w:val="Heading3"/>
        <w:numPr>
          <w:ilvl w:val="2"/>
          <w:numId w:val="1"/>
        </w:numPr>
        <w:rPr/>
      </w:pPr>
      <w:bookmarkStart w:id="142" w:name="__RefHeading___Toc9696617_73709187"/>
      <w:bookmarkStart w:id="143" w:name="_Toc52"/>
      <w:bookmarkEnd w:id="141"/>
      <w:bookmarkEnd w:id="142"/>
      <w:r>
        <w:rPr>
          <w:rtl w:val="true"/>
        </w:rPr>
        <w:t>الفصل الخامس</w:t>
      </w:r>
      <w:r>
        <w:rPr>
          <w:rtl w:val="true"/>
        </w:rPr>
        <w:t xml:space="preserve">: </w:t>
      </w:r>
      <w:r>
        <w:rPr>
          <w:rtl w:val="true"/>
        </w:rPr>
        <w:t>بلوغ الصبیّ</w:t>
      </w:r>
      <w:bookmarkEnd w:id="143"/>
    </w:p>
    <w:p>
      <w:pPr>
        <w:pStyle w:val="Heading4"/>
        <w:numPr>
          <w:ilvl w:val="3"/>
          <w:numId w:val="1"/>
        </w:numPr>
        <w:rPr/>
      </w:pPr>
      <w:bookmarkStart w:id="144" w:name="__RefHeading___Toc9696619_73709187"/>
      <w:bookmarkStart w:id="145" w:name="_Toc53"/>
      <w:bookmarkEnd w:id="144"/>
      <w:r>
        <w:rPr>
          <w:rtl w:val="true"/>
        </w:rPr>
        <w:t>البلوغ لغةً و اصطلاحاً</w:t>
      </w:r>
      <w:bookmarkEnd w:id="145"/>
    </w:p>
    <w:p>
      <w:pPr>
        <w:pStyle w:val="BookText"/>
        <w:rPr/>
      </w:pPr>
      <w:r>
        <w:rPr>
          <w:rFonts w:ascii="IRNazanin" w:hAnsi="IRNazanin" w:eastAsia="IRNazanin"/>
          <w:color w:val="111111"/>
          <w:sz w:val="28"/>
          <w:sz w:val="28"/>
          <w:szCs w:val="28"/>
          <w:rtl w:val="true"/>
          <w:lang w:bidi="fa-IR"/>
        </w:rPr>
        <w:t>البلوغ فی اللغة بمعنی الوصول إلی الشیء، بلغت المکان، أی وصلت إلیه، و بلغ الغلام، أی أدرک</w:t>
      </w:r>
      <w:r>
        <w:rPr>
          <w:rStyle w:val="FootnoteAnchor"/>
          <w:rtl w:val="true"/>
        </w:rPr>
        <w:footnoteReference w:id="426"/>
      </w:r>
      <w:r>
        <w:rPr>
          <w:rFonts w:ascii="IRNazanin" w:hAnsi="IRNazanin" w:eastAsia="IRNazanin"/>
          <w:color w:val="111111"/>
          <w:sz w:val="28"/>
          <w:sz w:val="28"/>
          <w:szCs w:val="28"/>
          <w:rtl w:val="true"/>
          <w:lang w:bidi="fa-IR"/>
        </w:rPr>
        <w:t>، و فی 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احتلم کأنّه بلغ وقت الکتاب علیه و التکلیف</w:t>
      </w:r>
      <w:r>
        <w:rPr>
          <w:rFonts w:eastAsia="IRNazanin" w:cs="IRNazanin"/>
          <w:color w:val="111111"/>
          <w:sz w:val="28"/>
          <w:szCs w:val="28"/>
          <w:rtl w:val="true"/>
          <w:lang w:bidi="fa-IR"/>
        </w:rPr>
        <w:t>»</w:t>
      </w: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المصباح المنیر</w:t>
      </w:r>
      <w:r>
        <w:rPr>
          <w:rStyle w:val="FootnoteAnchor"/>
          <w:rtl w:val="true"/>
        </w:rPr>
        <w:footnoteReference w:id="428"/>
      </w:r>
      <w:r>
        <w:rPr>
          <w:rFonts w:ascii="IRNazanin" w:hAnsi="IRNazanin" w:eastAsia="IRNazanin"/>
          <w:color w:val="111111"/>
          <w:sz w:val="28"/>
          <w:sz w:val="28"/>
          <w:szCs w:val="28"/>
          <w:rtl w:val="true"/>
          <w:lang w:bidi="fa-IR"/>
        </w:rPr>
        <w:t>و غیرهما</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فی الاصطلاح فقد صرّح الفقهاء أنّ التکلیف و رفع الحجر من الصبیّ یتحقّق بالبلوغ، و اکتفوا بذکر علائمه کالإنبات و خروج المنیّ و غیر ذلک، و لم یذکروا له غیر المعنی اللغوی</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البلوغ من الاُمور الطبیعیّة المعروفة فی اللغة و العرف، و لیس من الموضوعات الشرعیّة التی لا تعلم إلّا من جهة الشرع کألفاظ</w:t>
      </w:r>
      <w:bookmarkStart w:id="146" w:name="pg11757_135477"/>
    </w:p>
    <w:p>
      <w:pPr>
        <w:pStyle w:val="BookText"/>
        <w:rPr/>
      </w:pPr>
      <w:bookmarkEnd w:id="146"/>
      <w:r>
        <w:rPr>
          <w:rFonts w:ascii="IRNazanin" w:hAnsi="IRNazanin" w:eastAsia="IRNazanin"/>
          <w:color w:val="111111"/>
          <w:sz w:val="28"/>
          <w:sz w:val="28"/>
          <w:szCs w:val="28"/>
          <w:rtl w:val="true"/>
          <w:lang w:bidi="fa-IR"/>
        </w:rPr>
        <w:t xml:space="preserve">العبادات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المعلوم لغة کالعرف کون الغلام متی احتلم بلغ و أدرک، و خرج عن حدّ الطفولیّة و دخل فی حدّ الرجولیّة، و کذا الجاریة إذا أدرکت و أعصرت فإنّها تکون امرأة، کغیرها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یرجع إلی الشرع فی مبدإ السنّ الذی یحصل به البلوغ</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جامع 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فسّر البلوغ بالکمال الطبیعی للإنسان بحیث یبقی به النسل و یقوی معه العقل، و هو حال انتقال الأطفال إلی حدّ المذکور</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 w:name="__RefHeading___Toc9696621_73709187"/>
      <w:bookmarkStart w:id="148" w:name="_Toc54"/>
      <w:bookmarkEnd w:id="147"/>
      <w:r>
        <w:rPr>
          <w:rtl w:val="true"/>
        </w:rPr>
        <w:t>علائم البلوغ</w:t>
      </w:r>
      <w:bookmarkEnd w:id="148"/>
    </w:p>
    <w:p>
      <w:pPr>
        <w:pStyle w:val="BookText"/>
        <w:rPr/>
      </w:pPr>
      <w:r>
        <w:rPr>
          <w:rFonts w:ascii="IRNazanin" w:hAnsi="IRNazanin" w:eastAsia="IRNazanin"/>
          <w:color w:val="111111"/>
          <w:sz w:val="28"/>
          <w:sz w:val="28"/>
          <w:szCs w:val="28"/>
          <w:rtl w:val="true"/>
          <w:lang w:bidi="fa-IR"/>
        </w:rPr>
        <w:t>علائم البلوغ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إنبات الشعر الخشن علی العانة، و الاحتلام، و هذان یشترک فیهما الذکور و الإناث، و بلوغ تسع سنین فی المرأة و خمس عشرة سنة فی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هو المشهور فیه، و قد صرّح به الفقهاء مع اختلاف تعبیراتهم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جماعة من جملة العلائم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الحیض و الحمل، و قال بعض آخر إنّهما لیسا بلوغاً، بل قد یکونان دلیلاً علی سبق البلوغ، و إلیک نصّ بعض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البلوغ یکون بأحد خمسة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المنیّ و خروج الحیض و الحمل، و الإنبات و السنّ، فثلاثة منها یشترک فیها الذکور و الإناث، و اثنان ینفرد بهما الإناث</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الجامع للشرائع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إنبات العانة ما یفتقر إلی</w:t>
      </w:r>
    </w:p>
    <w:p>
      <w:pPr>
        <w:pStyle w:val="BookText"/>
        <w:rPr/>
      </w:pPr>
      <w:r>
        <w:rPr>
          <w:rFonts w:ascii="IRNazanin" w:hAnsi="IRNazanin" w:eastAsia="IRNazanin"/>
          <w:color w:val="111111"/>
          <w:sz w:val="28"/>
          <w:sz w:val="28"/>
          <w:szCs w:val="28"/>
          <w:rtl w:val="true"/>
          <w:lang w:bidi="fa-IR"/>
        </w:rPr>
        <w:t>الحلق، و الاحتلام فی الرجل و المرأة، و الحیض، و الحمل، و بلوغ تسع سنین فی المرأة، و فی الرجل خمس عشر سنة</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الغنیة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بدلیل إجماع الطائفة</w:t>
      </w:r>
      <w:r>
        <w:rPr>
          <w:rFonts w:eastAsia="IRNazanin" w:cs="IRNazanin"/>
          <w:color w:val="111111"/>
          <w:sz w:val="28"/>
          <w:szCs w:val="28"/>
          <w:rtl w:val="true"/>
          <w:lang w:bidi="fa-IR"/>
        </w:rPr>
        <w:t>»</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التذکرة</w:t>
      </w:r>
      <w:r>
        <w:rPr>
          <w:rStyle w:val="FootnoteAnchor"/>
          <w:rtl w:val="true"/>
        </w:rPr>
        <w:footnoteReference w:id="436"/>
      </w:r>
      <w:r>
        <w:rPr>
          <w:rFonts w:ascii="IRNazanin" w:hAnsi="IRNazanin" w:eastAsia="IRNazanin"/>
          <w:color w:val="111111"/>
          <w:sz w:val="28"/>
          <w:sz w:val="28"/>
          <w:szCs w:val="28"/>
          <w:rtl w:val="true"/>
          <w:lang w:bidi="fa-IR"/>
        </w:rPr>
        <w:t>و إرشاد الأذهان</w:t>
      </w:r>
      <w:r>
        <w:rPr>
          <w:rStyle w:val="FootnoteAnchor"/>
          <w:rtl w:val="true"/>
        </w:rPr>
        <w:footnoteReference w:id="437"/>
      </w:r>
      <w:r>
        <w:rPr>
          <w:rFonts w:ascii="IRNazanin" w:hAnsi="IRNazanin" w:eastAsia="IRNazanin"/>
          <w:color w:val="111111"/>
          <w:sz w:val="28"/>
          <w:sz w:val="28"/>
          <w:szCs w:val="28"/>
          <w:rtl w:val="true"/>
          <w:lang w:bidi="fa-IR"/>
        </w:rPr>
        <w:t>و السرائر</w:t>
      </w:r>
      <w:r>
        <w:rPr>
          <w:rStyle w:val="FootnoteAnchor"/>
          <w:rtl w:val="true"/>
        </w:rPr>
        <w:footnoteReference w:id="438"/>
      </w:r>
      <w:r>
        <w:rPr>
          <w:rFonts w:ascii="IRNazanin" w:hAnsi="IRNazanin" w:eastAsia="IRNazanin"/>
          <w:color w:val="111111"/>
          <w:sz w:val="28"/>
          <w:sz w:val="28"/>
          <w:szCs w:val="28"/>
          <w:rtl w:val="true"/>
          <w:lang w:bidi="fa-IR"/>
        </w:rPr>
        <w:t>و التحریر</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الحمل و الحیض فلیسا بلوغاً فی حقّ النساء، بل قد یکونان دلیلاً علی سبق البلوغ</w:t>
      </w:r>
      <w:r>
        <w:rPr>
          <w:rFonts w:eastAsia="IRNazanin" w:cs="IRNazanin"/>
          <w:color w:val="111111"/>
          <w:sz w:val="28"/>
          <w:szCs w:val="28"/>
          <w:rtl w:val="true"/>
          <w:lang w:bidi="fa-IR"/>
        </w:rPr>
        <w:t>»</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جامع المقاصد</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فی کونهما دلیلین علی سبق البلوغ، کما لا خلاف فی کونهما بلوغاً بأنفسهما</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 و غیرها</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 البلوغ فی الذکر و الاُنثی بأحد امور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 الشعر الخشن علی العانة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w:t>
      </w:r>
      <w:r>
        <w:rPr>
          <w:rFonts w:eastAsia="IRNazanin" w:cs="IRNazanin"/>
          <w:color w:val="111111"/>
          <w:sz w:val="28"/>
          <w:szCs w:val="28"/>
          <w:rtl w:val="true"/>
          <w:lang w:bidi="fa-IR"/>
        </w:rPr>
        <w:t>»</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تفصیل الشریعة</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إجمال الکلام، و أمّا التفصیل فهو کما یلی</w:t>
      </w:r>
      <w:r>
        <w:rPr>
          <w:rFonts w:eastAsia="IRNazanin" w:cs="IRNazanin"/>
          <w:color w:val="111111"/>
          <w:sz w:val="28"/>
          <w:szCs w:val="28"/>
          <w:rtl w:val="true"/>
          <w:lang w:bidi="fa-IR"/>
        </w:rPr>
        <w:t>:</w:t>
      </w:r>
      <w:bookmarkStart w:id="149" w:name="pg11757_135479"/>
    </w:p>
    <w:p>
      <w:pPr>
        <w:pStyle w:val="Heading4"/>
        <w:numPr>
          <w:ilvl w:val="3"/>
          <w:numId w:val="1"/>
        </w:numPr>
        <w:rPr/>
      </w:pPr>
      <w:bookmarkStart w:id="150" w:name="__RefHeading___Toc9696623_73709187"/>
      <w:bookmarkStart w:id="151" w:name="_Toc55"/>
      <w:bookmarkEnd w:id="149"/>
      <w:bookmarkEnd w:id="150"/>
      <w:r>
        <w:rPr>
          <w:rtl w:val="true"/>
        </w:rPr>
        <w:t>العلامة الاُولی</w:t>
      </w:r>
      <w:r>
        <w:rPr>
          <w:rtl w:val="true"/>
        </w:rPr>
        <w:t xml:space="preserve">: </w:t>
      </w:r>
      <w:r>
        <w:rPr>
          <w:rtl w:val="true"/>
        </w:rPr>
        <w:t>الإنبات</w:t>
      </w:r>
      <w:bookmarkEnd w:id="151"/>
    </w:p>
    <w:p>
      <w:pPr>
        <w:pStyle w:val="Heading5"/>
        <w:numPr>
          <w:ilvl w:val="4"/>
          <w:numId w:val="1"/>
        </w:numPr>
        <w:rPr/>
      </w:pPr>
      <w:bookmarkStart w:id="152" w:name="__RefHeading___Toc9696625_73709187"/>
      <w:bookmarkStart w:id="153" w:name="_Toc56"/>
      <w:bookmarkEnd w:id="152"/>
      <w:r>
        <w:rPr>
          <w:rtl w:val="true"/>
        </w:rPr>
        <w:t>اشارة</w:t>
      </w:r>
      <w:bookmarkEnd w:id="153"/>
    </w:p>
    <w:p>
      <w:pPr>
        <w:pStyle w:val="BookText"/>
        <w:rPr/>
      </w:pPr>
      <w:r>
        <w:rPr>
          <w:rFonts w:ascii="IRNazanin" w:hAnsi="IRNazanin" w:eastAsia="IRNazanin"/>
          <w:color w:val="111111"/>
          <w:sz w:val="28"/>
          <w:sz w:val="28"/>
          <w:szCs w:val="28"/>
          <w:rtl w:val="true"/>
          <w:lang w:bidi="fa-IR"/>
        </w:rPr>
        <w:t>اتّفق الفقهاء علی أنّ إنبات الشعر الخشن علی العانة</w:t>
      </w:r>
      <w:r>
        <w:rPr>
          <w:rStyle w:val="FootnoteAnchor"/>
          <w:rtl w:val="true"/>
        </w:rPr>
        <w:footnoteReference w:id="446"/>
      </w:r>
      <w:r>
        <w:rPr>
          <w:rFonts w:ascii="IRNazanin" w:hAnsi="IRNazanin" w:eastAsia="IRNazanin"/>
          <w:color w:val="111111"/>
          <w:sz w:val="28"/>
          <w:sz w:val="28"/>
          <w:szCs w:val="28"/>
          <w:rtl w:val="true"/>
          <w:lang w:bidi="fa-IR"/>
        </w:rPr>
        <w:t>علامة علی البلوغ، کما صرّح به فی التذکرة</w:t>
      </w:r>
      <w:r>
        <w:rPr>
          <w:rStyle w:val="FootnoteAnchor"/>
          <w:rtl w:val="true"/>
        </w:rPr>
        <w:footnoteReference w:id="447"/>
      </w:r>
      <w:r>
        <w:rPr>
          <w:rFonts w:ascii="IRNazanin" w:hAnsi="IRNazanin" w:eastAsia="IRNazanin"/>
          <w:color w:val="111111"/>
          <w:sz w:val="28"/>
          <w:sz w:val="28"/>
          <w:szCs w:val="28"/>
          <w:rtl w:val="true"/>
          <w:lang w:bidi="fa-IR"/>
        </w:rPr>
        <w:t>، و القواعد</w:t>
      </w:r>
      <w:r>
        <w:rPr>
          <w:rStyle w:val="FootnoteAnchor"/>
          <w:rtl w:val="true"/>
        </w:rPr>
        <w:footnoteReference w:id="448"/>
      </w:r>
      <w:r>
        <w:rPr>
          <w:rFonts w:ascii="IRNazanin" w:hAnsi="IRNazanin" w:eastAsia="IRNazanin"/>
          <w:color w:val="111111"/>
          <w:sz w:val="28"/>
          <w:sz w:val="28"/>
          <w:szCs w:val="28"/>
          <w:rtl w:val="true"/>
          <w:lang w:bidi="fa-IR"/>
        </w:rPr>
        <w:t>و المدارک</w:t>
      </w:r>
      <w:r>
        <w:rPr>
          <w:rStyle w:val="FootnoteAnchor"/>
          <w:rtl w:val="true"/>
        </w:rPr>
        <w:footnoteReference w:id="449"/>
      </w:r>
      <w:r>
        <w:rPr>
          <w:rFonts w:ascii="IRNazanin" w:hAnsi="IRNazanin" w:eastAsia="IRNazanin"/>
          <w:color w:val="111111"/>
          <w:sz w:val="28"/>
          <w:sz w:val="28"/>
          <w:szCs w:val="28"/>
          <w:rtl w:val="true"/>
          <w:lang w:bidi="fa-IR"/>
        </w:rPr>
        <w:t>و غیرها</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مجمع الفائدة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 الإجماع</w:t>
      </w:r>
      <w:r>
        <w:rPr>
          <w:rFonts w:eastAsia="IRNazanin" w:cs="IRNazanin"/>
          <w:color w:val="111111"/>
          <w:sz w:val="28"/>
          <w:szCs w:val="28"/>
          <w:rtl w:val="true"/>
          <w:lang w:bidi="fa-IR"/>
        </w:rPr>
        <w:t>»</w:t>
      </w:r>
      <w:r>
        <w:rPr>
          <w:rStyle w:val="FootnoteAnchor"/>
          <w:rtl w:val="true"/>
        </w:rPr>
        <w:footnoteReference w:id="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غنائم الأیّام</w:t>
      </w:r>
      <w:r>
        <w:rPr>
          <w:rStyle w:val="FootnoteAnchor"/>
          <w:rtl w:val="true"/>
        </w:rPr>
        <w:footnoteReference w:id="452"/>
      </w:r>
      <w:r>
        <w:rPr>
          <w:rFonts w:ascii="IRNazanin" w:hAnsi="IRNazanin" w:eastAsia="IRNazanin"/>
          <w:color w:val="111111"/>
          <w:sz w:val="28"/>
          <w:sz w:val="28"/>
          <w:szCs w:val="28"/>
          <w:rtl w:val="true"/>
          <w:lang w:bidi="fa-IR"/>
        </w:rPr>
        <w:t>و الحدائق</w:t>
      </w:r>
      <w:r>
        <w:rPr>
          <w:rStyle w:val="FootnoteAnchor"/>
          <w:rtl w:val="true"/>
        </w:rPr>
        <w:footnoteReference w:id="453"/>
      </w:r>
      <w:r>
        <w:rPr>
          <w:rFonts w:ascii="IRNazanin" w:hAnsi="IRNazanin" w:eastAsia="IRNazanin"/>
          <w:color w:val="111111"/>
          <w:sz w:val="28"/>
          <w:sz w:val="28"/>
          <w:szCs w:val="28"/>
          <w:rtl w:val="true"/>
          <w:lang w:bidi="fa-IR"/>
        </w:rPr>
        <w:t>و المسالک</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بل علیه الإجماع</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الحکم المذکور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أماریّة الإنبات عند العقلاء</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جامع 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إنبات الشعر لیس من الأمارات التی تحتاج أماریّتها إلی التعبّد، بل هی من الأمارات التی تعتبرها العقلاء و توجب الاطمئنان بحصول البلوغ، و ما لم یردع عنه الشرع یکون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بدّ من</w:t>
      </w:r>
    </w:p>
    <w:p>
      <w:pPr>
        <w:pStyle w:val="BookText"/>
        <w:rPr/>
      </w:pPr>
      <w:r>
        <w:rPr>
          <w:rFonts w:ascii="IRNazanin" w:hAnsi="IRNazanin" w:eastAsia="IRNazanin"/>
          <w:color w:val="111111"/>
          <w:sz w:val="28"/>
          <w:sz w:val="28"/>
          <w:szCs w:val="28"/>
          <w:rtl w:val="true"/>
          <w:lang w:bidi="fa-IR"/>
        </w:rPr>
        <w:t>اعتبار الإنبات باقتضاء السنّ و الطبیعة دون ما کان بالعلاج</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التهذیب و الاستبصار فی الحسن عن یزید الکناسیّ،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فالغلام یجری فی ذلک مجری الجاریة؟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خالد إنّ الغلام إذا زوّجه أبوه و لم یدرک کان له الخیار إذا أدرک و بلغ خمس عشرة سنة، أو یشعر فی وجهه، أو ینبت فی عانته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الحدیث</w:t>
      </w:r>
      <w:r>
        <w:rPr>
          <w:rStyle w:val="FootnoteAnchor"/>
          <w:rtl w:val="true"/>
        </w:rPr>
        <w:footnoteReference w:id="457"/>
      </w:r>
      <w:r>
        <w:rPr>
          <w:rFonts w:ascii="IRNazanin" w:hAnsi="IRNazanin" w:eastAsia="IRNazanin"/>
          <w:color w:val="111111"/>
          <w:sz w:val="28"/>
          <w:sz w:val="28"/>
          <w:szCs w:val="28"/>
          <w:rtl w:val="true"/>
          <w:lang w:bidi="fa-IR"/>
        </w:rPr>
        <w:t>، و رواه فی الوسائل عن برید الکناسی</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أیّ حالٍ فقد عدّ علیه السلام إنبات الشعر فی العانة علامة للبلوغ و الإدراک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حمزة بن حمران عن حمران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الغلام لا یجوز أمره فی الشراء و البیع، و لا یخرج من الیتم حتّی یبلغ خمس عشرة سنة، أو یحتلم أو یشعر أو ینبت قبل ذلک</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أبی البختری عن جعفر بن محمّد عن أبیه علیهما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عرضهم رسول اللّه صلی الله علیه و آله یومئذٍ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بنی قریظة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العانات، فمن وجده أنبت قتله، و من لم یجده أنبت ألحقه بالذراری</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علیّ بن إبراهیم فی تفسیر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ابْتَلُوا الْیَتامی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فی یده مال بعض الیتامی فلا یجوز له أن یعطیه حتّی یبلغ النکاح و یحتلم</w:t>
      </w:r>
      <w:r>
        <w:rPr>
          <w:rStyle w:val="FootnoteAnchor"/>
          <w:rtl w:val="true"/>
        </w:rPr>
        <w:footnoteReference w:id="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کانوا لا یعلمون أنّه قد بلغ فإنّه یمتحن بریح إبطه أو نبت عانته، فإذا کان ذلک فقد بلغ</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أنّ الضمیر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الصادق علیه السلام المذکور فی ذیل الآیة السابقة، کما عن الصافی روایته عنه مسنداً إلیه</w:t>
      </w:r>
      <w:r>
        <w:rPr>
          <w:rStyle w:val="FootnoteAnchor"/>
          <w:rtl w:val="true"/>
        </w:rPr>
        <w:footnoteReference w:id="463"/>
      </w:r>
      <w:r>
        <w:rPr>
          <w:rFonts w:ascii="IRNazanin" w:hAnsi="IRNazanin" w:eastAsia="IRNazanin"/>
          <w:color w:val="111111"/>
          <w:sz w:val="28"/>
          <w:sz w:val="28"/>
          <w:szCs w:val="28"/>
          <w:rtl w:val="true"/>
          <w:lang w:bidi="fa-IR"/>
        </w:rPr>
        <w:t>، و لعلّه وجده کذلک فیما وصل إلیه من النسخ، و إلّا کان من کلامه علی عادة القدماء، و هو و إن لم یکن حجّة لکنّه لا یخلو من تأیید، کما فی الجواهر</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 ما روی عن طریق أهل السنّة عن عطیة القُرظیّ،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عرضنا علی النبیّ صلی الله علیه و آله زمن قریظة، فمن کان منّا محتلماً أو نبتت عانته 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فنظروا إلیّ فلم تکن نبتت عانتی فتُرِکْتُ‌</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ما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سعد بن معاذ حکم فی بنی قریظة کان یکشف عن عورات المراهقین، و من أنبت منهم قتل، و من لم ینبت جعل فی الذراریّ‌</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الروایات و إن لم تکن حجّة فی نفسها لضعف سندها و لکنّها مستفیضة معنیً، و الأصحاب علی العمل بمضمونها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شبهة فی کون شعر العانة علامة علی البلوغ</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bookmarkStart w:id="154" w:name="pg11757_135482"/>
    </w:p>
    <w:p>
      <w:pPr>
        <w:pStyle w:val="BookText"/>
        <w:rPr/>
      </w:pPr>
      <w:bookmarkEnd w:id="154"/>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ینبغی التوقّف فی أصل الحکم</w:t>
      </w:r>
      <w:r>
        <w:rPr>
          <w:rFonts w:eastAsia="IRNazanin" w:cs="IRNazanin"/>
          <w:color w:val="111111"/>
          <w:sz w:val="28"/>
          <w:szCs w:val="28"/>
          <w:rtl w:val="true"/>
          <w:lang w:bidi="fa-IR"/>
        </w:rPr>
        <w:t>»</w:t>
      </w:r>
      <w:r>
        <w:rPr>
          <w:rStyle w:val="FootnoteAnchor"/>
          <w:rtl w:val="true"/>
        </w:rPr>
        <w:footnoteReference w:id="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تفصیل الشریعة</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إطلاق النصوص یشمل الکافر، و لا فرق بینه و بین المسلم، و لذا قال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الإنبات دلالة علی بلوغ المسلمین و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الفرقة</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کان مسلماً أو مشرکاً</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 خلافاً للشافعی فی أحد قولیه</w:t>
      </w:r>
      <w:r>
        <w:rPr>
          <w:rStyle w:val="FootnoteAnchor"/>
          <w:rtl w:val="true"/>
        </w:rPr>
        <w:footnoteReference w:id="472"/>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p>
    <w:p>
      <w:pPr>
        <w:pStyle w:val="Heading5"/>
        <w:numPr>
          <w:ilvl w:val="4"/>
          <w:numId w:val="1"/>
        </w:numPr>
        <w:rPr/>
      </w:pPr>
      <w:bookmarkStart w:id="155" w:name="__RefHeading___Toc9696627_73709187"/>
      <w:bookmarkStart w:id="156" w:name="_Toc57"/>
      <w:bookmarkEnd w:id="155"/>
      <w:r>
        <w:rPr>
          <w:rtl w:val="true"/>
        </w:rPr>
        <w:t>اختصاص الحکم بشعر العانة</w:t>
      </w:r>
      <w:bookmarkEnd w:id="156"/>
    </w:p>
    <w:p>
      <w:pPr>
        <w:pStyle w:val="BookText"/>
        <w:rPr/>
      </w:pPr>
      <w:r>
        <w:rPr>
          <w:rFonts w:ascii="IRNazanin" w:hAnsi="IRNazanin" w:eastAsia="IRNazanin"/>
          <w:color w:val="111111"/>
          <w:sz w:val="28"/>
          <w:sz w:val="28"/>
          <w:szCs w:val="28"/>
          <w:rtl w:val="true"/>
          <w:lang w:bidi="fa-IR"/>
        </w:rPr>
        <w:t>هل أنّ الإنبات یختصّ بما إذا کان حول الذکر و القبل أو أنّه أعمّ منهما حتّی یشمل مثل اللّحیة؟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المشهور إلی الأوّل، 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أنّ إنبات اللّحیة لا یحکم بمجرّده بالبلوغ</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الإنبات مختصّ بشعر العانة الخشن، و لا اعتبار بالزغب و الشعر الضعیف الذی قد یوجد فی الصغر، بل بالخشن الذی یحتاج فی إزالته إلی الحلق حول ذکر الرجل أو فرج المرأة</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 و به قال فی المختصر النافع</w:t>
      </w:r>
      <w:r>
        <w:rPr>
          <w:rStyle w:val="FootnoteAnchor"/>
          <w:rtl w:val="true"/>
        </w:rPr>
        <w:footnoteReference w:id="475"/>
      </w:r>
      <w:r>
        <w:rPr>
          <w:rFonts w:ascii="IRNazanin" w:hAnsi="IRNazanin" w:eastAsia="IRNazanin"/>
          <w:color w:val="111111"/>
          <w:sz w:val="28"/>
          <w:sz w:val="28"/>
          <w:szCs w:val="28"/>
          <w:rtl w:val="true"/>
          <w:lang w:bidi="fa-IR"/>
        </w:rPr>
        <w:t>و الجامع للشرائع</w:t>
      </w:r>
      <w:r>
        <w:rPr>
          <w:rStyle w:val="FootnoteAnchor"/>
          <w:rtl w:val="true"/>
        </w:rPr>
        <w:footnoteReference w:id="476"/>
      </w:r>
      <w:r>
        <w:rPr>
          <w:rFonts w:ascii="IRNazanin" w:hAnsi="IRNazanin" w:eastAsia="IRNazanin"/>
          <w:color w:val="111111"/>
          <w:sz w:val="28"/>
          <w:sz w:val="28"/>
          <w:szCs w:val="28"/>
          <w:rtl w:val="true"/>
          <w:lang w:bidi="fa-IR"/>
        </w:rPr>
        <w:t>و غیرها</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علّله فی المسالک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احترز بالخشن عن الشعر الضعیف الذی ینبت قبل الخشن ثمّ یزول و یعبّر عنه بالزغب، و بشعر العانة عن غیره، کشعر الإبط، و الشارب و اللّحیة، فلا عبرة بها عندنا، و إن کان الأغلب تأخّرها عن البلوغ؛ إذ لم یثبت کون ذلک دلیلاً شرعاً</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العقلاء</w:t>
      </w:r>
      <w:r>
        <w:rPr>
          <w:rStyle w:val="FootnoteAnchor"/>
          <w:rtl w:val="true"/>
        </w:rPr>
        <w:footnoteReference w:id="479"/>
      </w:r>
      <w:r>
        <w:rPr>
          <w:rFonts w:ascii="IRNazanin" w:hAnsi="IRNazanin" w:eastAsia="IRNazanin"/>
          <w:color w:val="111111"/>
          <w:sz w:val="28"/>
          <w:sz w:val="28"/>
          <w:szCs w:val="28"/>
          <w:rtl w:val="true"/>
          <w:lang w:bidi="fa-IR"/>
        </w:rPr>
        <w:t>اعتبروها دلیلاً علی البلوغ، و لم یردعها الشارع، فیکون دلیلاً شرعیّاً مضافاً إلی أنّ إطلاق بعض النصوص المتقدّمة یشمل إنبات شعر الوجه، و صرّح به فی بعضها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 إلیه بعض الفقهاء من أنّ إنبات شعر الوجه أیضاً علامة للبلوغ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مقتضی إطلاق کلام الشیخ فی صوم المبسوط‌</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تحریر الأحکام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الأقرب أنّ إنبات اللّحیة دلیل علی البلوغ، أمّا باقی الشعور فلا</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قوّاه الشهید فی صوم الروضة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إلحاق اخضرار الشارب و إنبات اللحیة بالعانة قول قویّ</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 و به قال فی الحدائق</w:t>
      </w:r>
      <w:r>
        <w:rPr>
          <w:rStyle w:val="FootnoteAnchor"/>
          <w:rtl w:val="true"/>
        </w:rPr>
        <w:footnoteReference w:id="483"/>
      </w:r>
      <w:r>
        <w:rPr>
          <w:rFonts w:ascii="IRNazanin" w:hAnsi="IRNazanin" w:eastAsia="IRNazanin"/>
          <w:color w:val="111111"/>
          <w:sz w:val="28"/>
          <w:sz w:val="28"/>
          <w:szCs w:val="28"/>
          <w:rtl w:val="true"/>
          <w:lang w:bidi="fa-IR"/>
        </w:rPr>
        <w:t xml:space="preserve">و الریاض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و غیرها</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علیه إطلاق النصوص المتقدّمة، و خصوص بعضها، ففی روایة یزید الکناسیّ،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أدرک و بلغ خمس عشرة سنة أو یشعر فی وجهه أو ینبت فی عانته قبل ذلک</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مضافاً إلی وقوع التصریح بإلحاق شعر الوجه بالعانة فی بعض تلک المعتبرة</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لو کان علامة لاستغنی بها عن اختبار شعر العانة بل لم یجز الکشف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فضعفه ظاهر؛ ضرورة خروج العانة عن العورة أوّلاً، و عدم الاستغناء عنها؛ لتقدّم نباتها علی اللّحیة و الشارب، بل یقوی إلحاق العذار و العارض و العنفقة و نحوها بهما؛ لعموم المستند، إلاّ أنّ ظاهر باقی الأصحاب الاختصاص بالعانة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ذلک منهم لتأخّر نباتهما عن البلوغ عادةً بکثیر، و مدارهم علی ذکر العلامات النافعة عند الاشتباه، لا حال معلومیّة البلوغ الحاصلة غالباً عند نباتهما بحیث لا یحتاج إلی استناد العلامات</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إنبات اللّحیة و الشارب یتأخّران عن البلوغ بمدّة طویلة حسب العادة و الطبیعة، و اعتبرهما العقلاء دلیلین علیه و لم یردعهما الشارع، بل صرّح بهما فی النصوص، فکیف لا یکونان</w:t>
      </w:r>
      <w:r>
        <w:rPr>
          <w:rStyle w:val="FootnoteAnchor"/>
          <w:rtl w:val="true"/>
        </w:rPr>
        <w:footnoteReference w:id="489"/>
      </w:r>
      <w:r>
        <w:rPr>
          <w:rFonts w:ascii="IRNazanin" w:hAnsi="IRNazanin" w:eastAsia="IRNazanin"/>
          <w:color w:val="111111"/>
          <w:sz w:val="28"/>
          <w:sz w:val="28"/>
          <w:szCs w:val="28"/>
          <w:rtl w:val="true"/>
          <w:lang w:bidi="fa-IR"/>
        </w:rPr>
        <w:t>أمارة شرعیّة؟ فالظاهر أنّه</w:t>
      </w:r>
    </w:p>
    <w:p>
      <w:pPr>
        <w:pStyle w:val="BookText"/>
        <w:rPr/>
      </w:pPr>
      <w:r>
        <w:rPr>
          <w:rFonts w:ascii="IRNazanin" w:hAnsi="IRNazanin" w:eastAsia="IRNazanin"/>
          <w:color w:val="111111"/>
          <w:sz w:val="28"/>
          <w:sz w:val="28"/>
          <w:szCs w:val="28"/>
          <w:rtl w:val="true"/>
          <w:lang w:bidi="fa-IR"/>
        </w:rPr>
        <w:t>لا مانع من أن یکون إنبات اللّحیة و الشارب دلیلین علی البلوغ، مضافاً إلی أنّهما حیث یتأخّران عن الإنبات علی العانة یوجبان</w:t>
      </w:r>
      <w:r>
        <w:rPr>
          <w:rStyle w:val="FootnoteAnchor"/>
          <w:rtl w:val="true"/>
        </w:rPr>
        <w:footnoteReference w:id="490"/>
      </w:r>
      <w:r>
        <w:rPr>
          <w:rFonts w:ascii="IRNazanin" w:hAnsi="IRNazanin" w:eastAsia="IRNazanin"/>
          <w:color w:val="111111"/>
          <w:sz w:val="28"/>
          <w:sz w:val="28"/>
          <w:szCs w:val="28"/>
          <w:rtl w:val="true"/>
          <w:lang w:bidi="fa-IR"/>
        </w:rPr>
        <w:t>الاطمئنان، و لعلّ عدم تعرّض الفقهاء لهما لتحقّقهما بعد البلوغ بطویل لا من جهة عدم کونهما علامة له، إلاّ أن یکون فی المسألة إجماع قطعی، و الظاهر أنّه لم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بدّ من اعتبار الإنبات باقتضاء السنّ و الطبیعة دون ما کان بالعلاج کما صرّح به بعض الأعلام</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عبرة بالشعر علی سائر الأعضاء کشعر الصدر و الیدین، قال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اعتبار بشعر الإبط عندنا</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فی الجواهر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للأصل و عمومات الکتاب و السنّة من غیر معارض یعتدّ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یعلم شذوذ ما فی بعض الأخبار من عدّ شعر الإبط من العلامات، و إلّا فنصوص الإشعار خاصّة یمکن حملها علی الإنبات خاصّة، أو مع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اللّحیة و الشارب و نحوها</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لا تختصّ هذه العلامة بالذکور و إن کان شعر الوجه لا یکون فی النساء غالباً، قال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یشترک فی هذین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الإنبات و خروج المنی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الذکور و الإناث</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فالمشترکة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الإنبات</w:t>
      </w:r>
      <w:r>
        <w:rPr>
          <w:rFonts w:eastAsia="IRNazanin" w:cs="IRNazanin"/>
          <w:color w:val="111111"/>
          <w:sz w:val="28"/>
          <w:szCs w:val="28"/>
          <w:rtl w:val="true"/>
          <w:lang w:bidi="fa-IR"/>
        </w:rPr>
        <w:t>»</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غیرهما</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علیه إطلاق النصوص التی دلّت علی الحکم، و ظهور اتّفاق الأصحاب و الإجماع علی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یشترک فی هذین الدلیلین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الإنبات و خروج المنی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الذکور و الإناث؛ لإطلاق أدلّتها، مضافاً إلی الإجماع علیه قطعاً</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علّله فی تفصیل الشریعة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الإنبات أمارة طبیعیّة اعتبرها الشارع؛ لکشفه عن تحقّق الإدراک، فلا یختلف الأمر، مضافاً إلی أنّ العادة تقتضی بتأخّر إنبات الشعر فی الاُنثی عن تسع سنین، و لعلّ التأخّر کان کثیراً</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 و قریب من هذا فی غیره</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یظهر من بعض الفقهاء اختصاص ذلک بالذکور، قال فی المهذّب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بلوغ الغلام احتلامه، أو کمال عقله، أو أن یشعر، و حدّ بلوغ المرأة تسع سنین</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الظاهر من کلام ابن حمزة فی الوسیلة</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الدلیل عندهم ظهور النصوص فی الذکور خاصّة کما فی الجواهر</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أنّ الدلیل لا ینحصر بالنصوص، بل العمدة فی المقام الإجماع، و معقده عام، و هکذا السیرة العقلائیّة التی لم یثبت ردعها من الشارع، و لعلّ ابنا البرّاج و حمزة لم یکونا فی مقام بیان الحصر و إن اقتضی ظاهر کلامهما ذلک</w:t>
      </w:r>
      <w:r>
        <w:rPr>
          <w:rFonts w:eastAsia="IRNazanin" w:cs="IRNazanin"/>
          <w:color w:val="111111"/>
          <w:sz w:val="28"/>
          <w:szCs w:val="28"/>
          <w:rtl w:val="true"/>
          <w:lang w:bidi="fa-IR"/>
        </w:rPr>
        <w:t>.</w:t>
      </w:r>
      <w:bookmarkStart w:id="157" w:name="pg11757_135487"/>
    </w:p>
    <w:p>
      <w:pPr>
        <w:pStyle w:val="Heading5"/>
        <w:numPr>
          <w:ilvl w:val="4"/>
          <w:numId w:val="1"/>
        </w:numPr>
        <w:rPr/>
      </w:pPr>
      <w:bookmarkStart w:id="158" w:name="__RefHeading___Toc9696629_73709187"/>
      <w:bookmarkStart w:id="159" w:name="_Toc58"/>
      <w:bookmarkEnd w:id="157"/>
      <w:bookmarkEnd w:id="158"/>
      <w:r>
        <w:rPr>
          <w:rtl w:val="true"/>
        </w:rPr>
        <w:t>کون الإنبات بنفسه بلوغاً أو کاشفاً عنه؟</w:t>
      </w:r>
      <w:bookmarkEnd w:id="159"/>
    </w:p>
    <w:p>
      <w:pPr>
        <w:pStyle w:val="BookText"/>
        <w:rPr/>
      </w:pPr>
      <w:r>
        <w:rPr>
          <w:rFonts w:ascii="IRNazanin" w:hAnsi="IRNazanin" w:eastAsia="IRNazanin"/>
          <w:color w:val="111111"/>
          <w:sz w:val="28"/>
          <w:sz w:val="28"/>
          <w:szCs w:val="28"/>
          <w:rtl w:val="true"/>
          <w:lang w:bidi="fa-IR"/>
        </w:rPr>
        <w:t>ثمّ إنّ ههنا بحثاً مهمّاً،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الإنبات المعتبر هل یکون بنفسه بلوغاً، أو یکون دلیلاً علی سبقه؟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هو البلوغ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حدّه هو الاحتلام فی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الإنبات أو الإشعار</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 و به قال فی النهایة</w:t>
      </w:r>
      <w:r>
        <w:rPr>
          <w:rStyle w:val="FootnoteAnchor"/>
          <w:rtl w:val="true"/>
        </w:rPr>
        <w:footnoteReference w:id="504"/>
      </w:r>
      <w:r>
        <w:rPr>
          <w:rFonts w:ascii="IRNazanin" w:hAnsi="IRNazanin" w:eastAsia="IRNazanin"/>
          <w:color w:val="111111"/>
          <w:sz w:val="28"/>
          <w:sz w:val="28"/>
          <w:szCs w:val="28"/>
          <w:rtl w:val="true"/>
          <w:lang w:bidi="fa-IR"/>
        </w:rPr>
        <w:t>و المهذّب فی کتاب الوصایا</w:t>
      </w:r>
      <w:r>
        <w:rPr>
          <w:rStyle w:val="FootnoteAnchor"/>
          <w:rtl w:val="true"/>
        </w:rPr>
        <w:footnoteReference w:id="505"/>
      </w:r>
      <w:r>
        <w:rPr>
          <w:rFonts w:ascii="IRNazanin" w:hAnsi="IRNazanin" w:eastAsia="IRNazanin"/>
          <w:color w:val="111111"/>
          <w:sz w:val="28"/>
          <w:sz w:val="28"/>
          <w:szCs w:val="28"/>
          <w:rtl w:val="true"/>
          <w:lang w:bidi="fa-IR"/>
        </w:rPr>
        <w:t>، و اختاره فی السرائر فی کتاب الصوم</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الظاهر من الشرائع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یعلم بلوغه بإنبات الشعر الخشن علی العانة</w:t>
      </w:r>
      <w:r>
        <w:rPr>
          <w:rFonts w:eastAsia="IRNazanin" w:cs="IRNazanin"/>
          <w:color w:val="111111"/>
          <w:sz w:val="28"/>
          <w:szCs w:val="28"/>
          <w:rtl w:val="true"/>
          <w:lang w:bidi="fa-IR"/>
        </w:rPr>
        <w:t>»</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المختصر النافع</w:t>
      </w:r>
      <w:r>
        <w:rPr>
          <w:rStyle w:val="FootnoteAnchor"/>
          <w:rtl w:val="true"/>
        </w:rPr>
        <w:footnoteReference w:id="508"/>
      </w:r>
      <w:r>
        <w:rPr>
          <w:rFonts w:ascii="IRNazanin" w:hAnsi="IRNazanin" w:eastAsia="IRNazanin"/>
          <w:color w:val="111111"/>
          <w:sz w:val="28"/>
          <w:sz w:val="28"/>
          <w:szCs w:val="28"/>
          <w:rtl w:val="true"/>
          <w:lang w:bidi="fa-IR"/>
        </w:rPr>
        <w:t>و إرشاد الأذهان</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الغنیة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البلوغ یکون بأحد خمسة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الإنبات</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 و به قال فی الجامع للشرائع</w:t>
      </w:r>
      <w:r>
        <w:rPr>
          <w:rStyle w:val="FootnoteAnchor"/>
          <w:rtl w:val="true"/>
        </w:rPr>
        <w:footnoteReference w:id="511"/>
      </w:r>
      <w:r>
        <w:rPr>
          <w:rFonts w:ascii="IRNazanin" w:hAnsi="IRNazanin" w:eastAsia="IRNazanin"/>
          <w:color w:val="111111"/>
          <w:sz w:val="28"/>
          <w:sz w:val="28"/>
          <w:szCs w:val="28"/>
          <w:rtl w:val="true"/>
          <w:lang w:bidi="fa-IR"/>
        </w:rPr>
        <w:t>و کشف الرموز</w:t>
      </w:r>
      <w:r>
        <w:rPr>
          <w:rStyle w:val="FootnoteAnchor"/>
          <w:rtl w:val="true"/>
        </w:rPr>
        <w:footnoteReference w:id="512"/>
      </w:r>
      <w:r>
        <w:rPr>
          <w:rFonts w:ascii="IRNazanin" w:hAnsi="IRNazanin" w:eastAsia="IRNazanin"/>
          <w:color w:val="111111"/>
          <w:sz w:val="28"/>
          <w:sz w:val="28"/>
          <w:szCs w:val="28"/>
          <w:rtl w:val="true"/>
          <w:lang w:bidi="fa-IR"/>
        </w:rPr>
        <w:t>، و هو الظاهر من الروضة فی کتاب الصوم</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 ظاهر الخبرین المتقدّمین، ففی خبر یزید الکناسی،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الغلام إذا زوّجه أبوه و لم یدرک کان له الخیار إذا أدرک و بلغ خمس عشرة سنة، أو یشعر فی وجهه، أو ینبت فی عانته قبل ذلک</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روایة حمزة بن حمران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یخرج من الیتم حتّی یبلغ خمس عشرة سنة، أو یحتلم، أو یشعر، أو ینبت قبل ذلک</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غنائم الأیّام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الحکم معلّق علیه فی الأخبار</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الظاهر أنّ الخبرین المتقدّمین لا ینافیان</w:t>
      </w:r>
      <w:r>
        <w:rPr>
          <w:rStyle w:val="FootnoteAnchor"/>
          <w:rtl w:val="true"/>
        </w:rPr>
        <w:footnoteReference w:id="517"/>
      </w:r>
      <w:r>
        <w:rPr>
          <w:rFonts w:ascii="IRNazanin" w:hAnsi="IRNazanin" w:eastAsia="IRNazanin"/>
          <w:color w:val="111111"/>
          <w:sz w:val="28"/>
          <w:sz w:val="28"/>
          <w:szCs w:val="28"/>
          <w:rtl w:val="true"/>
          <w:lang w:bidi="fa-IR"/>
        </w:rPr>
        <w:t>أماریّة الإنبات للبلوغ، بل لا یستفاد منهما أکثر من ذلک، و أیضاً لا منافاة بین أماریّته و تعلیق الحکم علیه، قال فی المسالک ردّاً علی الوجه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أعمّ من المدّعی</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جمع من الفقهاء إلی أنّ الإنبات أمارة و دلیل علی البلوغ، و هو الأظهر، و هو القول الثانی للشیخ فی الخلاف حیث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الإنبات دلالة علی بلوغ المسلمین و المشرکین</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الأقرب أنّه دلالة علی البلوغ، فإنّا نعلم سبق البلوغ علیه؛</w:t>
      </w:r>
    </w:p>
    <w:p>
      <w:pPr>
        <w:pStyle w:val="BookText"/>
        <w:rPr/>
      </w:pPr>
      <w:r>
        <w:rPr>
          <w:rFonts w:ascii="IRNazanin" w:hAnsi="IRNazanin" w:eastAsia="IRNazanin"/>
          <w:color w:val="111111"/>
          <w:sz w:val="28"/>
          <w:sz w:val="28"/>
          <w:szCs w:val="28"/>
          <w:rtl w:val="true"/>
          <w:lang w:bidi="fa-IR"/>
        </w:rPr>
        <w:t>لحصوله علی التدریج</w:t>
      </w:r>
      <w:r>
        <w:rPr>
          <w:rFonts w:eastAsia="IRNazanin" w:cs="IRNazanin"/>
          <w:color w:val="111111"/>
          <w:sz w:val="28"/>
          <w:szCs w:val="28"/>
          <w:rtl w:val="true"/>
          <w:lang w:bidi="fa-IR"/>
        </w:rPr>
        <w:t>»</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التحریر</w:t>
      </w:r>
      <w:r>
        <w:rPr>
          <w:rStyle w:val="FootnoteAnchor"/>
          <w:rtl w:val="true"/>
        </w:rPr>
        <w:footnoteReference w:id="521"/>
      </w:r>
      <w:r>
        <w:rPr>
          <w:rFonts w:ascii="IRNazanin" w:hAnsi="IRNazanin" w:eastAsia="IRNazanin"/>
          <w:color w:val="111111"/>
          <w:sz w:val="28"/>
          <w:sz w:val="28"/>
          <w:szCs w:val="28"/>
          <w:rtl w:val="true"/>
          <w:lang w:bidi="fa-IR"/>
        </w:rPr>
        <w:t>، و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المشهور</w:t>
      </w:r>
      <w:r>
        <w:rPr>
          <w:rStyle w:val="FootnoteAnchor"/>
          <w:rtl w:val="true"/>
        </w:rPr>
        <w:footnoteReference w:id="522"/>
      </w:r>
      <w:r>
        <w:rPr>
          <w:rFonts w:ascii="IRNazanin" w:hAnsi="IRNazanin" w:eastAsia="IRNazanin"/>
          <w:color w:val="111111"/>
          <w:sz w:val="28"/>
          <w:sz w:val="28"/>
          <w:szCs w:val="28"/>
          <w:rtl w:val="true"/>
          <w:lang w:bidi="fa-IR"/>
        </w:rPr>
        <w:t>، و اختاره فی جامع المقاصد</w:t>
      </w:r>
      <w:r>
        <w:rPr>
          <w:rStyle w:val="FootnoteAnchor"/>
          <w:rtl w:val="true"/>
        </w:rPr>
        <w:footnoteReference w:id="523"/>
      </w:r>
      <w:r>
        <w:rPr>
          <w:rFonts w:ascii="IRNazanin" w:hAnsi="IRNazanin" w:eastAsia="IRNazanin"/>
          <w:color w:val="111111"/>
          <w:sz w:val="28"/>
          <w:sz w:val="28"/>
          <w:szCs w:val="28"/>
          <w:rtl w:val="true"/>
          <w:lang w:bidi="fa-IR"/>
        </w:rPr>
        <w:t>، و غایة المراد</w:t>
      </w:r>
      <w:r>
        <w:rPr>
          <w:rStyle w:val="FootnoteAnchor"/>
          <w:rtl w:val="true"/>
        </w:rPr>
        <w:footnoteReference w:id="524"/>
      </w:r>
      <w:r>
        <w:rPr>
          <w:rFonts w:ascii="IRNazanin" w:hAnsi="IRNazanin" w:eastAsia="IRNazanin"/>
          <w:color w:val="111111"/>
          <w:sz w:val="28"/>
          <w:sz w:val="28"/>
          <w:szCs w:val="28"/>
          <w:rtl w:val="true"/>
          <w:lang w:bidi="fa-IR"/>
        </w:rPr>
        <w:t>، و مفتاح الکرامة</w:t>
      </w:r>
      <w:r>
        <w:rPr>
          <w:rStyle w:val="FootnoteAnchor"/>
          <w:rtl w:val="true"/>
        </w:rPr>
        <w:footnoteReference w:id="525"/>
      </w:r>
      <w:r>
        <w:rPr>
          <w:rFonts w:ascii="IRNazanin" w:hAnsi="IRNazanin" w:eastAsia="IRNazanin"/>
          <w:color w:val="111111"/>
          <w:sz w:val="28"/>
          <w:sz w:val="28"/>
          <w:szCs w:val="28"/>
          <w:rtl w:val="true"/>
          <w:lang w:bidi="fa-IR"/>
        </w:rPr>
        <w:t>، و الجواهر</w:t>
      </w:r>
      <w:r>
        <w:rPr>
          <w:rStyle w:val="FootnoteAnchor"/>
          <w:rtl w:val="true"/>
        </w:rPr>
        <w:footnoteReference w:id="526"/>
      </w:r>
      <w:r>
        <w:rPr>
          <w:rFonts w:ascii="IRNazanin" w:hAnsi="IRNazanin" w:eastAsia="IRNazanin"/>
          <w:color w:val="111111"/>
          <w:sz w:val="28"/>
          <w:sz w:val="28"/>
          <w:szCs w:val="28"/>
          <w:rtl w:val="true"/>
          <w:lang w:bidi="fa-IR"/>
        </w:rPr>
        <w:t>، و به قال فی تفصیل الشریعة</w:t>
      </w:r>
      <w:r>
        <w:rPr>
          <w:rStyle w:val="FootnoteAnchor"/>
          <w:rtl w:val="true"/>
        </w:rPr>
        <w:footnoteReference w:id="527"/>
      </w:r>
      <w:r>
        <w:rPr>
          <w:rFonts w:ascii="IRNazanin" w:hAnsi="IRNazanin" w:eastAsia="IRNazanin"/>
          <w:color w:val="111111"/>
          <w:sz w:val="28"/>
          <w:sz w:val="28"/>
          <w:szCs w:val="28"/>
          <w:rtl w:val="true"/>
          <w:lang w:bidi="fa-IR"/>
        </w:rPr>
        <w:t>و غیرها</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له بأنّه قد علّقت الأحکام فی الکتاب و السنّة علی الحلم و الاحتلام، و لو کان الإنبات بلوغاً بنفسه لم یخصّ غیره بذلک؛ و لأنّ البلوغ غیر مکتسب، و الإنبات قد یکتسب بالدواء</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اجیب بأنّ الکتاب و السنّة دلّا علی أنّ البلوغ یتحقّق بالحلم و الاحتلام و لم یدلّا علی أنّه لا یتحقّق بغیره، فإطلاقهما أو عمومهما مقیّد أو مخصّص بعدم الإنبات و السنّ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تخصیص الشیء بالذکر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الحلم و الاحتلام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 نفی ما عداه، و هو الإنبات و السنّ، و لا سیّما إذا دلّ الدلیل</w:t>
      </w:r>
      <w:r>
        <w:rPr>
          <w:rStyle w:val="FootnoteAnchor"/>
          <w:rtl w:val="true"/>
        </w:rPr>
        <w:footnoteReference w:id="530"/>
      </w:r>
      <w:r>
        <w:rPr>
          <w:rFonts w:ascii="IRNazanin" w:hAnsi="IRNazanin" w:eastAsia="IRNazanin"/>
          <w:color w:val="111111"/>
          <w:sz w:val="28"/>
          <w:sz w:val="28"/>
          <w:szCs w:val="28"/>
          <w:rtl w:val="true"/>
          <w:lang w:bidi="fa-IR"/>
        </w:rPr>
        <w:t>، و مفروض الکلام فیما إذا کان الإنبات طبیعیّاً و بغیر معالجة، و إلّا فلا اعتبار به</w:t>
      </w:r>
      <w:r>
        <w:rPr>
          <w:rFonts w:eastAsia="IRNazanin" w:cs="IRNazanin"/>
          <w:color w:val="111111"/>
          <w:sz w:val="28"/>
          <w:szCs w:val="28"/>
          <w:rtl w:val="true"/>
          <w:lang w:bidi="fa-IR"/>
        </w:rPr>
        <w:t>.</w:t>
      </w:r>
      <w:bookmarkStart w:id="160" w:name="pg11757_135490"/>
    </w:p>
    <w:p>
      <w:pPr>
        <w:pStyle w:val="BookText"/>
        <w:rPr/>
      </w:pPr>
      <w:bookmarkEnd w:id="160"/>
      <w:r>
        <w:rPr>
          <w:rFonts w:ascii="IRNazanin" w:hAnsi="IRNazanin" w:eastAsia="IRNazanin"/>
          <w:color w:val="111111"/>
          <w:sz w:val="28"/>
          <w:sz w:val="28"/>
          <w:szCs w:val="28"/>
          <w:rtl w:val="true"/>
          <w:lang w:bidi="fa-IR"/>
        </w:rPr>
        <w:t>و استدلّ فی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الحجر مستمرّ فی حقّ الصبیّ إلی أن یحتلم کما دلّ علیه الحدیث، فلو کان الإنبات بلوغاً بنفسه لم یکن</w:t>
      </w:r>
      <w:r>
        <w:rPr>
          <w:rStyle w:val="FootnoteAnchor"/>
          <w:rtl w:val="true"/>
        </w:rPr>
        <w:footnoteReference w:id="531"/>
      </w:r>
      <w:r>
        <w:rPr>
          <w:rFonts w:ascii="IRNazanin" w:hAnsi="IRNazanin" w:eastAsia="IRNazanin"/>
          <w:color w:val="111111"/>
          <w:sz w:val="28"/>
          <w:sz w:val="28"/>
          <w:szCs w:val="28"/>
          <w:rtl w:val="true"/>
          <w:lang w:bidi="fa-IR"/>
        </w:rPr>
        <w:t>الحجر مستمرّاً إلی الاحتلام، فتعیّن أن یکون أمارة</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الأولی الاستدلال بأنّه تدریجیّ الحصول، و البلوغ لا یکون کذلک، و عدم معلومیّة أوّل آنات تحقّق الشعر الخشن، و قضاء العادة بتأخّره عنه، و کذلک الکلام فیما الحق به من الشعر، کما فی الجواهر</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یؤیّده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یدلّ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الأحکام فی الکتاب و السنّة علی الاحتلام، مع أنّه کاشف عن سبق البلوغ بلا ریب</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تظهر ثمرة الخلاف فی قضاء ما یجب قضاؤه من العبادات، و فی نفوذ إقراره و تصرّفاته المتقدّمة علی الاعتبار بزمان یعلم بعدم تأخّر بلوغه عنه</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 w:name="__RefHeading___Toc9696631_73709187"/>
      <w:bookmarkStart w:id="162" w:name="_Toc59"/>
      <w:bookmarkEnd w:id="161"/>
      <w:r>
        <w:rPr>
          <w:rtl w:val="true"/>
        </w:rPr>
        <w:t>العلامة الثانیة</w:t>
      </w:r>
      <w:r>
        <w:rPr>
          <w:rtl w:val="true"/>
        </w:rPr>
        <w:t xml:space="preserve">: </w:t>
      </w:r>
      <w:r>
        <w:rPr>
          <w:rtl w:val="true"/>
        </w:rPr>
        <w:t>خروج المنی أو القدرة علی الإنزال</w:t>
      </w:r>
      <w:bookmarkEnd w:id="162"/>
    </w:p>
    <w:p>
      <w:pPr>
        <w:pStyle w:val="Heading5"/>
        <w:numPr>
          <w:ilvl w:val="4"/>
          <w:numId w:val="1"/>
        </w:numPr>
        <w:rPr/>
      </w:pPr>
      <w:bookmarkStart w:id="163" w:name="__RefHeading___Toc9696633_73709187"/>
      <w:bookmarkStart w:id="164" w:name="_Toc60"/>
      <w:bookmarkEnd w:id="163"/>
      <w:r>
        <w:rPr>
          <w:rtl w:val="true"/>
        </w:rPr>
        <w:t>اشارة</w:t>
      </w:r>
      <w:bookmarkEnd w:id="164"/>
    </w:p>
    <w:p>
      <w:pPr>
        <w:pStyle w:val="BookText"/>
        <w:rPr/>
      </w:pPr>
      <w:r>
        <w:rPr>
          <w:rFonts w:ascii="IRNazanin" w:hAnsi="IRNazanin" w:eastAsia="IRNazanin"/>
          <w:color w:val="111111"/>
          <w:sz w:val="28"/>
          <w:sz w:val="28"/>
          <w:szCs w:val="28"/>
          <w:rtl w:val="true"/>
          <w:lang w:bidi="fa-IR"/>
        </w:rPr>
        <w:t xml:space="preserve">لا خلاف فی أنّ خروج المنی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الماء الدافق الذی یخلق منه الولد غالباً من الموضع المعتاد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للبلوغ فی الذکر و الاُنثی</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امور</w:t>
      </w:r>
      <w:r>
        <w:rPr>
          <w:rFonts w:eastAsia="IRNazanin" w:cs="IRNazanin"/>
          <w:color w:val="111111"/>
          <w:sz w:val="28"/>
          <w:szCs w:val="28"/>
          <w:rtl w:val="true"/>
          <w:lang w:bidi="fa-IR"/>
        </w:rPr>
        <w:t>:</w:t>
      </w:r>
      <w:bookmarkStart w:id="165" w:name="pg11757_135491"/>
    </w:p>
    <w:p>
      <w:pPr>
        <w:pStyle w:val="Heading5"/>
        <w:numPr>
          <w:ilvl w:val="4"/>
          <w:numId w:val="1"/>
        </w:numPr>
        <w:rPr/>
      </w:pPr>
      <w:bookmarkStart w:id="166" w:name="__RefHeading___Toc9696635_73709187"/>
      <w:bookmarkStart w:id="167" w:name="_Toc61"/>
      <w:bookmarkEnd w:id="165"/>
      <w:bookmarkEnd w:id="166"/>
      <w:r>
        <w:rPr>
          <w:rtl w:val="true"/>
        </w:rPr>
        <w:t>الأوّل</w:t>
      </w:r>
      <w:r>
        <w:rPr>
          <w:rtl w:val="true"/>
        </w:rPr>
        <w:t xml:space="preserve">: </w:t>
      </w:r>
      <w:r>
        <w:rPr>
          <w:rtl w:val="true"/>
        </w:rPr>
        <w:t>الإجماع</w:t>
      </w:r>
      <w:bookmarkEnd w:id="167"/>
    </w:p>
    <w:p>
      <w:p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الاحتلام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خروج المنیّ، و هو الماء الدافق الذی یخلق منه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فی الرجل و المرأة، عند علمائنا أجمع، و لا نعلم فیه خلافاً فی الذکر</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 و ادّعاه أیضاً فی الغنیة</w:t>
      </w:r>
      <w:r>
        <w:rPr>
          <w:rStyle w:val="FootnoteAnchor"/>
          <w:rtl w:val="true"/>
        </w:rPr>
        <w:footnoteReference w:id="538"/>
      </w:r>
      <w:r>
        <w:rPr>
          <w:rFonts w:ascii="IRNazanin" w:hAnsi="IRNazanin" w:eastAsia="IRNazanin"/>
          <w:color w:val="111111"/>
          <w:sz w:val="28"/>
          <w:sz w:val="28"/>
          <w:szCs w:val="28"/>
          <w:rtl w:val="true"/>
          <w:lang w:bidi="fa-IR"/>
        </w:rPr>
        <w:t>و السرائر</w:t>
      </w:r>
      <w:r>
        <w:rPr>
          <w:rStyle w:val="FootnoteAnchor"/>
          <w:rtl w:val="true"/>
        </w:rPr>
        <w:footnoteReference w:id="539"/>
      </w:r>
      <w:r>
        <w:rPr>
          <w:rFonts w:ascii="IRNazanin" w:hAnsi="IRNazanin" w:eastAsia="IRNazanin"/>
          <w:color w:val="111111"/>
          <w:sz w:val="28"/>
          <w:sz w:val="28"/>
          <w:szCs w:val="28"/>
          <w:rtl w:val="true"/>
          <w:lang w:bidi="fa-IR"/>
        </w:rPr>
        <w:t>و المسالک</w:t>
      </w:r>
      <w:r>
        <w:rPr>
          <w:rStyle w:val="FootnoteAnchor"/>
          <w:rtl w:val="true"/>
        </w:rPr>
        <w:footnoteReference w:id="540"/>
      </w:r>
      <w:r>
        <w:rPr>
          <w:rFonts w:ascii="IRNazanin" w:hAnsi="IRNazanin" w:eastAsia="IRNazanin"/>
          <w:color w:val="111111"/>
          <w:sz w:val="28"/>
          <w:sz w:val="28"/>
          <w:szCs w:val="28"/>
          <w:rtl w:val="true"/>
          <w:lang w:bidi="fa-IR"/>
        </w:rPr>
        <w:t>و جامع المقاصد</w:t>
      </w:r>
      <w:r>
        <w:rPr>
          <w:rStyle w:val="FootnoteAnchor"/>
          <w:rtl w:val="true"/>
        </w:rPr>
        <w:footnoteReference w:id="541"/>
      </w:r>
      <w:r>
        <w:rPr>
          <w:rFonts w:ascii="IRNazanin" w:hAnsi="IRNazanin" w:eastAsia="IRNazanin"/>
          <w:color w:val="111111"/>
          <w:sz w:val="28"/>
          <w:sz w:val="28"/>
          <w:szCs w:val="28"/>
          <w:rtl w:val="true"/>
          <w:lang w:bidi="fa-IR"/>
        </w:rPr>
        <w:t>و الحدائق</w:t>
      </w: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بالإجماع المستفیض</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من المسلمین، فضلاً عن المؤمنین، بل الإجماع بقسمیه علیه</w:t>
      </w:r>
      <w:r>
        <w:rPr>
          <w:rFonts w:eastAsia="IRNazanin" w:cs="IRNazanin"/>
          <w:color w:val="111111"/>
          <w:sz w:val="28"/>
          <w:szCs w:val="28"/>
          <w:rtl w:val="true"/>
          <w:lang w:bidi="fa-IR"/>
        </w:rPr>
        <w:t>»</w:t>
      </w:r>
      <w:r>
        <w:rPr>
          <w:rStyle w:val="FootnoteAnchor"/>
          <w:rtl w:val="true"/>
        </w:rPr>
        <w:footnoteReference w:id="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تفصیل الشریعة</w:t>
      </w:r>
      <w:r>
        <w:rPr>
          <w:rStyle w:val="FootnoteAnchor"/>
          <w:rtl w:val="true"/>
        </w:rPr>
        <w:footnoteReference w:id="545"/>
      </w:r>
      <w:r>
        <w:rPr>
          <w:rFonts w:ascii="IRNazanin" w:hAnsi="IRNazanin" w:eastAsia="IRNazanin"/>
          <w:color w:val="111111"/>
          <w:sz w:val="28"/>
          <w:sz w:val="28"/>
          <w:szCs w:val="28"/>
          <w:rtl w:val="true"/>
          <w:lang w:bidi="fa-IR"/>
        </w:rPr>
        <w:t>و مهذّب الأحکام</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 w:name="__RefHeading___Toc9696637_73709187"/>
      <w:bookmarkStart w:id="169" w:name="_Toc62"/>
      <w:bookmarkEnd w:id="168"/>
      <w:r>
        <w:rPr>
          <w:rtl w:val="true"/>
        </w:rPr>
        <w:t>الثانی</w:t>
      </w:r>
      <w:r>
        <w:rPr>
          <w:rtl w:val="true"/>
        </w:rPr>
        <w:t xml:space="preserve">: </w:t>
      </w:r>
      <w:r>
        <w:rPr>
          <w:rtl w:val="true"/>
        </w:rPr>
        <w:t>الآیات</w:t>
      </w:r>
      <w:bookmarkEnd w:id="169"/>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ابْتَلُوا الْیَتامی حَتّی إِذا بَلَغُوا النِّکاحَ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الآیة، قال الشیخ فی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المعنی وقت النکاح</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فقه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یبلغوا الحدّ الذی یقدر علی مجامعة النساء و ینزل،</w:t>
      </w:r>
    </w:p>
    <w:p>
      <w:pPr>
        <w:pStyle w:val="BookText"/>
        <w:rPr/>
      </w:pPr>
      <w:r>
        <w:rPr>
          <w:rFonts w:ascii="IRNazanin" w:hAnsi="IRNazanin" w:eastAsia="IRNazanin"/>
          <w:color w:val="111111"/>
          <w:sz w:val="28"/>
          <w:sz w:val="28"/>
          <w:szCs w:val="28"/>
          <w:rtl w:val="true"/>
          <w:lang w:bidi="fa-IR"/>
        </w:rPr>
        <w:t>و لیس المراد الاحتلام؛ لأنّ فی الناس من لا یحتلم أو یتأخّر احتلامه</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زبدة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حدّ البلوغ بأن یقدروا علی الوطی الذی یحصل معه المنیّ بحصول المنیّ أو السنّ</w:t>
      </w:r>
      <w:r>
        <w:rPr>
          <w:rFonts w:eastAsia="IRNazanin" w:cs="IRNazanin"/>
          <w:color w:val="111111"/>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 و قریب من هذا فی کنز العرفان</w:t>
      </w:r>
      <w:r>
        <w:rPr>
          <w:rStyle w:val="FootnoteAnchor"/>
          <w:rtl w:val="true"/>
        </w:rPr>
        <w:footnoteReference w:id="550"/>
      </w:r>
      <w:r>
        <w:rPr>
          <w:rFonts w:ascii="IRNazanin" w:hAnsi="IRNazanin" w:eastAsia="IRNazanin"/>
          <w:color w:val="111111"/>
          <w:sz w:val="28"/>
          <w:sz w:val="28"/>
          <w:szCs w:val="28"/>
          <w:rtl w:val="true"/>
          <w:lang w:bidi="fa-IR"/>
        </w:rPr>
        <w:t>و الغنائم</w:t>
      </w:r>
      <w:r>
        <w:rPr>
          <w:rStyle w:val="FootnoteAnchor"/>
          <w:rtl w:val="true"/>
        </w:rPr>
        <w:footnoteReference w:id="551"/>
      </w:r>
      <w:r>
        <w:rPr>
          <w:rFonts w:ascii="IRNazanin" w:hAnsi="IRNazanin" w:eastAsia="IRNazanin"/>
          <w:color w:val="111111"/>
          <w:sz w:val="28"/>
          <w:sz w:val="28"/>
          <w:szCs w:val="28"/>
          <w:rtl w:val="true"/>
          <w:lang w:bidi="fa-IR"/>
        </w:rPr>
        <w:t>و المسالک</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بالجملة، قد علّق الحکم فی الآیة المبارکة علی بلوغ النکاح، و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ذکره المفسّرون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شهوة النکاح و الوطی، و القدرة علی الإنزال، و معلوم أنّ التمکّن من الإنزال لا یستلزم تحقّق الانفصال، فلو أحسّ بالشهوة و لم یخرج</w:t>
      </w:r>
      <w:r>
        <w:rPr>
          <w:rStyle w:val="FootnoteAnchor"/>
          <w:rtl w:val="true"/>
        </w:rPr>
        <w:footnoteReference w:id="553"/>
      </w:r>
      <w:r>
        <w:rPr>
          <w:rFonts w:ascii="IRNazanin" w:hAnsi="IRNazanin" w:eastAsia="IRNazanin"/>
          <w:color w:val="111111"/>
          <w:sz w:val="28"/>
          <w:sz w:val="28"/>
          <w:szCs w:val="28"/>
          <w:rtl w:val="true"/>
          <w:lang w:bidi="fa-IR"/>
        </w:rPr>
        <w:t>منه المنیّ کان بالغاً، و إن لم یجب علیه الغسل إلاّ بالخروج، کما فی المناهل</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بَلَغَ الْأَطْفالُ مِنْکُمُ الْحُلُمَ فَلْیَسْتَأْذِنُوا کَمَا اسْتَأْذَنَ الَّذِینَ مِنْ قَبْلِهِمْ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بتقریب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یراه النائم فی نومه</w:t>
      </w:r>
      <w:r>
        <w:rPr>
          <w:rStyle w:val="FootnoteAnchor"/>
          <w:rtl w:val="true"/>
        </w:rPr>
        <w:footnoteReference w:id="555"/>
      </w:r>
      <w:r>
        <w:rPr>
          <w:rFonts w:ascii="IRNazanin" w:hAnsi="IRNazanin" w:eastAsia="IRNazanin"/>
          <w:color w:val="111111"/>
          <w:sz w:val="28"/>
          <w:sz w:val="28"/>
          <w:szCs w:val="28"/>
          <w:rtl w:val="true"/>
          <w:lang w:bidi="fa-IR"/>
        </w:rPr>
        <w:t>، و الجمع الأحلام، و الاحتلام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رؤیة اللّذّة فی النوم</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 و بلغ مبالغ الرجال</w:t>
      </w:r>
      <w:r>
        <w:rPr>
          <w:rStyle w:val="FootnoteAnchor"/>
          <w:rtl w:val="true"/>
        </w:rPr>
        <w:footnoteReference w:id="557"/>
      </w:r>
      <w:r>
        <w:rPr>
          <w:rFonts w:ascii="IRNazanin" w:hAnsi="IRNazanin" w:eastAsia="IRNazanin"/>
          <w:color w:val="111111"/>
          <w:sz w:val="28"/>
          <w:sz w:val="28"/>
          <w:szCs w:val="28"/>
          <w:rtl w:val="true"/>
          <w:lang w:bidi="fa-IR"/>
        </w:rPr>
        <w:t>، و لکنّ المراد منه فی الآیة خروج المنیّ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الحلم هو خروج المنیّ من الذکر أو قبل المرأة مطلقاً، و لا یختصّ بالاحتلام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بدّ من کونه فی وقت یحتمل البلوغ فیه، فلا عبرة بما ینفصل بصفته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حدّه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جانب القلّة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الاُنثی تسع سنین، و أمّا فی جانب الذکر فما وقفت له علی حدّ یعتدّ به</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المراد منه معناه اللغوی الذی هو الرؤیة فی المنام، فإنّه قد یتحقّق بدون خروج المنیّ، کما أنّ خروج المنیّ ربّما یتحقّق بدونه، و العبرة حینئذٍ فی البلوغ</w:t>
      </w:r>
      <w:r>
        <w:rPr>
          <w:rStyle w:val="FootnoteAnchor"/>
          <w:rtl w:val="true"/>
        </w:rPr>
        <w:footnoteReference w:id="559"/>
      </w:r>
      <w:r>
        <w:rPr>
          <w:rFonts w:ascii="IRNazanin" w:hAnsi="IRNazanin" w:eastAsia="IRNazanin"/>
          <w:color w:val="111111"/>
          <w:sz w:val="28"/>
          <w:sz w:val="28"/>
          <w:szCs w:val="28"/>
          <w:rtl w:val="true"/>
          <w:lang w:bidi="fa-IR"/>
        </w:rPr>
        <w:t>بالخروج دون الرؤیة</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تَقْرَبُوا مالَ الْیَتِیمِ إِلاّ بِالَّتِی هِیَ أَحْسَنُ حَتّی یَبْلُغَ أَشُدَّهُ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حتّی یبلغ الحلم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یبلغ کمال العقل و یؤنس منه الرشد، کما فی فقه القرآن</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یکمل قواه العقلیّة و الحسّیة، و المراد أن یبلغ و یؤنس منه الرشد</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الأعلام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یتبدّل یتمه بالبلوغ، فیرتفع موضوع الصغر</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bookmarkStart w:id="170" w:name="pg11757_135494"/>
    </w:p>
    <w:p>
      <w:pPr>
        <w:pStyle w:val="BookText"/>
        <w:rPr/>
      </w:pPr>
      <w:bookmarkEnd w:id="170"/>
      <w:r>
        <w:rPr>
          <w:rFonts w:ascii="IRNazanin" w:hAnsi="IRNazanin" w:eastAsia="IRNazanin"/>
          <w:color w:val="111111"/>
          <w:sz w:val="28"/>
          <w:sz w:val="28"/>
          <w:szCs w:val="28"/>
          <w:rtl w:val="true"/>
          <w:lang w:bidi="fa-IR"/>
        </w:rPr>
        <w:t>و قد ورد فی النصوص الصحیحة أنّ المقصود منه الاحتلام کما سیأتی</w:t>
      </w:r>
      <w:r>
        <w:rPr>
          <w:rFonts w:eastAsia="IRNazanin" w:cs="IRNazanin"/>
          <w:color w:val="111111"/>
          <w:sz w:val="28"/>
          <w:szCs w:val="28"/>
          <w:rtl w:val="true"/>
          <w:lang w:bidi="fa-IR"/>
        </w:rPr>
        <w:t>.</w:t>
      </w:r>
    </w:p>
    <w:p>
      <w:pPr>
        <w:pStyle w:val="Heading5"/>
        <w:numPr>
          <w:ilvl w:val="4"/>
          <w:numId w:val="1"/>
        </w:numPr>
        <w:rPr/>
      </w:pPr>
      <w:bookmarkStart w:id="171" w:name="__RefHeading___Toc9696639_73709187"/>
      <w:bookmarkStart w:id="172" w:name="_Toc63"/>
      <w:bookmarkEnd w:id="171"/>
      <w:r>
        <w:rPr>
          <w:rtl w:val="true"/>
        </w:rPr>
        <w:t>الثالث</w:t>
      </w:r>
      <w:r>
        <w:rPr>
          <w:rtl w:val="true"/>
        </w:rPr>
        <w:t xml:space="preserve">: </w:t>
      </w:r>
      <w:r>
        <w:rPr>
          <w:rtl w:val="true"/>
        </w:rPr>
        <w:t>النصوص المستفیضة،</w:t>
      </w:r>
      <w:bookmarkEnd w:id="172"/>
    </w:p>
    <w:p>
      <w:pPr>
        <w:pStyle w:val="BookText"/>
        <w:rPr/>
      </w:pPr>
      <w:r>
        <w:rPr>
          <w:rFonts w:ascii="IRNazanin" w:hAnsi="IRNazanin" w:eastAsia="IRNazanin"/>
          <w:color w:val="111111"/>
          <w:sz w:val="28"/>
          <w:sz w:val="28"/>
          <w:szCs w:val="28"/>
          <w:rtl w:val="true"/>
          <w:lang w:bidi="fa-IR"/>
        </w:rPr>
        <w:t>بل المتواترة، و هی علی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تدلّ علی أنّ الصبیّ بعد الاحتلام انقطع یتمه و صار رجلاً أو 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هشام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انقطاع یُتم الیتیم بالاحتلام و هو أشدّه، و إن احتلم و لم یؤنس منه رشد و کان سفیهاً أو ضعیفاً فلیمسک عنه ولیّه ماله</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حاضر عن الیتیم متی یجوز أمره؟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یبلغ أشدّه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احتلامه</w:t>
      </w:r>
      <w:r>
        <w:rPr>
          <w:rFonts w:eastAsia="IRNazanin" w:cs="IRNazanin"/>
          <w:color w:val="111111"/>
          <w:sz w:val="28"/>
          <w:szCs w:val="28"/>
          <w:rtl w:val="true"/>
          <w:lang w:bidi="fa-IR"/>
        </w:rPr>
        <w:t>»</w:t>
      </w:r>
      <w:r>
        <w:rPr>
          <w:rStyle w:val="FootnoteAnchor"/>
          <w:rtl w:val="true"/>
        </w:rPr>
        <w:footnoteReference w:id="565"/>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التهذیب، عن جعفر بن محمّد، عن أبیه، عن آبائه علیهم السلام فی وصیّة النبیّ صلی الله علیه و آله لعلیّ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لا یُتم بعد احتلام</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أیضاً من الأحادیث المشهورة المتلقّاة بالقبول</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ما رواه الحمیریّ فی قرب الإسناد عن علیّ بن جعفر عن أخیه موسی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الیتیم متی ینقطع یُتمه؟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احتلم</w:t>
      </w:r>
    </w:p>
    <w:p>
      <w:pPr>
        <w:pStyle w:val="BookText"/>
        <w:rPr/>
      </w:pPr>
      <w:r>
        <w:rPr>
          <w:rFonts w:ascii="IRNazanin" w:hAnsi="IRNazanin" w:eastAsia="IRNazanin"/>
          <w:color w:val="111111"/>
          <w:sz w:val="28"/>
          <w:sz w:val="28"/>
          <w:szCs w:val="28"/>
          <w:rtl w:val="true"/>
          <w:lang w:bidi="fa-IR"/>
        </w:rPr>
        <w:t>و عرف الأخذ و العطاء</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فالظاهر من هذه الطائفة أنّ انقطاع یُتم الیتیم و بلوغه مبلغ الرجال أو النساء یتوقّف علی الاحتلام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التی قد علّقت وجوب الصوم و الصلاة و الحجّ فیها علی الاحتلام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عمّار الساباطی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الغلام متی تجب علیه الصلاة؟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أتی علیه ثلاث عشرة سنة، فإن احتلم قبل ذلک فقد وجبت علیه الصلاة و جری علیه القلم</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التهذیب عن أبی بصیر عن أبی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الصبیّ إذا احتلم الصیام</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الکافی عن ابن محبوب عن شهاب، عن أبی عبد اللّه علیه 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ابن عشر سنین یحجّ؟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حجّة الإسلام إذا احتلم</w:t>
      </w:r>
      <w:r>
        <w:rPr>
          <w:rFonts w:eastAsia="IRNazanin" w:cs="IRNazanin"/>
          <w:color w:val="111111"/>
          <w:sz w:val="28"/>
          <w:szCs w:val="28"/>
          <w:rtl w:val="true"/>
          <w:lang w:bidi="fa-IR"/>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مسمع بن عبد الملک،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غلاماً حجّ عشر حجج ثمّ احتلم کانت علیه فریضة الإسلام</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مرسلة الفقیه،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الصبیّ إذا احتلم الصیام، و علی المرأة إذا</w:t>
      </w:r>
    </w:p>
    <w:p>
      <w:pPr>
        <w:pStyle w:val="BookText"/>
        <w:rPr/>
      </w:pPr>
      <w:r>
        <w:rPr>
          <w:rFonts w:ascii="IRNazanin" w:hAnsi="IRNazanin" w:eastAsia="IRNazanin"/>
          <w:color w:val="111111"/>
          <w:sz w:val="28"/>
          <w:sz w:val="28"/>
          <w:szCs w:val="28"/>
          <w:rtl w:val="true"/>
          <w:lang w:bidi="fa-IR"/>
        </w:rPr>
        <w:t>حاضت الصیام</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هذه الطائفة تدلّ بالمطابقة أو بالالتزام علی أنّ التکالیف تتعلّق بالصبیّ و الصبیّة بعد احتلامهما، و أنّه بالاحتلام و خروج المنیّ منهما یبلغا مبلغ الرجال و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تدلّ علی أنّه لا یجب علی المرأة الستر عن الصبیّ قبل احتلامه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أحمد بن محمّد بن أبی نصر عن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یؤخذ الغلام بالصلاة و هو ابن سبع سنین، و لا تغطّی المرأة شعرها منه حتّی یحتلم</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معناها ما رواه فی قرب الإسناد أیضاً عن أحمد بن محمّد بن أبی نصر عن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تغطّی المرأة رأسها من الغلام حتّی یبلغ الغلام</w:t>
      </w:r>
      <w:r>
        <w:rPr>
          <w:rFonts w:eastAsia="IRNazanin" w:cs="IRNazanin"/>
          <w:color w:val="111111"/>
          <w:sz w:val="28"/>
          <w:szCs w:val="28"/>
          <w:rtl w:val="true"/>
          <w:lang w:bidi="fa-IR"/>
        </w:rPr>
        <w:t>»</w:t>
      </w:r>
      <w:r>
        <w:rPr>
          <w:rStyle w:val="FootnoteAnchor"/>
          <w:rtl w:val="true"/>
        </w:rPr>
        <w:footnoteReference w:id="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الدلالة واضحة، و تدلّان أیضاً علی جواز کشف المرأة رأسها ما لم یبلغ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أنّ ذکر الشعر إنّما خرج مخرج التمثیل؛ لأنّه لا فرق بینه و بین سائر الجسد فی تحریم النظر إلیه من الأجنبیّ الذی لیس بمحرم</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التی تدلّ علی أنّ الصبیّ یؤخذ بالحدود التامّة و یجری علیه القلم بعد احتلامه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الکافی 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یجب علی الغلام أن یؤخذ بالحدود التامّة و تقام علیه و یؤخذ بها؟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 عنه الیُتم و أدرک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حدّ یُعرف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احتلم</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ابن ظبیان المرویّة فی الخصال،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عمر بامرأة مجنونة قد زنت فأمر برجمها، فقال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ما علمت أنّ القلم رفع عن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الصبیّ حتّی یحتلم، و عن المجنون حتّی یفیق، و عن النائم حتّی یستیقظ</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النبویّ الذی رواه الفریقان، بل عن ابن إدریس أنّه مجمع علی روایته</w:t>
      </w:r>
      <w:r>
        <w:rPr>
          <w:rStyle w:val="FootnoteAnchor"/>
          <w:rtl w:val="true"/>
        </w:rPr>
        <w:footnoteReference w:id="5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القلم عن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الصبیّ حتّی یحتلم، و عن المجنون حتّی یفیق، و عن النائم حتّی یستیقظ</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طلحة بن یزید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أولاد المسلمین موسومون</w:t>
      </w:r>
      <w:r>
        <w:rPr>
          <w:rStyle w:val="FootnoteAnchor"/>
          <w:rtl w:val="true"/>
        </w:rPr>
        <w:footnoteReference w:id="581"/>
      </w:r>
      <w:r>
        <w:rPr>
          <w:rFonts w:ascii="IRNazanin" w:hAnsi="IRNazanin" w:eastAsia="IRNazanin"/>
          <w:color w:val="111111"/>
          <w:sz w:val="28"/>
          <w:sz w:val="28"/>
          <w:szCs w:val="28"/>
          <w:rtl w:val="true"/>
          <w:lang w:bidi="fa-IR"/>
        </w:rPr>
        <w:t>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 و مشفّع، فإذا بلغوا اثنتی عشرة سنة کتبت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الحسنات، فإذا بلغوا الحلم کتبت علیهم السیّئات</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 فإنّها تدلّ علی أنّ الأخذ بالحدود التامّة و کتابة قلم التکلیف و المؤاخذة معلّقان علی تحقّق الاحتلام، و حیث إنّ غیر البالغ لا یؤخذ بالحدود و لا یجری علیه القلم، فیبلغ</w:t>
      </w:r>
      <w:bookmarkStart w:id="173" w:name="pg11757_135498"/>
    </w:p>
    <w:p>
      <w:pPr>
        <w:pStyle w:val="BookText"/>
        <w:rPr/>
      </w:pPr>
      <w:bookmarkEnd w:id="173"/>
      <w:r>
        <w:rPr>
          <w:rFonts w:ascii="IRNazanin" w:hAnsi="IRNazanin" w:eastAsia="IRNazanin"/>
          <w:color w:val="111111"/>
          <w:sz w:val="28"/>
          <w:sz w:val="28"/>
          <w:szCs w:val="28"/>
          <w:rtl w:val="true"/>
          <w:lang w:bidi="fa-IR"/>
        </w:rPr>
        <w:t>الصبیّ بالاحتلام مبلغ الرجال و البالغین، فیکون الاحتلام علامة للبلوغ، و هو المطلوب</w:t>
      </w:r>
      <w:r>
        <w:rPr>
          <w:rFonts w:eastAsia="IRNazanin" w:cs="IRNazanin"/>
          <w:color w:val="111111"/>
          <w:sz w:val="28"/>
          <w:szCs w:val="28"/>
          <w:rtl w:val="true"/>
          <w:lang w:bidi="fa-IR"/>
        </w:rPr>
        <w:t>.</w:t>
      </w:r>
    </w:p>
    <w:p>
      <w:pPr>
        <w:pStyle w:val="Heading4"/>
        <w:numPr>
          <w:ilvl w:val="3"/>
          <w:numId w:val="1"/>
        </w:numPr>
        <w:rPr/>
      </w:pPr>
      <w:bookmarkStart w:id="174" w:name="__RefHeading___Toc9696641_73709187"/>
      <w:bookmarkStart w:id="175" w:name="_Toc64"/>
      <w:bookmarkEnd w:id="174"/>
      <w:r>
        <w:rPr>
          <w:rtl w:val="true"/>
        </w:rPr>
        <w:t>اُمور هامّة ینبغی ذکرها</w:t>
      </w:r>
      <w:bookmarkEnd w:id="175"/>
    </w:p>
    <w:p>
      <w:pPr>
        <w:pStyle w:val="Heading5"/>
        <w:numPr>
          <w:ilvl w:val="4"/>
          <w:numId w:val="1"/>
        </w:numPr>
        <w:rPr/>
      </w:pPr>
      <w:bookmarkStart w:id="176" w:name="__RefHeading___Toc9696643_73709187"/>
      <w:bookmarkStart w:id="177" w:name="_Toc65"/>
      <w:bookmarkEnd w:id="176"/>
      <w:r>
        <w:rPr>
          <w:rtl w:val="true"/>
        </w:rPr>
        <w:t>الأوّل</w:t>
      </w:r>
      <w:r>
        <w:rPr>
          <w:rtl w:val="true"/>
        </w:rPr>
        <w:t>:</w:t>
      </w:r>
      <w:bookmarkEnd w:id="177"/>
    </w:p>
    <w:p>
      <w:pPr>
        <w:pStyle w:val="BookText"/>
        <w:rPr/>
      </w:pPr>
      <w:r>
        <w:rPr>
          <w:rFonts w:ascii="IRNazanin" w:hAnsi="IRNazanin" w:eastAsia="IRNazanin"/>
          <w:color w:val="111111"/>
          <w:sz w:val="28"/>
          <w:sz w:val="28"/>
          <w:szCs w:val="28"/>
          <w:rtl w:val="true"/>
          <w:lang w:bidi="fa-IR"/>
        </w:rPr>
        <w:t xml:space="preserve">أنّ التعبیر بالحلم و الاحتلام لا یوجب اختصاص الحکم بمعناهما اللغویّ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الرؤیة فی المنام</w:t>
      </w:r>
      <w:r>
        <w:rPr>
          <w:rStyle w:val="FootnoteAnchor"/>
          <w:rtl w:val="true"/>
        </w:rPr>
        <w:footnoteReference w:id="583"/>
      </w:r>
      <w:r>
        <w:rPr>
          <w:rFonts w:ascii="Amiri" w:hAnsi="Amiri" w:eastAsia="Amiri" w:cs="Amiri"/>
          <w:color w:val="111111"/>
          <w:sz w:val="28"/>
          <w:sz w:val="28"/>
          <w:szCs w:val="28"/>
          <w:rtl w:val="true"/>
          <w:lang w:bidi="ar-SA"/>
        </w:rPr>
        <w:t>و اللّذة فیه</w:t>
      </w: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فی تقریب الاستدلال بالآیة المبارکة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بلوغ شهوة النکاح و القدرة علی الإنزال و خروج المنیّ، سواء کان فی النوم أو الیقظة، و هذا هو المراد من النصوص أیضاً للقطع بعدم إرادة خصوصیّة معیّنة</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خروج المنیّ من الذکر أو قبل المرأة مطلقاً، سواء کان بشهوة أو غیر شهوة، و سواء کان بجماع أو غیر جماع، و سواء کان فی نوم أو یقظة، و لا یختصّ بالاحتلام، بل هو منوط بمطلق الخروج</w:t>
      </w:r>
      <w:r>
        <w:rPr>
          <w:rFonts w:eastAsia="IRNazanin" w:cs="IRNazanin"/>
          <w:color w:val="111111"/>
          <w:sz w:val="28"/>
          <w:szCs w:val="28"/>
          <w:rtl w:val="true"/>
          <w:lang w:bidi="fa-IR"/>
        </w:rPr>
        <w:t>»</w:t>
      </w:r>
      <w:r>
        <w:rPr>
          <w:rStyle w:val="FootnoteAnchor"/>
          <w:rtl w:val="true"/>
        </w:rPr>
        <w:footnoteReference w:id="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کتاب الصوم من الروضة</w:t>
      </w:r>
      <w:r>
        <w:rPr>
          <w:rStyle w:val="FootnoteAnchor"/>
          <w:rtl w:val="true"/>
        </w:rPr>
        <w:footnoteReference w:id="587"/>
      </w:r>
      <w:r>
        <w:rPr>
          <w:rFonts w:ascii="IRNazanin" w:hAnsi="IRNazanin" w:eastAsia="IRNazanin"/>
          <w:color w:val="111111"/>
          <w:sz w:val="28"/>
          <w:sz w:val="28"/>
          <w:szCs w:val="28"/>
          <w:rtl w:val="true"/>
          <w:lang w:bidi="fa-IR"/>
        </w:rPr>
        <w:t>، و فی الحدائق</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أنّ النوم غیر معتبر فی البلوغ اتّفاقاً</w:t>
      </w:r>
      <w:r>
        <w:rPr>
          <w:rFonts w:eastAsia="IRNazanin" w:cs="IRNazanin"/>
          <w:color w:val="111111"/>
          <w:sz w:val="28"/>
          <w:szCs w:val="28"/>
          <w:rtl w:val="true"/>
          <w:lang w:bidi="fa-IR"/>
        </w:rPr>
        <w:t>»</w:t>
      </w:r>
      <w:r>
        <w:rPr>
          <w:rStyle w:val="FootnoteAnchor"/>
          <w:rtl w:val="true"/>
        </w:rPr>
        <w:footnoteReference w:id="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الریاض</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bookmarkStart w:id="178" w:name="pg11757_135499"/>
    </w:p>
    <w:p>
      <w:pPr>
        <w:pStyle w:val="BookText"/>
        <w:rPr/>
      </w:pPr>
      <w:bookmarkEnd w:id="178"/>
      <w:r>
        <w:rPr>
          <w:rFonts w:ascii="IRNazanin" w:hAnsi="IRNazanin" w:eastAsia="IRNazanin"/>
          <w:color w:val="111111"/>
          <w:sz w:val="28"/>
          <w:sz w:val="28"/>
          <w:szCs w:val="28"/>
          <w:rtl w:val="true"/>
          <w:lang w:bidi="fa-IR"/>
        </w:rPr>
        <w:t>و قال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هو خروج المنیّ، سواء کان فی الیقظة أو النوم، بالجماع أو بغیره، و لعلّه لذا جعل الحمل دلیلاً علی سبق البلوغ</w:t>
      </w:r>
      <w:r>
        <w:rPr>
          <w:rStyle w:val="FootnoteAnchor"/>
          <w:rtl w:val="true"/>
        </w:rPr>
        <w:footnoteReference w:id="591"/>
      </w:r>
      <w:r>
        <w:rPr>
          <w:rFonts w:ascii="IRNazanin" w:hAnsi="IRNazanin" w:eastAsia="IRNazanin"/>
          <w:color w:val="111111"/>
          <w:sz w:val="28"/>
          <w:sz w:val="28"/>
          <w:szCs w:val="28"/>
          <w:rtl w:val="true"/>
          <w:lang w:bidi="fa-IR"/>
        </w:rPr>
        <w:t>فی الاُنثی، لکونه مسبوقاً بخروج المنیّ، و قد عرفت أنّه قد عبّر عن البلوغ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بَلَغُوا النِّکاحَ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 أنّه لو کان المراد الاحتلام لزم أن لا یتحقّق البلوغ فی الرجال ما لم یتحقّق الاحتلام و إن نکحوا و صاروا ذا ولد، و هو واضح البطلان</w:t>
      </w:r>
      <w:r>
        <w:rPr>
          <w:rFonts w:eastAsia="IRNazanin" w:cs="IRNazanin"/>
          <w:color w:val="111111"/>
          <w:sz w:val="28"/>
          <w:szCs w:val="28"/>
          <w:rtl w:val="true"/>
          <w:lang w:bidi="fa-IR"/>
        </w:rPr>
        <w:t>»</w:t>
      </w:r>
      <w:r>
        <w:rPr>
          <w:rStyle w:val="FootnoteAnchor"/>
          <w:rtl w:val="true"/>
        </w:rPr>
        <w:footnoteReference w:id="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الجواهر</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 w:name="__RefHeading___Toc9696645_73709187"/>
      <w:bookmarkStart w:id="180" w:name="_Toc66"/>
      <w:bookmarkEnd w:id="179"/>
      <w:r>
        <w:rPr>
          <w:rtl w:val="true"/>
        </w:rPr>
        <w:t>الأمر الثانی</w:t>
      </w:r>
      <w:r>
        <w:rPr>
          <w:rtl w:val="true"/>
        </w:rPr>
        <w:t>:</w:t>
      </w:r>
      <w:bookmarkEnd w:id="180"/>
    </w:p>
    <w:p>
      <w:pPr>
        <w:pStyle w:val="BookText"/>
        <w:rPr/>
      </w:pPr>
      <w:r>
        <w:rPr>
          <w:rFonts w:ascii="IRNazanin" w:hAnsi="IRNazanin" w:eastAsia="IRNazanin"/>
          <w:color w:val="111111"/>
          <w:sz w:val="28"/>
          <w:sz w:val="28"/>
          <w:szCs w:val="28"/>
          <w:rtl w:val="true"/>
          <w:lang w:bidi="fa-IR"/>
        </w:rPr>
        <w:t xml:space="preserve">هل یعتبر اقترانه بالشهوة أو یکفی خروجه مطلقاً؟ صرّح بالأوّل فی جامع المقاصد حیث یقول فی ذیل کلام الماتن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المنیّ الذی یکون منه الولد من الموضع المعتاد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المراد به الماء الدافق الذی تقارنه الشهوة</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قوّاه فی المناهل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فی غایة القوّة، و انصراف إطلاق ما دلّ علی کونه دلیل البلوغ إلی الغالب، و هو ما قارن الشهوة</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الغلبة فی الوجود لا تکون دلیلاً للانصراف، و الأصل دلیل حیث لا دلیل، و فی المقام الدلیل موجود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إطلاق المشهور و صریح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یکفی خروجه مطلقاً، کما تقدّم فی الأمر الأوّل و هو الحقّ، و جاء فی التحریر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قارن الشهوة أو لا</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w:t>
      </w:r>
      <w:bookmarkStart w:id="181" w:name="pg11757_135500"/>
    </w:p>
    <w:p>
      <w:pPr>
        <w:pStyle w:val="BookText"/>
        <w:rPr/>
      </w:pPr>
      <w:bookmarkEnd w:id="181"/>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کان بشهوة أو غیر شهوة</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المختصر النافع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خروج المنیّ الذی منه الولد من الموضع المعتاد</w:t>
      </w:r>
      <w:r>
        <w:rPr>
          <w:rFonts w:eastAsia="IRNazanin" w:cs="IRNazanin"/>
          <w:color w:val="111111"/>
          <w:sz w:val="28"/>
          <w:szCs w:val="28"/>
          <w:rtl w:val="true"/>
          <w:lang w:bidi="fa-IR"/>
        </w:rPr>
        <w:t>»</w:t>
      </w:r>
      <w:r>
        <w:rPr>
          <w:rStyle w:val="FootnoteAnchor"/>
          <w:rtl w:val="true"/>
        </w:rPr>
        <w:footnoteReference w:id="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الغنیة</w:t>
      </w:r>
      <w:r>
        <w:rPr>
          <w:rStyle w:val="FootnoteAnchor"/>
          <w:rtl w:val="true"/>
        </w:rPr>
        <w:footnoteReference w:id="599"/>
      </w:r>
      <w:r>
        <w:rPr>
          <w:rFonts w:ascii="IRNazanin" w:hAnsi="IRNazanin" w:eastAsia="IRNazanin"/>
          <w:color w:val="111111"/>
          <w:sz w:val="28"/>
          <w:sz w:val="28"/>
          <w:szCs w:val="28"/>
          <w:rtl w:val="true"/>
          <w:lang w:bidi="fa-IR"/>
        </w:rPr>
        <w:t>و إرشاد الأذهان</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الروضة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البلوغ الذی یجب معه العبادة الاحتلام، و هو خروج المنیّ من قبله مطلقاً فی الذکر و الاُنثی</w:t>
      </w:r>
      <w:r>
        <w:rPr>
          <w:rFonts w:eastAsia="IRNazanin" w:cs="IRNazanin"/>
          <w:color w:val="111111"/>
          <w:sz w:val="28"/>
          <w:szCs w:val="28"/>
          <w:rtl w:val="true"/>
          <w:lang w:bidi="fa-IR"/>
        </w:rPr>
        <w:t>»</w:t>
      </w:r>
      <w:r>
        <w:rPr>
          <w:rStyle w:val="FootnoteAnchor"/>
          <w:rtl w:val="true"/>
        </w:rPr>
        <w:footnoteReference w:id="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الجواهر</w:t>
      </w:r>
      <w:r>
        <w:rPr>
          <w:rStyle w:val="FootnoteAnchor"/>
          <w:rtl w:val="true"/>
        </w:rPr>
        <w:footnoteReference w:id="602"/>
      </w:r>
      <w:r>
        <w:rPr>
          <w:rFonts w:ascii="IRNazanin" w:hAnsi="IRNazanin" w:eastAsia="IRNazanin"/>
          <w:color w:val="111111"/>
          <w:sz w:val="28"/>
          <w:sz w:val="28"/>
          <w:szCs w:val="28"/>
          <w:rtl w:val="true"/>
          <w:lang w:bidi="fa-IR"/>
        </w:rPr>
        <w:t>و غیرها</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الدلیل علی ذلک إطلاق الأدلّة</w:t>
      </w:r>
      <w:r>
        <w:rPr>
          <w:rFonts w:eastAsia="IRNazanin" w:cs="IRNazanin"/>
          <w:color w:val="111111"/>
          <w:sz w:val="28"/>
          <w:szCs w:val="28"/>
          <w:rtl w:val="true"/>
          <w:lang w:bidi="fa-IR"/>
        </w:rPr>
        <w:t>.</w:t>
      </w:r>
    </w:p>
    <w:p>
      <w:pPr>
        <w:pStyle w:val="Heading5"/>
        <w:numPr>
          <w:ilvl w:val="4"/>
          <w:numId w:val="1"/>
        </w:numPr>
        <w:rPr/>
      </w:pPr>
      <w:bookmarkStart w:id="182" w:name="__RefHeading___Toc9696647_73709187"/>
      <w:bookmarkStart w:id="183" w:name="_Toc67"/>
      <w:bookmarkEnd w:id="182"/>
      <w:r>
        <w:rPr>
          <w:rtl w:val="true"/>
        </w:rPr>
        <w:t>الأمر الثالث</w:t>
      </w:r>
      <w:r>
        <w:rPr>
          <w:rtl w:val="true"/>
        </w:rPr>
        <w:t>:</w:t>
      </w:r>
      <w:bookmarkEnd w:id="183"/>
    </w:p>
    <w:p>
      <w:pPr>
        <w:pStyle w:val="BookText"/>
        <w:rPr/>
      </w:pPr>
      <w:r>
        <w:rPr>
          <w:rFonts w:ascii="IRNazanin" w:hAnsi="IRNazanin" w:eastAsia="IRNazanin"/>
          <w:color w:val="111111"/>
          <w:sz w:val="28"/>
          <w:sz w:val="28"/>
          <w:szCs w:val="28"/>
          <w:rtl w:val="true"/>
          <w:lang w:bidi="fa-IR"/>
        </w:rPr>
        <w:t>هل یعتبر فی خروج المنی الدفق</w:t>
      </w:r>
      <w:r>
        <w:rPr>
          <w:rStyle w:val="FootnoteAnchor"/>
          <w:rtl w:val="true"/>
        </w:rPr>
        <w:footnoteReference w:id="604"/>
      </w:r>
      <w:r>
        <w:rPr>
          <w:rFonts w:ascii="IRNazanin" w:hAnsi="IRNazanin" w:eastAsia="IRNazanin"/>
          <w:color w:val="111111"/>
          <w:sz w:val="28"/>
          <w:sz w:val="28"/>
          <w:szCs w:val="28"/>
          <w:rtl w:val="true"/>
          <w:lang w:bidi="fa-IR"/>
        </w:rPr>
        <w:t>أو لا؟ صرّح بعضهم باعتباره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الماء الدافق الذی یخلق منه الولد</w:t>
      </w:r>
      <w:r>
        <w:rPr>
          <w:rFonts w:eastAsia="IRNazanin" w:cs="IRNazanin"/>
          <w:color w:val="111111"/>
          <w:sz w:val="28"/>
          <w:szCs w:val="28"/>
          <w:rtl w:val="true"/>
          <w:lang w:bidi="fa-IR"/>
        </w:rPr>
        <w:t>»</w:t>
      </w: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التحریر</w:t>
      </w:r>
      <w:r>
        <w:rPr>
          <w:rStyle w:val="FootnoteAnchor"/>
          <w:rtl w:val="true"/>
        </w:rPr>
        <w:footnoteReference w:id="606"/>
      </w:r>
      <w:r>
        <w:rPr>
          <w:rFonts w:ascii="IRNazanin" w:hAnsi="IRNazanin" w:eastAsia="IRNazanin"/>
          <w:color w:val="111111"/>
          <w:sz w:val="28"/>
          <w:sz w:val="28"/>
          <w:szCs w:val="28"/>
          <w:rtl w:val="true"/>
          <w:lang w:bidi="fa-IR"/>
        </w:rPr>
        <w:t>و الحدائق</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کلام أکثر الفقهاء خال عن هذا القید و اکتفوا بمطلق الخروج، قال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المنیّ الذی یکون منه الولد من الموضع المعتاد، کیف کان</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إرشاد الأذهان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یعلم بلوغ الذکر بالمنیّ</w:t>
      </w:r>
      <w:r>
        <w:rPr>
          <w:rFonts w:eastAsia="IRNazanin" w:cs="IRNazanin"/>
          <w:color w:val="111111"/>
          <w:sz w:val="28"/>
          <w:szCs w:val="28"/>
          <w:rtl w:val="true"/>
          <w:lang w:bidi="fa-IR"/>
        </w:rPr>
        <w:t>»</w:t>
      </w:r>
      <w:r>
        <w:rPr>
          <w:rStyle w:val="FootnoteAnchor"/>
          <w:rtl w:val="true"/>
        </w:rPr>
        <w:footnoteReference w:id="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المختصر النافع</w:t>
      </w:r>
      <w:r>
        <w:rPr>
          <w:rStyle w:val="FootnoteAnchor"/>
          <w:rtl w:val="true"/>
        </w:rPr>
        <w:footnoteReference w:id="610"/>
      </w:r>
      <w:r>
        <w:rPr>
          <w:rFonts w:ascii="IRNazanin" w:hAnsi="IRNazanin" w:eastAsia="IRNazanin"/>
          <w:color w:val="111111"/>
          <w:sz w:val="28"/>
          <w:sz w:val="28"/>
          <w:szCs w:val="28"/>
          <w:rtl w:val="true"/>
          <w:lang w:bidi="fa-IR"/>
        </w:rPr>
        <w:t>و الغنیة</w:t>
      </w:r>
      <w:r>
        <w:rPr>
          <w:rStyle w:val="FootnoteAnchor"/>
          <w:rtl w:val="true"/>
        </w:rPr>
        <w:footnoteReference w:id="611"/>
      </w:r>
      <w:r>
        <w:rPr>
          <w:rFonts w:ascii="IRNazanin" w:hAnsi="IRNazanin" w:eastAsia="IRNazanin"/>
          <w:color w:val="111111"/>
          <w:sz w:val="28"/>
          <w:sz w:val="28"/>
          <w:szCs w:val="28"/>
          <w:rtl w:val="true"/>
          <w:lang w:bidi="fa-IR"/>
        </w:rPr>
        <w:t>و القواعد</w:t>
      </w:r>
      <w:r>
        <w:rPr>
          <w:rStyle w:val="FootnoteAnchor"/>
          <w:rtl w:val="true"/>
        </w:rPr>
        <w:footnoteReference w:id="612"/>
      </w:r>
      <w:r>
        <w:rPr>
          <w:rFonts w:ascii="IRNazanin" w:hAnsi="IRNazanin" w:eastAsia="IRNazanin"/>
          <w:color w:val="111111"/>
          <w:sz w:val="28"/>
          <w:sz w:val="28"/>
          <w:szCs w:val="28"/>
          <w:rtl w:val="true"/>
          <w:lang w:bidi="fa-IR"/>
        </w:rPr>
        <w:t>و غیرها</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علیه أیضاً إطلاق الأدلّة، کما صرّح به فی الجواهر</w:t>
      </w:r>
      <w:r>
        <w:rPr>
          <w:rStyle w:val="FootnoteAnchor"/>
          <w:rtl w:val="true"/>
        </w:rPr>
        <w:footnoteReference w:id="614"/>
      </w:r>
      <w:r>
        <w:rPr>
          <w:rFonts w:ascii="IRNazanin" w:hAnsi="IRNazanin" w:eastAsia="IRNazanin"/>
          <w:color w:val="111111"/>
          <w:sz w:val="28"/>
          <w:sz w:val="28"/>
          <w:szCs w:val="28"/>
          <w:rtl w:val="true"/>
          <w:lang w:bidi="fa-IR"/>
        </w:rPr>
        <w:t>، مضافاً إلی أنّه یظهر من الغنیة الإجماع علیه، حیث یقول بعد ذکر علائم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المنیّ بدلیل إجماع الطائفة</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جامع 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المنی بلا خلاف</w:t>
      </w:r>
      <w:r>
        <w:rPr>
          <w:rFonts w:eastAsia="IRNazanin" w:cs="IRNazanin"/>
          <w:color w:val="111111"/>
          <w:sz w:val="28"/>
          <w:szCs w:val="28"/>
          <w:rtl w:val="true"/>
          <w:lang w:bidi="fa-IR"/>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المستمسک فی مسألة وجوب الغسل بالوطی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کلام الماتن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جامعاً للصفات أو فاقداً لها مع العلم بکونه منیّاً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من الصفات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الشهوة و الدفق و الفتور، و ظاهر بعض و صریح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 عموم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توهم عبارة المفید</w:t>
      </w:r>
      <w:r>
        <w:rPr>
          <w:rStyle w:val="FootnoteAnchor"/>
          <w:rtl w:val="true"/>
        </w:rPr>
        <w:footnoteReference w:id="617"/>
      </w:r>
      <w:r>
        <w:rPr>
          <w:rFonts w:ascii="IRNazanin" w:hAnsi="IRNazanin" w:eastAsia="IRNazanin"/>
          <w:color w:val="111111"/>
          <w:sz w:val="28"/>
          <w:sz w:val="28"/>
          <w:szCs w:val="28"/>
          <w:rtl w:val="true"/>
          <w:lang w:bidi="fa-IR"/>
        </w:rPr>
        <w:t>و المرتضی</w:t>
      </w:r>
      <w:r>
        <w:rPr>
          <w:rStyle w:val="FootnoteAnchor"/>
          <w:rtl w:val="true"/>
        </w:rPr>
        <w:footnoteReference w:id="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الدفق حیث فسّروا الماء الدافق بالمنیّ، لکنّ الظاهر أنّ التقیید بذلک للغلبة، فعن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یوجد فی بعض کتب أصحابنا من تقییده بالدفق فغیر واضح، إلّا أنّه لمّا کان الأغلب فی أحواله الدفق قیّد به</w:t>
      </w:r>
      <w:r>
        <w:rPr>
          <w:rFonts w:eastAsia="IRNazanin" w:cs="IRNazanin"/>
          <w:color w:val="111111"/>
          <w:sz w:val="28"/>
          <w:szCs w:val="28"/>
          <w:rtl w:val="true"/>
          <w:lang w:bidi="fa-IR"/>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bookmarkStart w:id="184" w:name="pg11757_135502"/>
    </w:p>
    <w:p>
      <w:pPr>
        <w:pStyle w:val="BookText"/>
        <w:rPr/>
      </w:pPr>
      <w:bookmarkEnd w:id="184"/>
      <w:r>
        <w:rPr>
          <w:rFonts w:ascii="IRNazanin" w:hAnsi="IRNazanin" w:eastAsia="IRNazanin"/>
          <w:color w:val="111111"/>
          <w:sz w:val="28"/>
          <w:sz w:val="28"/>
          <w:szCs w:val="28"/>
          <w:rtl w:val="true"/>
          <w:lang w:bidi="fa-IR"/>
        </w:rPr>
        <w:t>و قال السیّد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الصفات الواردة فی الأخبار من الخروج بالدفع أو الفتور أو الخروج عن شهوة إنّما تعتبر فی تمیّز المنیّ و تشخیصه عند الاشتباه کما فی البلل المشتبه، و أمّا مع العلم بأنّ الخارج منیّ فلا یعتبر فیه شیء من الصفات؛ لصدق الماء الأکبر أو الإنزال و الإمناء علیه</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 w:name="__RefHeading___Toc9696649_73709187"/>
      <w:bookmarkStart w:id="186" w:name="_Toc68"/>
      <w:bookmarkEnd w:id="185"/>
      <w:r>
        <w:rPr>
          <w:rtl w:val="true"/>
        </w:rPr>
        <w:t>الأمر الرابع</w:t>
      </w:r>
      <w:r>
        <w:rPr>
          <w:rtl w:val="true"/>
        </w:rPr>
        <w:t>:</w:t>
      </w:r>
      <w:bookmarkEnd w:id="186"/>
    </w:p>
    <w:p>
      <w:pPr>
        <w:pStyle w:val="BookText"/>
        <w:rPr/>
      </w:pPr>
      <w:r>
        <w:rPr>
          <w:rFonts w:ascii="IRNazanin" w:hAnsi="IRNazanin" w:eastAsia="IRNazanin"/>
          <w:color w:val="111111"/>
          <w:sz w:val="28"/>
          <w:sz w:val="28"/>
          <w:szCs w:val="28"/>
          <w:rtl w:val="true"/>
          <w:lang w:bidi="fa-IR"/>
        </w:rPr>
        <w:t>أنّه صرّح بعضهم أنّ المنیّ الذی یکون علامة البلوغ هو الذی یخلق منه الولد لا غیر، قال الشیخ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المنیّ إنّما یراد به خروج الماء الذی یخلق منه الولد</w:t>
      </w:r>
      <w:r>
        <w:rPr>
          <w:rFonts w:eastAsia="IRNazanin" w:cs="IRNazanin"/>
          <w:color w:val="111111"/>
          <w:sz w:val="28"/>
          <w:szCs w:val="28"/>
          <w:rtl w:val="true"/>
          <w:lang w:bidi="fa-IR"/>
        </w:rPr>
        <w:t>»</w:t>
      </w:r>
      <w:r>
        <w:rPr>
          <w:rStyle w:val="FootnoteAnchor"/>
          <w:rtl w:val="true"/>
        </w:rPr>
        <w:footnoteReference w:id="6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الشرائع</w:t>
      </w:r>
      <w:r>
        <w:rPr>
          <w:rStyle w:val="FootnoteAnchor"/>
          <w:rtl w:val="true"/>
        </w:rPr>
        <w:footnoteReference w:id="622"/>
      </w:r>
      <w:r>
        <w:rPr>
          <w:rFonts w:ascii="IRNazanin" w:hAnsi="IRNazanin" w:eastAsia="IRNazanin"/>
          <w:color w:val="111111"/>
          <w:sz w:val="28"/>
          <w:sz w:val="28"/>
          <w:szCs w:val="28"/>
          <w:rtl w:val="true"/>
          <w:lang w:bidi="fa-IR"/>
        </w:rPr>
        <w:t>و التذکرة</w:t>
      </w:r>
      <w:r>
        <w:rPr>
          <w:rStyle w:val="FootnoteAnchor"/>
          <w:rtl w:val="true"/>
        </w:rPr>
        <w:footnoteReference w:id="623"/>
      </w:r>
      <w:r>
        <w:rPr>
          <w:rFonts w:ascii="IRNazanin" w:hAnsi="IRNazanin" w:eastAsia="IRNazanin"/>
          <w:color w:val="111111"/>
          <w:sz w:val="28"/>
          <w:sz w:val="28"/>
          <w:szCs w:val="28"/>
          <w:rtl w:val="true"/>
          <w:lang w:bidi="fa-IR"/>
        </w:rPr>
        <w:t>و التحریر</w:t>
      </w:r>
      <w:r>
        <w:rPr>
          <w:rStyle w:val="FootnoteAnchor"/>
          <w:rtl w:val="true"/>
        </w:rPr>
        <w:footnoteReference w:id="624"/>
      </w:r>
      <w:r>
        <w:rPr>
          <w:rFonts w:ascii="IRNazanin" w:hAnsi="IRNazanin" w:eastAsia="IRNazanin"/>
          <w:color w:val="111111"/>
          <w:sz w:val="28"/>
          <w:sz w:val="28"/>
          <w:szCs w:val="28"/>
          <w:rtl w:val="true"/>
          <w:lang w:bidi="fa-IR"/>
        </w:rPr>
        <w:t>و القواعد</w:t>
      </w:r>
      <w:r>
        <w:rPr>
          <w:rStyle w:val="FootnoteAnchor"/>
          <w:rtl w:val="true"/>
        </w:rPr>
        <w:footnoteReference w:id="625"/>
      </w:r>
      <w:r>
        <w:rPr>
          <w:rFonts w:ascii="IRNazanin" w:hAnsi="IRNazanin" w:eastAsia="IRNazanin"/>
          <w:color w:val="111111"/>
          <w:sz w:val="28"/>
          <w:sz w:val="28"/>
          <w:szCs w:val="28"/>
          <w:rtl w:val="true"/>
          <w:lang w:bidi="fa-IR"/>
        </w:rPr>
        <w:t>و النافع</w:t>
      </w:r>
      <w:r>
        <w:rPr>
          <w:rStyle w:val="FootnoteAnchor"/>
          <w:rtl w:val="true"/>
        </w:rPr>
        <w:footnoteReference w:id="626"/>
      </w:r>
      <w:r>
        <w:rPr>
          <w:rFonts w:ascii="IRNazanin" w:hAnsi="IRNazanin" w:eastAsia="IRNazanin"/>
          <w:color w:val="111111"/>
          <w:sz w:val="28"/>
          <w:sz w:val="28"/>
          <w:szCs w:val="28"/>
          <w:rtl w:val="true"/>
          <w:lang w:bidi="fa-IR"/>
        </w:rPr>
        <w:t>و الإیضاح</w:t>
      </w:r>
      <w:r>
        <w:rPr>
          <w:rStyle w:val="FootnoteAnchor"/>
          <w:rtl w:val="true"/>
        </w:rPr>
        <w:footnoteReference w:id="627"/>
      </w:r>
      <w:r>
        <w:rPr>
          <w:rFonts w:ascii="IRNazanin" w:hAnsi="IRNazanin" w:eastAsia="IRNazanin"/>
          <w:color w:val="111111"/>
          <w:sz w:val="28"/>
          <w:sz w:val="28"/>
          <w:szCs w:val="28"/>
          <w:rtl w:val="true"/>
          <w:lang w:bidi="fa-IR"/>
        </w:rPr>
        <w:t>و غیرها</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أطلق بعض آخر کما فی الغنیة</w:t>
      </w:r>
      <w:r>
        <w:rPr>
          <w:rStyle w:val="FootnoteAnchor"/>
          <w:rtl w:val="true"/>
        </w:rPr>
        <w:footnoteReference w:id="629"/>
      </w:r>
      <w:r>
        <w:rPr>
          <w:rFonts w:ascii="IRNazanin" w:hAnsi="IRNazanin" w:eastAsia="IRNazanin"/>
          <w:color w:val="111111"/>
          <w:sz w:val="28"/>
          <w:sz w:val="28"/>
          <w:szCs w:val="28"/>
          <w:rtl w:val="true"/>
          <w:lang w:bidi="fa-IR"/>
        </w:rPr>
        <w:t>و الإرشاد</w:t>
      </w:r>
      <w:r>
        <w:rPr>
          <w:rStyle w:val="FootnoteAnchor"/>
          <w:rtl w:val="true"/>
        </w:rPr>
        <w:footnoteReference w:id="630"/>
      </w:r>
      <w:r>
        <w:rPr>
          <w:rFonts w:ascii="Amiri" w:hAnsi="Amiri" w:eastAsia="Amiri" w:cs="Amiri"/>
          <w:color w:val="111111"/>
          <w:sz w:val="28"/>
          <w:sz w:val="28"/>
          <w:szCs w:val="28"/>
          <w:rtl w:val="true"/>
          <w:lang w:bidi="ar-SA"/>
        </w:rPr>
        <w:t>و الروضة</w:t>
      </w:r>
      <w:r>
        <w:rPr>
          <w:rStyle w:val="FootnoteAnchor"/>
          <w:rtl w:val="true"/>
        </w:rPr>
        <w:footnoteReference w:id="631"/>
      </w:r>
      <w:r>
        <w:rPr>
          <w:rFonts w:ascii="IRNazanin" w:hAnsi="IRNazanin" w:eastAsia="IRNazanin"/>
          <w:color w:val="111111"/>
          <w:sz w:val="28"/>
          <w:sz w:val="28"/>
          <w:szCs w:val="28"/>
          <w:rtl w:val="true"/>
          <w:lang w:bidi="fa-IR"/>
        </w:rPr>
        <w:t>و جامع المدارک</w:t>
      </w:r>
      <w:r>
        <w:rPr>
          <w:rStyle w:val="FootnoteAnchor"/>
          <w:rtl w:val="true"/>
        </w:rPr>
        <w:footnoteReference w:id="632"/>
      </w:r>
      <w:r>
        <w:rPr>
          <w:rFonts w:ascii="Amiri" w:hAnsi="Amiri" w:eastAsia="Amiri" w:cs="Amiri"/>
          <w:color w:val="111111"/>
          <w:sz w:val="28"/>
          <w:sz w:val="28"/>
          <w:szCs w:val="28"/>
          <w:rtl w:val="true"/>
          <w:lang w:bidi="ar-SA"/>
        </w:rPr>
        <w:t>و المهذّب</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 البلوغ فی الذکر و الاُنثی بأحد امور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المنیّ یقظة أو نوماً، بجماع أو احتلام أو غیرهما</w:t>
      </w:r>
      <w:r>
        <w:rPr>
          <w:rFonts w:eastAsia="IRNazanin" w:cs="IRNazanin"/>
          <w:color w:val="111111"/>
          <w:sz w:val="28"/>
          <w:szCs w:val="28"/>
          <w:rtl w:val="true"/>
          <w:lang w:bidi="fa-IR"/>
        </w:rPr>
        <w:t>»</w:t>
      </w: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تفصیل الشریعة</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المقصود شأنیّة تخلّق الولد منه غالباً و بحسب النوع و إن تخلّف فی بعض الأحوال و فی بعض الأشخاص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المعتبر فی البلوغ خروج المنیّ مطلقاً، سواء صلح لتخلّق الولد بحسب شخصه أم لا؛ لإطلاق النصوص الدالّة علی ذلک، المتناولة لمحلّ النزاع، و الوجه فی هذه الصفة أنّها کاشفة لا مقیّدة</w:t>
      </w:r>
      <w:r>
        <w:rPr>
          <w:rFonts w:eastAsia="IRNazanin" w:cs="IRNazanin"/>
          <w:color w:val="111111"/>
          <w:sz w:val="28"/>
          <w:szCs w:val="28"/>
          <w:rtl w:val="true"/>
          <w:lang w:bidi="fa-IR"/>
        </w:rPr>
        <w:t>»</w:t>
      </w:r>
      <w:r>
        <w:rPr>
          <w:rStyle w:val="FootnoteAnchor"/>
          <w:rtl w:val="true"/>
        </w:rPr>
        <w:footnoteReference w:id="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جامع المقاصد</w:t>
      </w:r>
      <w:r>
        <w:rPr>
          <w:rStyle w:val="FootnoteAnchor"/>
          <w:rtl w:val="true"/>
        </w:rPr>
        <w:footnoteReference w:id="637"/>
      </w:r>
      <w:r>
        <w:rPr>
          <w:rFonts w:ascii="IRNazanin" w:hAnsi="IRNazanin" w:eastAsia="IRNazanin"/>
          <w:color w:val="111111"/>
          <w:sz w:val="28"/>
          <w:sz w:val="28"/>
          <w:szCs w:val="28"/>
          <w:rtl w:val="true"/>
          <w:lang w:bidi="fa-IR"/>
        </w:rPr>
        <w:t>و مفتاح الکرامة</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یقدح تخلّف التکوّن من بعض الأفراد، بل لعلّ المراد التخلّف من صنفه، فلا یقدح عدمه فی بعض الأشخاص کما هو واضح</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المناهل بعد الاستدلال بإطلاق الآیات و الأخبار ما هذا نصّه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الإجماع علی أنّ خروج المنیّ یدلّ علی ذلک، و یعضده إطلاق کلام المعظم مع عدم صراحة الکتب المتقدّمة فی الدلالة علی المخالفة، و قوّة احتمال إرادتها الأعمّ من الأمرین</w:t>
      </w:r>
      <w:r>
        <w:rPr>
          <w:rFonts w:eastAsia="IRNazanin" w:cs="IRNazanin"/>
          <w:color w:val="111111"/>
          <w:sz w:val="28"/>
          <w:szCs w:val="28"/>
          <w:rtl w:val="true"/>
          <w:lang w:bidi="fa-IR"/>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bookmarkStart w:id="187" w:name="pg11757_135504"/>
    </w:p>
    <w:p>
      <w:pPr>
        <w:pStyle w:val="Heading5"/>
        <w:numPr>
          <w:ilvl w:val="4"/>
          <w:numId w:val="1"/>
        </w:numPr>
        <w:rPr/>
      </w:pPr>
      <w:bookmarkStart w:id="188" w:name="__RefHeading___Toc9696651_73709187"/>
      <w:bookmarkStart w:id="189" w:name="_Toc69"/>
      <w:bookmarkEnd w:id="187"/>
      <w:bookmarkEnd w:id="188"/>
      <w:r>
        <w:rPr>
          <w:rtl w:val="true"/>
        </w:rPr>
        <w:t>الأمر الخامس</w:t>
      </w:r>
      <w:r>
        <w:rPr>
          <w:rtl w:val="true"/>
        </w:rPr>
        <w:t>:</w:t>
      </w:r>
      <w:bookmarkEnd w:id="189"/>
    </w:p>
    <w:p>
      <w:pPr>
        <w:pStyle w:val="BookText"/>
        <w:rPr/>
      </w:pPr>
      <w:r>
        <w:rPr>
          <w:rFonts w:ascii="IRNazanin" w:hAnsi="IRNazanin" w:eastAsia="IRNazanin"/>
          <w:color w:val="111111"/>
          <w:sz w:val="28"/>
          <w:sz w:val="28"/>
          <w:szCs w:val="28"/>
          <w:rtl w:val="true"/>
          <w:lang w:bidi="fa-IR"/>
        </w:rPr>
        <w:t>أنّه یعتبر خروج المنیّ من الموضع المعتاد، کما صرّح به فی کلام کثیر ممّن تقدّمت کلماتهم و غیرها</w:t>
      </w:r>
      <w:r>
        <w:rPr>
          <w:rStyle w:val="FootnoteAnchor"/>
          <w:rtl w:val="true"/>
        </w:rPr>
        <w:footnoteReference w:id="641"/>
      </w:r>
      <w:r>
        <w:rPr>
          <w:rFonts w:ascii="IRNazanin" w:hAnsi="IRNazanin" w:eastAsia="IRNazanin"/>
          <w:color w:val="111111"/>
          <w:sz w:val="28"/>
          <w:sz w:val="28"/>
          <w:szCs w:val="28"/>
          <w:rtl w:val="true"/>
          <w:lang w:bidi="fa-IR"/>
        </w:rPr>
        <w:t>؛ لأنّ إطلاق الأدلّة و إن کان یقتضی ثبوت الحکم و لو لم یکن الخروج من الموضع المعتاد، إلاّ أنّ حمل إطلاق کلام الشارع علی ما هو المعهود یقتضی اعتبار هذا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لوجوب حمل إطلاق الشارع علی المعهود</w:t>
      </w:r>
      <w:r>
        <w:rPr>
          <w:rFonts w:eastAsia="IRNazanin" w:cs="IRNazanin"/>
          <w:color w:val="111111"/>
          <w:sz w:val="28"/>
          <w:szCs w:val="28"/>
          <w:rtl w:val="true"/>
          <w:lang w:bidi="fa-IR"/>
        </w:rPr>
        <w:t>»</w:t>
      </w:r>
      <w:r>
        <w:rPr>
          <w:rStyle w:val="FootnoteAnchor"/>
          <w:rtl w:val="true"/>
        </w:rPr>
        <w:footnoteReference w:id="6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المناهل</w:t>
      </w:r>
      <w:r>
        <w:rPr>
          <w:rStyle w:val="FootnoteAnchor"/>
          <w:rtl w:val="true"/>
        </w:rPr>
        <w:footnoteReference w:id="643"/>
      </w:r>
      <w:r>
        <w:rPr>
          <w:rFonts w:ascii="IRNazanin" w:hAnsi="IRNazanin" w:eastAsia="IRNazanin"/>
          <w:color w:val="111111"/>
          <w:sz w:val="28"/>
          <w:sz w:val="28"/>
          <w:szCs w:val="28"/>
          <w:rtl w:val="true"/>
          <w:lang w:bidi="fa-IR"/>
        </w:rPr>
        <w:t>و المسالک، و زاد فی الأخیر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خرج من جرح و نحوه لم یعتدّ به</w:t>
      </w:r>
      <w:r>
        <w:rPr>
          <w:rFonts w:eastAsia="IRNazanin" w:cs="IRNazanin"/>
          <w:color w:val="111111"/>
          <w:sz w:val="28"/>
          <w:szCs w:val="28"/>
          <w:rtl w:val="true"/>
          <w:lang w:bidi="fa-IR"/>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 w:name="__RefHeading___Toc9696653_73709187"/>
      <w:bookmarkStart w:id="191" w:name="_Toc70"/>
      <w:bookmarkEnd w:id="190"/>
      <w:r>
        <w:rPr>
          <w:rtl w:val="true"/>
        </w:rPr>
        <w:t>الأمر السادس</w:t>
      </w:r>
      <w:r>
        <w:rPr>
          <w:rtl w:val="true"/>
        </w:rPr>
        <w:t>:</w:t>
      </w:r>
      <w:bookmarkEnd w:id="191"/>
    </w:p>
    <w:p>
      <w:pPr>
        <w:pStyle w:val="BookText"/>
        <w:rPr/>
      </w:pPr>
      <w:r>
        <w:rPr>
          <w:rFonts w:ascii="IRNazanin" w:hAnsi="IRNazanin" w:eastAsia="IRNazanin"/>
          <w:color w:val="111111"/>
          <w:sz w:val="28"/>
          <w:sz w:val="28"/>
          <w:szCs w:val="28"/>
          <w:rtl w:val="true"/>
          <w:lang w:bidi="fa-IR"/>
        </w:rPr>
        <w:t xml:space="preserve">أنّه صرّح کثیر من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علامة البلوغ هی خروج المنیّ، و الظاهر أنّ المقصود منه الاستعداد للخروج، و القدرة علی الإنزال، قال فی مفتاح الکرامة نقلاً عن مجمع الفائدة و البرهان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تحقّق البلوغ ببلوغ النکاح بمعنی الحدّ الذی یتمکّن من المجامعة و الإنزال، جامع أم لم یجامع، انزل أم لم ینزل، و ظاهر کلامه إجماع الأصحاب علی تحقّق البلوغ به</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یدلّ علیه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ابْتَلُوا الْیَتامی حَتّی إِذا بَلَغُوا النِّکاحَ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تَقْرَبُوا مالَ الْیَتِیمِ إِلاّ بِالَّتِی هِیَ أَحْسَنُ حَتّی یَبْلُغَ أَشُدَّهُ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بالتقریب المتقدّم فی صدر هذا المبحث، و هکذا بعض النصوص المتقدّمة</w:t>
      </w:r>
    </w:p>
    <w:p>
      <w:pPr>
        <w:pStyle w:val="BookText"/>
        <w:rPr/>
      </w:pPr>
      <w:r>
        <w:rPr>
          <w:rFonts w:ascii="IRNazanin" w:hAnsi="IRNazanin" w:eastAsia="IRNazanin"/>
          <w:color w:val="111111"/>
          <w:sz w:val="28"/>
          <w:sz w:val="28"/>
          <w:szCs w:val="28"/>
          <w:rtl w:val="true"/>
          <w:lang w:bidi="fa-IR"/>
        </w:rPr>
        <w:t>کقوله علیه السلام فی معتبرة عبد اللّه 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یبلغ أشدّه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أشدّه؟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احتلامه</w:t>
      </w:r>
      <w:r>
        <w:rPr>
          <w:rFonts w:eastAsia="IRNazanin" w:cs="IRNazanin"/>
          <w:color w:val="111111"/>
          <w:sz w:val="28"/>
          <w:szCs w:val="28"/>
          <w:rtl w:val="true"/>
          <w:lang w:bidi="fa-IR"/>
        </w:rPr>
        <w:t>»</w:t>
      </w:r>
      <w:r>
        <w:rPr>
          <w:rStyle w:val="FootnoteAnchor"/>
          <w:rtl w:val="true"/>
        </w:rPr>
        <w:footnoteReference w:id="646"/>
      </w:r>
      <w:r>
        <w:rPr>
          <w:rFonts w:ascii="IRNazanin" w:hAnsi="IRNazanin" w:eastAsia="IRNazanin"/>
          <w:color w:val="111111"/>
          <w:sz w:val="28"/>
          <w:sz w:val="28"/>
          <w:szCs w:val="28"/>
          <w:rtl w:val="true"/>
          <w:lang w:bidi="fa-IR"/>
        </w:rPr>
        <w:t>،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تغطّی المرأة رأسها من الغلام حتّی یبلغ الغلام</w:t>
      </w:r>
      <w:r>
        <w:rPr>
          <w:rFonts w:eastAsia="IRNazanin" w:cs="IRNazanin"/>
          <w:color w:val="111111"/>
          <w:sz w:val="28"/>
          <w:szCs w:val="28"/>
          <w:rtl w:val="true"/>
          <w:lang w:bidi="fa-IR"/>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 معناه لغةً، فإنّ معنی البلوغ و 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الانتهاء إلی أقصی المقصد و المنتهی، مکاناً کان أو زماناً أو أمراً من الاُمور المقدّرة، و ربّما یعبّر به عن المشارفة علیه و إن لم ینته إلیه، فمن الانتهاء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أشدّه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المفردات</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فالظاهر أنّ الاحتلام کاشف عن البلوغ، و أمّا البلوغ فهو نفس الاستعداد لخروج المنیّ، جاء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قد یقوی کون العلامة الاستعداد لخروج المنی بالقوّة القریبة من الفعل، و ذلک بتحریک الطبیعة و الإحساس بالشهوة، سواء انفصل المنیّ معه عن الموضع المعتاد أو لم ینفصل، لکن بحیث لو أراد ذلک بالوط‌ء أو الاستمناء تیسّر له ذلک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کونه شرطاً فی الغسل لا یقضی بکونه کذلک فی البلوغ؛ ضرورة دوران الأمر فی الأوّل علی الحدثیّة المتوقّف صدقها و لو شرعاً علی الخروج، بخلاف الثانی</w:t>
      </w:r>
      <w:r>
        <w:rPr>
          <w:rStyle w:val="FootnoteAnchor"/>
          <w:rtl w:val="true"/>
        </w:rPr>
        <w:footnoteReference w:id="649"/>
      </w:r>
      <w:r>
        <w:rPr>
          <w:rFonts w:ascii="IRNazanin" w:hAnsi="IRNazanin" w:eastAsia="IRNazanin"/>
          <w:color w:val="111111"/>
          <w:sz w:val="28"/>
          <w:sz w:val="28"/>
          <w:szCs w:val="28"/>
          <w:rtl w:val="true"/>
          <w:lang w:bidi="fa-IR"/>
        </w:rPr>
        <w:t xml:space="preserve">الذی هو أمر طبیعی لا یختلف بظهور الانفصال و عدمه، خصوصاً مع تهیّؤ النطفة للانعقاد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البلوغ حال فی الإنسان بل مطلق الحیوان یخرج بها من حدّ الطفولیّة إلی غیرها، و أنّها ینبعث عنها خروج المنیّ و نحوه و إن لم یجعل خروج المنیّ علامة علی سبقه؛ لاحتمال مقارنة خروجه</w:t>
      </w:r>
      <w:bookmarkStart w:id="192" w:name="pg11757_135506"/>
    </w:p>
    <w:p>
      <w:pPr>
        <w:pStyle w:val="BookText"/>
        <w:rPr/>
      </w:pPr>
      <w:bookmarkEnd w:id="192"/>
      <w:r>
        <w:rPr>
          <w:rFonts w:ascii="IRNazanin" w:hAnsi="IRNazanin" w:eastAsia="IRNazanin"/>
          <w:color w:val="111111"/>
          <w:sz w:val="28"/>
          <w:sz w:val="28"/>
          <w:szCs w:val="28"/>
          <w:rtl w:val="true"/>
          <w:lang w:bidi="fa-IR"/>
        </w:rPr>
        <w:t>لتلک الحالة، فالمدار علیها لا علیه، فمتی علم حصولها تحقّق البلوغ و إن لم یحصل الخروج الحسّی</w:t>
      </w:r>
      <w:r>
        <w:rPr>
          <w:rFonts w:eastAsia="IRNazanin" w:cs="IRNazanin"/>
          <w:color w:val="111111"/>
          <w:sz w:val="28"/>
          <w:szCs w:val="28"/>
          <w:rtl w:val="true"/>
          <w:lang w:bidi="fa-IR"/>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أجاد فی المناهل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الأصحاب کون الحلم سبباً للبلوغ، و لا ریب فی أنّه کذلک إن ارید به الإحساس بالشهوة و القدرة علی الإنزال، أمّا لو ارید به خروج المنیّ و انفصاله حسّاً فالظاهر کونه دلیلاً و أمارة علی السبق لترتّبه علی الأوّل، فلو احتلم من غیر سبق إحساس بالشهوة علم تقدّم بلوغه علی خروج المنیّ من دون تحدید، فیحکم علیه بالبلوغ فیما یتّصل بذلک؛ لأصالة تأخّر الحادث، فلا یظهر للسبق فیه أثر، و کأنّهم حکموا بالسببیّة لأجل ذلک</w:t>
      </w:r>
      <w:r>
        <w:rPr>
          <w:rFonts w:eastAsia="IRNazanin" w:cs="IRNazanin"/>
          <w:color w:val="111111"/>
          <w:sz w:val="28"/>
          <w:szCs w:val="28"/>
          <w:rtl w:val="true"/>
          <w:lang w:bidi="fa-IR"/>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 w:name="__RefHeading___Toc9696655_73709187"/>
      <w:bookmarkStart w:id="194" w:name="_Toc71"/>
      <w:bookmarkEnd w:id="193"/>
      <w:r>
        <w:rPr>
          <w:rtl w:val="true"/>
        </w:rPr>
        <w:t>الأمر السابع</w:t>
      </w:r>
      <w:r>
        <w:rPr>
          <w:rtl w:val="true"/>
        </w:rPr>
        <w:t>:</w:t>
      </w:r>
      <w:bookmarkEnd w:id="194"/>
    </w:p>
    <w:p>
      <w:pPr>
        <w:pStyle w:val="BookText"/>
        <w:rPr/>
      </w:pPr>
      <w:r>
        <w:rPr>
          <w:rFonts w:ascii="IRNazanin" w:hAnsi="IRNazanin" w:eastAsia="IRNazanin"/>
          <w:color w:val="111111"/>
          <w:sz w:val="28"/>
          <w:sz w:val="28"/>
          <w:szCs w:val="28"/>
          <w:rtl w:val="true"/>
          <w:lang w:bidi="fa-IR"/>
        </w:rPr>
        <w:t>إذا خرج من الصبیّ شیئاً بصفة المنیّ فی وقت لا یحتمل فیه البلوغ فلا عبرة به، قال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یختصّ بالاحتلام، بل هو منوط بمطلق الخروج مع إمکانه باستکمال تسع مطلقاً عند الشافعی، و عندنا فی المرأة خاصّة، و لا عبرة بما ینفصل قبل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للشافعیّة وجهان آخران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إمکان الاحتلام یدخل بمضیّ ستّة أشهر من السنة العاشرة،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یدخل بتمام العاشرة</w:t>
      </w:r>
      <w:r>
        <w:rPr>
          <w:rFonts w:eastAsia="IRNazanin" w:cs="IRNazanin"/>
          <w:color w:val="111111"/>
          <w:sz w:val="28"/>
          <w:szCs w:val="28"/>
          <w:rtl w:val="true"/>
          <w:lang w:bidi="fa-IR"/>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فی المسالک، و زاد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فی جانب الذکر فما وقفت له علی حدّ یعتدّ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أنّ ما بعد العاشرة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کلامه الامتناع فیما دون العشر، و قریب من هذا فی المناهل</w:t>
      </w:r>
      <w:r>
        <w:rPr>
          <w:rStyle w:val="FootnoteAnchor"/>
          <w:rtl w:val="true"/>
        </w:rPr>
        <w:footnoteReference w:id="653"/>
      </w:r>
      <w:r>
        <w:rPr>
          <w:rFonts w:ascii="IRNazanin" w:hAnsi="IRNazanin" w:eastAsia="IRNazanin"/>
          <w:color w:val="111111"/>
          <w:sz w:val="28"/>
          <w:sz w:val="28"/>
          <w:szCs w:val="28"/>
          <w:rtl w:val="true"/>
          <w:lang w:bidi="fa-IR"/>
        </w:rPr>
        <w:t>و تفصیل الشریعة</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فی الجواهر علی عدم إمکان البلوغ لما دون العشر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تمسّکاً بمقتضی العادة، و أمّا ما تجاوز العشر فالظاهر فیه الإمکان، فیحکم بالبلوغ مع تحقّق الاحتلام فیه، عملاً بعموم الأدلّة فیما لم یثبت امتناعه</w:t>
      </w:r>
      <w:r>
        <w:rPr>
          <w:rFonts w:eastAsia="IRNazanin" w:cs="IRNazanin"/>
          <w:color w:val="111111"/>
          <w:sz w:val="28"/>
          <w:szCs w:val="28"/>
          <w:rtl w:val="true"/>
          <w:lang w:bidi="fa-IR"/>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 بعض الأخبار التی تدلّ علی تحدید سنّ البلوغ قبل خمس عشرة سنة، و کذا ما دلّ علی التفریق بین الأطفال فی المضاجع بعشر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عبد اللّه بن سنان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أشدّه ثلاث عشرة سنة و دخل فی الأربع عشرة وجب علیه ما وجب علی المحتلمین، احتلم أم لم یحتلم، و کتبت علیه السیّئات</w:t>
      </w:r>
      <w:r>
        <w:rPr>
          <w:rFonts w:eastAsia="IRNazanin" w:cs="IRNazanin"/>
          <w:color w:val="111111"/>
          <w:sz w:val="28"/>
          <w:szCs w:val="28"/>
          <w:rtl w:val="true"/>
          <w:lang w:bidi="fa-IR"/>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عیسی بن زید عنه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یثغر</w:t>
      </w:r>
      <w:r>
        <w:rPr>
          <w:rStyle w:val="FootnoteAnchor"/>
          <w:rtl w:val="true"/>
        </w:rPr>
        <w:footnoteReference w:id="657"/>
      </w:r>
      <w:r>
        <w:rPr>
          <w:rFonts w:ascii="IRNazanin" w:hAnsi="IRNazanin" w:eastAsia="IRNazanin"/>
          <w:color w:val="111111"/>
          <w:sz w:val="28"/>
          <w:sz w:val="28"/>
          <w:szCs w:val="28"/>
          <w:rtl w:val="true"/>
          <w:lang w:bidi="fa-IR"/>
        </w:rPr>
        <w:t>الصبیّ لسبع، و یؤمر بالصلاة لتسع، و یفرّق بینهم فی المضاجع لعشر، و یحتلم لأربع عشرة، و منتهی طوله لإحدی و عشرین، و منتهی عقله لثمان و عشرین إلاّ التجارب</w:t>
      </w:r>
      <w:r>
        <w:rPr>
          <w:rFonts w:eastAsia="IRNazanin" w:cs="IRNazanin"/>
          <w:color w:val="111111"/>
          <w:sz w:val="28"/>
          <w:szCs w:val="28"/>
          <w:rtl w:val="true"/>
          <w:lang w:bidi="fa-IR"/>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الکافی عن ابن القدّاح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یفرّق بین الغلمان و النساء فی المضاجع إذا بلغوا عشر سنین</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 الآخر عن جعفر بن محمّد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الصبیّ و الصبیّ، و الصبیّ و الصبیّة، و الصبیّة و الصبیّة یفرّق</w:t>
      </w:r>
      <w:bookmarkStart w:id="195" w:name="pg11757_135508"/>
    </w:p>
    <w:p>
      <w:pPr>
        <w:pStyle w:val="BookText"/>
        <w:rPr/>
      </w:pPr>
      <w:bookmarkEnd w:id="195"/>
      <w:r>
        <w:rPr>
          <w:rFonts w:ascii="IRNazanin" w:hAnsi="IRNazanin" w:eastAsia="IRNazanin"/>
          <w:color w:val="111111"/>
          <w:sz w:val="28"/>
          <w:sz w:val="28"/>
          <w:szCs w:val="28"/>
          <w:rtl w:val="true"/>
          <w:lang w:bidi="fa-IR"/>
        </w:rPr>
        <w:t>بینهم فی المضاجع لعشر سنین</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الفاضل الآبی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تحمل روایة ثلاث عشرة أو أربع عشرة و ما دونه إلی عشر علی ما إذا کان الغلام قد احتلم أو أنبت شعر العانة فیها، توفیقاً بین الروایات، و لأنّ الاحتلام فی تلک السنین قد یقع کثیراً، فإنّا نشاهد من احتلم فی اثنی</w:t>
      </w:r>
      <w:r>
        <w:rPr>
          <w:rStyle w:val="FootnoteAnchor"/>
          <w:rtl w:val="true"/>
        </w:rPr>
        <w:footnoteReference w:id="661"/>
      </w:r>
      <w:r>
        <w:rPr>
          <w:rFonts w:ascii="Amiri" w:hAnsi="Amiri" w:eastAsia="Amiri" w:cs="Amiri"/>
          <w:color w:val="111111"/>
          <w:sz w:val="28"/>
          <w:sz w:val="28"/>
          <w:szCs w:val="28"/>
          <w:rtl w:val="true"/>
          <w:lang w:bidi="ar-SA"/>
        </w:rPr>
        <w:t>عشرة و ثلاث عشرة سنة</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الوجدان شاهد علی أنّ الاحتلام فی السنّ المخصوص إنّما هو بحسب الغالب، و إلّا فلا ینبغی الإشکال فی إمکان تحقّقه قبل ذلک</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 w:name="__RefHeading___Toc9696657_73709187"/>
      <w:bookmarkStart w:id="197" w:name="_Toc72"/>
      <w:bookmarkEnd w:id="196"/>
      <w:r>
        <w:rPr>
          <w:rtl w:val="true"/>
        </w:rPr>
        <w:t>الأمر الثامن</w:t>
      </w:r>
      <w:r>
        <w:rPr>
          <w:rtl w:val="true"/>
        </w:rPr>
        <w:t>:</w:t>
      </w:r>
      <w:bookmarkEnd w:id="197"/>
    </w:p>
    <w:p>
      <w:pPr>
        <w:pStyle w:val="BookText"/>
        <w:rPr/>
      </w:pPr>
      <w:r>
        <w:rPr>
          <w:rFonts w:ascii="IRNazanin" w:hAnsi="IRNazanin" w:eastAsia="IRNazanin"/>
          <w:color w:val="111111"/>
          <w:sz w:val="28"/>
          <w:sz w:val="28"/>
          <w:szCs w:val="28"/>
          <w:rtl w:val="true"/>
          <w:lang w:bidi="fa-IR"/>
        </w:rPr>
        <w:t>أنّه فی صورة العلم بأنّ الخارج هو المنیّ الذی من شأنه إمکان التولّد منه، فلا إشکال فی لزوم الاتّکال علی العلم، و لا اعتبار بملاحظة أوصاف المنیّ المشهورة، و أمّا فی صورة عدم العلم و حصول الاشتباه خصوصاً مع الوذی و المذی فلا إشکال فی لزوم الرجوع إلی تلک الأوصاف؛ لإناطة الحکم بالجنابة و لزوم الغسل بها فی صورة عدم العلم، و من المعلوم أنّه لا فرق بین المقامین من هذه الجهة؛ لأنّ سبب الجنابة منحصر فی الوط‌ء و إنزال المنیّ اتّفاقاً، فإذا انتفی الأوّل تعیّن الثانی، کما فی تفصیل الشریعة</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المناهل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یحتمل العدم؛ لأنّ اعتبارهما فی الغسل لا یستلزم اعتبارهما</w:t>
      </w:r>
      <w:bookmarkStart w:id="198" w:name="pg11757_135509"/>
    </w:p>
    <w:p>
      <w:pPr>
        <w:pStyle w:val="BookText"/>
        <w:rPr/>
      </w:pPr>
      <w:bookmarkEnd w:id="198"/>
      <w:r>
        <w:rPr>
          <w:rFonts w:ascii="IRNazanin" w:hAnsi="IRNazanin" w:eastAsia="IRNazanin"/>
          <w:color w:val="111111"/>
          <w:sz w:val="28"/>
          <w:sz w:val="28"/>
          <w:szCs w:val="28"/>
          <w:rtl w:val="true"/>
          <w:lang w:bidi="fa-IR"/>
        </w:rPr>
        <w:t>فی البلوغ؛ لجواز تقدّم الأسباب علیه</w:t>
      </w:r>
      <w:r>
        <w:rPr>
          <w:rFonts w:eastAsia="IRNazanin" w:cs="IRNazanin"/>
          <w:color w:val="111111"/>
          <w:sz w:val="28"/>
          <w:szCs w:val="28"/>
          <w:rtl w:val="true"/>
          <w:lang w:bidi="fa-IR"/>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لکنّه مبنیّ علی إمکان خروج المنی قبل البلوغ، و فیه بحث بل منع؛ لأنّ الظاهر عدم تکوّنه إلّا حال وصول الطفل إلی حدّ البلوغ، کما یؤمی إلیه إطلاق ما دلّ علی أنّ خروجه علامة البلوغ من النصوص السابقة و غیرها</w:t>
      </w:r>
      <w:r>
        <w:rPr>
          <w:rFonts w:eastAsia="IRNazanin" w:cs="IRNazanin"/>
          <w:color w:val="111111"/>
          <w:sz w:val="28"/>
          <w:szCs w:val="28"/>
          <w:rtl w:val="true"/>
          <w:lang w:bidi="fa-IR"/>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 w:name="__RefHeading___Toc9696659_73709187"/>
      <w:bookmarkStart w:id="200" w:name="_Toc73"/>
      <w:bookmarkEnd w:id="199"/>
      <w:r>
        <w:rPr>
          <w:rtl w:val="true"/>
        </w:rPr>
        <w:t>الأمر التاسع</w:t>
      </w:r>
      <w:bookmarkEnd w:id="2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تختصّ هذه العلامة بالذکور أو تعمّ الإناث أیضاً؟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یستفاد من ظاهر کلام الشیخ فی المبسوط فی کتاب الصوم الاختصاص،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البلوغ فهو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حدّه هو الاحتلام فی الرجال و الحیض فی النساء</w:t>
      </w:r>
      <w:r>
        <w:rPr>
          <w:rFonts w:eastAsia="IRNazanin" w:cs="IRNazanin"/>
          <w:color w:val="111111"/>
          <w:sz w:val="28"/>
          <w:szCs w:val="28"/>
          <w:rtl w:val="true"/>
          <w:lang w:bidi="fa-IR"/>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النهایة فی باب الوصیّة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حدّ بلوغ الصبیّ إمّا أن یحتلم أو یشعر أو یکمل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بلوغ المرأة تسع سنین</w:t>
      </w:r>
      <w:r>
        <w:rPr>
          <w:rFonts w:eastAsia="IRNazanin" w:cs="IRNazanin"/>
          <w:color w:val="111111"/>
          <w:sz w:val="28"/>
          <w:szCs w:val="28"/>
          <w:rtl w:val="true"/>
          <w:lang w:bidi="fa-IR"/>
        </w:rPr>
        <w:t>»</w:t>
      </w:r>
      <w:r>
        <w:rPr>
          <w:rStyle w:val="FootnoteAnchor"/>
          <w:rtl w:val="true"/>
        </w:rPr>
        <w:footnoteReference w:id="668"/>
      </w:r>
      <w:r>
        <w:rPr>
          <w:rFonts w:ascii="IRNazanin" w:hAnsi="IRNazanin" w:eastAsia="IRNazanin"/>
          <w:color w:val="111111"/>
          <w:sz w:val="28"/>
          <w:sz w:val="28"/>
          <w:szCs w:val="28"/>
          <w:rtl w:val="true"/>
          <w:lang w:bidi="fa-IR"/>
        </w:rPr>
        <w:t>، و هو الظاهر فی إصباح الشیعة</w:t>
      </w:r>
      <w:r>
        <w:rPr>
          <w:rStyle w:val="FootnoteAnchor"/>
          <w:rtl w:val="true"/>
        </w:rPr>
        <w:footnoteReference w:id="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المهذّب</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نوادر قضاء السرائر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الاعتماد عند أصحابنا علی البلوغ فی الرجال، و هو إمّا الاحتلام أو الإنبات فی العانة أو خمس عشرة سنة، و فی النساء الحیض أو الحمل أو تسع سنین</w:t>
      </w:r>
      <w:r>
        <w:rPr>
          <w:rFonts w:eastAsia="IRNazanin" w:cs="IRNazanin"/>
          <w:color w:val="111111"/>
          <w:sz w:val="28"/>
          <w:szCs w:val="28"/>
          <w:rtl w:val="true"/>
          <w:lang w:bidi="fa-IR"/>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المستند لهذا القول هی النصوص التی تدلّ علی أنّ المرأة لا یجب علیها الغسل بإنزالها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علی المرأة غسل من جنابتها إذا لم یأتها الرجل؟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أیّکم یرضی أن یری أو یصبر علی ذلک أن یری ابنته أو اخته أو امّه أو زوجته أو أحداً من قرابته قائمة تغتسل، 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احتلمت و لیس لها 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لیس علیهنّ ذلک و قد وضع اللّه ذلک علیکم،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کُنْتُمْ جُنُباً فَاطَّهَّرُوا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 ذلک لهنّ</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اغتسلت یوم الجمعة بالمدینة و لبست أثوابی و تطیّبت، فمرّت بی وصیفة ففخّذت لها فأمذیت أنا و أمنت هی، فدخلنی من ذاک ضیق، فسألت أبا عبد اللّه علیه السلام عن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علیک وضوء و لا علیها غسل</w:t>
      </w:r>
      <w:r>
        <w:rPr>
          <w:rFonts w:eastAsia="IRNazanin" w:cs="IRNazanin"/>
          <w:color w:val="111111"/>
          <w:sz w:val="28"/>
          <w:szCs w:val="28"/>
          <w:rtl w:val="true"/>
          <w:lang w:bidi="fa-IR"/>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عمر بن اذینة،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تحتلم فی المنام فتهریق الماء الأعظم؟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علیها غسل</w:t>
      </w:r>
      <w:r>
        <w:rPr>
          <w:rFonts w:eastAsia="IRNazanin" w:cs="IRNazanin"/>
          <w:color w:val="111111"/>
          <w:sz w:val="28"/>
          <w:szCs w:val="28"/>
          <w:rtl w:val="true"/>
          <w:lang w:bidi="fa-IR"/>
        </w:rPr>
        <w:t>»</w:t>
      </w:r>
      <w:r>
        <w:rPr>
          <w:rStyle w:val="FootnoteAnchor"/>
          <w:rtl w:val="true"/>
        </w:rPr>
        <w:footnoteReference w:id="674"/>
      </w:r>
      <w:r>
        <w:rPr>
          <w:rFonts w:ascii="IRNazanin" w:hAnsi="IRNazanin" w:eastAsia="IRNazanin"/>
          <w:color w:val="111111"/>
          <w:sz w:val="28"/>
          <w:sz w:val="28"/>
          <w:szCs w:val="28"/>
          <w:rtl w:val="true"/>
          <w:lang w:bidi="fa-IR"/>
        </w:rPr>
        <w:t>،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إنّها تدلّ صراحة علی أنّ المرأة لا یجب علیها الغسل بالإنزال علی خلاف الرجال فیستکشف منها أنّ إنزالها لیس دلیلاً علی بلوغها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استفادة هذا الحکم منها محلّ تأمّل و إشکال، مضافاً إلی أنّ فی قبالها</w:t>
      </w:r>
    </w:p>
    <w:p>
      <w:pPr>
        <w:pStyle w:val="BookText"/>
        <w:rPr/>
      </w:pPr>
      <w:r>
        <w:rPr>
          <w:rFonts w:ascii="IRNazanin" w:hAnsi="IRNazanin" w:eastAsia="IRNazanin"/>
          <w:color w:val="111111"/>
          <w:sz w:val="28"/>
          <w:sz w:val="28"/>
          <w:szCs w:val="28"/>
          <w:rtl w:val="true"/>
          <w:lang w:bidi="fa-IR"/>
        </w:rPr>
        <w:t xml:space="preserve">نصوصاً مستفیضة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الصحیح و الموثّق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عدم الفرق فی ذلک بین المرأة و الرجل، و أنّ خروج الماء المعبّر عنه بالإنزال و الإمناء یوجب الغسل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الکافی عن إسماعیل بن سعد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الرجل یلمس فرج جاریته حتّی تنزل الماء من غیر أن یباشر یعبث بیده حتّی تنزل؟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أنزلت من شهوة فعلیها الغسل</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إسماعیل بن بزیع،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الرجل یجامع المرأة فیما دون الفرج و تنزل المرأة، هل علیها غسل؟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تری فی المنام ما یری الرجل؟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أنزلت فعلیها الغسل، و إن لم تنزل فلیس علیها الغسل</w:t>
      </w:r>
      <w:r>
        <w:rPr>
          <w:rFonts w:eastAsia="IRNazanin" w:cs="IRNazanin"/>
          <w:color w:val="111111"/>
          <w:sz w:val="28"/>
          <w:szCs w:val="28"/>
          <w:rtl w:val="true"/>
          <w:lang w:bidi="fa-IR"/>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الطائفة معارضة للطائفة المتقدّمة، فإن بنینا علی ما علیه المشهور من أنّ الروایة إن بلغت من الصحّة ما بلغت إذا أعرض عنها المشهور سقطت عن الاعتبار، فلا مناص من الأخذ بالطائفة الثانیة الدالّة علی عدم الفرق فی وجوب الغسل بالإنزال بین المرأة و الرجل، و ذلک لإعراض الأصحاب عن الطائفة الاُولی حتّی أنّ الشیخ و ابن إدریس أفتیا بخلافها فی مواضع اخری من کلماتهم کما سنذکرها فی القول الثانی، و حیث إنّ الإعراض یوجب سقوط الروایة عن الاعتبار فتبقی الطائفة الثانیة من غیر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بنینا علی أنّ إعراض المشهور عن روایة صحیحة لا یوجب سقوطها عن الاعتبار فأیضاً لا بدّ من تقدیم الطائفة الثانیة علی الاُولی؛ و ذلک لأنّ الطائفة الاُولی موافقة للعامّة علی ما نسبه إلیهم فی الوسائل و لو فی زمان صدور الروایة،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الوجه فی هذه الأحادیث الخمسة إمّا الحمل علی الاشتباه، أو عدم تحقّق کون الخارج منیّاً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الحمل علی أنّها رأت فی النوم أنّها أنزلت فلمّا انتبهت لم تجد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التقیّة لموافقتها لبعض العامّة</w:t>
      </w:r>
      <w:r>
        <w:rPr>
          <w:rFonts w:eastAsia="IRNazanin" w:cs="IRNazanin"/>
          <w:color w:val="111111"/>
          <w:sz w:val="28"/>
          <w:szCs w:val="28"/>
          <w:rtl w:val="true"/>
          <w:lang w:bidi="fa-IR"/>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السیّد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مضمون الطائفة الاُولی من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أشبه بفتاواهم، فإنّ قوله علیه السلام فی روایة عبید بن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وضع الاغتسال من الجنابة علی الرجال،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کُنْتُمْ جُنُباً فَاطَّهَّرُوا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 ذلک لهنّ ممّا لا یمکن إسناده إلی الإمام، کیف و جمیع الأحکام و الخطابات الواردة فی الکتاب أو أغلبها متوجّهة إلی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 ذلک عدم تکلیفهنّ بشیء ممّا کلّف به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لو أغمضنا عن ذلک فالطائفتان متعارضتان؛ لمنافاة وجوب الغسل علی المرأة مع عدم وجوبه علیها، فلا بدّ من الحکم بتساقطها و الرجوع إلی المطلقات، و هی تدلّ علی أنّ غسل الجنابة إنّما یجب بخروج الماء الأکبر أو الأعظم، و مقتضی إطلاقه عدم الفرق فی ذلک بین الرجال و النساء</w:t>
      </w:r>
      <w:r>
        <w:rPr>
          <w:rFonts w:eastAsia="IRNazanin" w:cs="IRNazanin"/>
          <w:color w:val="111111"/>
          <w:sz w:val="28"/>
          <w:szCs w:val="28"/>
          <w:rtl w:val="true"/>
          <w:lang w:bidi="fa-IR"/>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علیه معظم الفقهاء و المشهور بینهم من أنّها تشترک بین الذکور و الإناث و هو الأقوی، و هو القول الثانی للشیخ فی کتاب الحجر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البلوغ یکون بأحد خمسة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المنیّ و خروج الحیض و الحمل و الإنبات و السنّ، فثلاثة منها یشترک فیها الذکور و الإناث، فثلاثة المشترکة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 و خروج المنیّ و الإنبات</w:t>
      </w:r>
      <w:r>
        <w:rPr>
          <w:rFonts w:eastAsia="IRNazanin" w:cs="IRNazanin"/>
          <w:color w:val="111111"/>
          <w:sz w:val="28"/>
          <w:szCs w:val="28"/>
          <w:rtl w:val="true"/>
          <w:lang w:bidi="fa-IR"/>
        </w:rPr>
        <w:t>»</w:t>
      </w:r>
      <w:r>
        <w:rPr>
          <w:rStyle w:val="FootnoteAnchor"/>
          <w:rtl w:val="true"/>
        </w:rPr>
        <w:footnoteReference w:id="680"/>
      </w:r>
      <w:r>
        <w:rPr>
          <w:rFonts w:ascii="IRNazanin" w:hAnsi="IRNazanin" w:eastAsia="IRNazanin"/>
          <w:color w:val="111111"/>
          <w:sz w:val="28"/>
          <w:sz w:val="28"/>
          <w:szCs w:val="28"/>
          <w:rtl w:val="true"/>
          <w:lang w:bidi="fa-IR"/>
        </w:rPr>
        <w:t>، و اختاره ابن إدریس فی کتاب الصوم</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یعلم بلوغه بإنبات الشعر الخشن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المنی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یشترک فی هذین الذکور و الإناث</w:t>
      </w:r>
      <w:r>
        <w:rPr>
          <w:rFonts w:eastAsia="IRNazanin" w:cs="IRNazanin"/>
          <w:color w:val="111111"/>
          <w:sz w:val="28"/>
          <w:szCs w:val="28"/>
          <w:rtl w:val="true"/>
          <w:lang w:bidi="fa-IR"/>
        </w:rPr>
        <w:t>»</w:t>
      </w:r>
      <w:r>
        <w:rPr>
          <w:rStyle w:val="FootnoteAnchor"/>
          <w:rtl w:val="true"/>
        </w:rPr>
        <w:footnoteReference w:id="6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الجامع للشرائع</w:t>
      </w:r>
      <w:r>
        <w:rPr>
          <w:rStyle w:val="FootnoteAnchor"/>
          <w:rtl w:val="true"/>
        </w:rPr>
        <w:footnoteReference w:id="683"/>
      </w:r>
      <w:r>
        <w:rPr>
          <w:rFonts w:ascii="Amiri" w:hAnsi="Amiri" w:eastAsia="Amiri" w:cs="Amiri"/>
          <w:color w:val="111111"/>
          <w:sz w:val="28"/>
          <w:sz w:val="28"/>
          <w:szCs w:val="28"/>
          <w:rtl w:val="true"/>
          <w:lang w:bidi="ar-SA"/>
        </w:rPr>
        <w:t>و مجمع الفائدة</w:t>
      </w:r>
      <w:r>
        <w:rPr>
          <w:rStyle w:val="FootnoteAnchor"/>
          <w:rtl w:val="true"/>
        </w:rPr>
        <w:footnoteReference w:id="684"/>
      </w:r>
      <w:r>
        <w:rPr>
          <w:rFonts w:ascii="IRNazanin" w:hAnsi="IRNazanin" w:eastAsia="IRNazanin"/>
          <w:color w:val="111111"/>
          <w:sz w:val="28"/>
          <w:sz w:val="28"/>
          <w:szCs w:val="28"/>
          <w:rtl w:val="true"/>
          <w:lang w:bidi="fa-IR"/>
        </w:rPr>
        <w:t>و المناهل</w:t>
      </w:r>
      <w:r>
        <w:rPr>
          <w:rStyle w:val="FootnoteAnchor"/>
          <w:rtl w:val="true"/>
        </w:rPr>
        <w:footnoteReference w:id="685"/>
      </w:r>
      <w:r>
        <w:rPr>
          <w:rFonts w:ascii="IRNazanin" w:hAnsi="IRNazanin" w:eastAsia="IRNazanin"/>
          <w:color w:val="111111"/>
          <w:sz w:val="28"/>
          <w:sz w:val="28"/>
          <w:szCs w:val="28"/>
          <w:rtl w:val="true"/>
          <w:lang w:bidi="fa-IR"/>
        </w:rPr>
        <w:t>و الجواهر</w:t>
      </w:r>
      <w:r>
        <w:rPr>
          <w:rStyle w:val="FootnoteAnchor"/>
          <w:rtl w:val="true"/>
        </w:rPr>
        <w:footnoteReference w:id="686"/>
      </w:r>
      <w:r>
        <w:rPr>
          <w:rFonts w:ascii="IRNazanin" w:hAnsi="IRNazanin" w:eastAsia="IRNazanin"/>
          <w:color w:val="111111"/>
          <w:sz w:val="28"/>
          <w:sz w:val="28"/>
          <w:szCs w:val="28"/>
          <w:rtl w:val="true"/>
          <w:lang w:bidi="fa-IR"/>
        </w:rPr>
        <w:t>و الریاض</w:t>
      </w:r>
      <w:r>
        <w:rPr>
          <w:rStyle w:val="FootnoteAnchor"/>
          <w:rtl w:val="true"/>
        </w:rPr>
        <w:footnoteReference w:id="687"/>
      </w:r>
      <w:r>
        <w:rPr>
          <w:rFonts w:ascii="IRNazanin" w:hAnsi="IRNazanin" w:eastAsia="IRNazanin"/>
          <w:color w:val="111111"/>
          <w:sz w:val="28"/>
          <w:sz w:val="28"/>
          <w:szCs w:val="28"/>
          <w:rtl w:val="true"/>
          <w:lang w:bidi="fa-IR"/>
        </w:rPr>
        <w:t>و تحریر الوسیلة</w:t>
      </w:r>
      <w:r>
        <w:rPr>
          <w:rStyle w:val="FootnoteAnchor"/>
          <w:rtl w:val="true"/>
        </w:rPr>
        <w:footnoteReference w:id="688"/>
      </w:r>
      <w:r>
        <w:rPr>
          <w:rFonts w:ascii="IRNazanin" w:hAnsi="IRNazanin" w:eastAsia="IRNazanin"/>
          <w:color w:val="111111"/>
          <w:sz w:val="28"/>
          <w:sz w:val="28"/>
          <w:szCs w:val="28"/>
          <w:rtl w:val="true"/>
          <w:lang w:bidi="fa-IR"/>
        </w:rPr>
        <w:t>و غیرها</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الکلمات التسویة بین الرجل و المرأة فی علامیّة الأمرین المتقدّمین، و علیه فیمکن حصول الاحتلام من المرأة قبل التسع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ینبغی الارتیاب فی ندرة ذلک، أکثر من الندرة بعد التسع</w:t>
      </w:r>
      <w:r>
        <w:rPr>
          <w:rFonts w:eastAsia="IRNazanin" w:cs="IRNazanin"/>
          <w:color w:val="111111"/>
          <w:sz w:val="28"/>
          <w:szCs w:val="28"/>
          <w:rtl w:val="true"/>
          <w:lang w:bidi="fa-IR"/>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bookmarkStart w:id="201" w:name="pg11757_135514"/>
    </w:p>
    <w:p>
      <w:pPr>
        <w:pStyle w:val="Heading4"/>
        <w:numPr>
          <w:ilvl w:val="3"/>
          <w:numId w:val="1"/>
        </w:numPr>
        <w:rPr/>
      </w:pPr>
      <w:bookmarkStart w:id="202" w:name="__RefHeading___Toc9696661_73709187"/>
      <w:bookmarkStart w:id="203" w:name="_Toc74"/>
      <w:bookmarkEnd w:id="201"/>
      <w:bookmarkEnd w:id="202"/>
      <w:r>
        <w:rPr>
          <w:rtl w:val="true"/>
        </w:rPr>
        <w:t>أدلّة اشتراک الذکور و الإناث فی الاحتلام</w:t>
      </w:r>
      <w:bookmarkEnd w:id="203"/>
    </w:p>
    <w:p>
      <w:pPr>
        <w:pStyle w:val="Heading5"/>
        <w:numPr>
          <w:ilvl w:val="4"/>
          <w:numId w:val="1"/>
        </w:numPr>
        <w:rPr/>
      </w:pPr>
      <w:bookmarkStart w:id="204" w:name="__RefHeading___Toc9696663_73709187"/>
      <w:bookmarkStart w:id="205" w:name="_Toc75"/>
      <w:bookmarkEnd w:id="204"/>
      <w:r>
        <w:rPr>
          <w:rtl w:val="true"/>
        </w:rPr>
        <w:t>اشارة</w:t>
      </w:r>
      <w:bookmarkEnd w:id="205"/>
    </w:p>
    <w:p>
      <w:pPr>
        <w:pStyle w:val="BookText"/>
        <w:rPr/>
      </w:pPr>
      <w:r>
        <w:rPr>
          <w:rFonts w:ascii="IRNazanin" w:hAnsi="IRNazanin" w:eastAsia="IRNazanin"/>
          <w:color w:val="111111"/>
          <w:sz w:val="28"/>
          <w:sz w:val="28"/>
          <w:szCs w:val="28"/>
          <w:rtl w:val="true"/>
          <w:lang w:bidi="fa-IR"/>
        </w:rPr>
        <w:t>و استدلّ للحکم المذکور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الإجماع، کما فی الغنیة</w:t>
      </w:r>
      <w:r>
        <w:rPr>
          <w:rStyle w:val="FootnoteAnchor"/>
          <w:rtl w:val="true"/>
        </w:rPr>
        <w:footnoteReference w:id="691"/>
      </w:r>
      <w:r>
        <w:rPr>
          <w:rFonts w:ascii="Amiri" w:hAnsi="Amiri" w:eastAsia="Amiri" w:cs="Amiri"/>
          <w:color w:val="111111"/>
          <w:sz w:val="28"/>
          <w:sz w:val="28"/>
          <w:szCs w:val="28"/>
          <w:rtl w:val="true"/>
          <w:lang w:bidi="ar-SA"/>
        </w:rPr>
        <w:t>و مجمع الفائدة</w:t>
      </w:r>
      <w:r>
        <w:rPr>
          <w:rStyle w:val="FootnoteAnchor"/>
          <w:rtl w:val="true"/>
        </w:rPr>
        <w:footnoteReference w:id="692"/>
      </w:r>
      <w:r>
        <w:rPr>
          <w:rFonts w:ascii="IRNazanin" w:hAnsi="IRNazanin" w:eastAsia="IRNazanin"/>
          <w:color w:val="111111"/>
          <w:sz w:val="28"/>
          <w:sz w:val="28"/>
          <w:szCs w:val="28"/>
          <w:rtl w:val="true"/>
          <w:lang w:bidi="fa-IR"/>
        </w:rPr>
        <w:t>، و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الإجماع علیه قطعاً</w:t>
      </w:r>
      <w:r>
        <w:rPr>
          <w:rFonts w:eastAsia="IRNazanin" w:cs="IRNazanin"/>
          <w:color w:val="111111"/>
          <w:sz w:val="28"/>
          <w:szCs w:val="28"/>
          <w:rtl w:val="true"/>
          <w:lang w:bidi="fa-IR"/>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فی الرجل و المرأة عند علمائنا أجمع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فرق فی إفادة خروج المنی البلوغ بین الرجال و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عامّة أهل العلم</w:t>
      </w:r>
      <w:r>
        <w:rPr>
          <w:rFonts w:eastAsia="IRNazanin" w:cs="IRNazanin"/>
          <w:color w:val="111111"/>
          <w:sz w:val="28"/>
          <w:szCs w:val="28"/>
          <w:rtl w:val="true"/>
          <w:lang w:bidi="fa-IR"/>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المسالک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کلام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یشترک فی هذین الذکور و الإناث</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هذا عندنا و عند الأکثر موضع وفاق، و إنّما نبّه به علی خلاف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فساده واضح</w:t>
      </w:r>
      <w:r>
        <w:rPr>
          <w:rFonts w:eastAsia="IRNazanin" w:cs="IRNazanin"/>
          <w:color w:val="111111"/>
          <w:sz w:val="28"/>
          <w:szCs w:val="28"/>
          <w:rtl w:val="true"/>
          <w:lang w:bidi="fa-IR"/>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المناهل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تتبّع کلام الأصحاب یقتضی القطع بصحّة الإجماع الذی حکاه فی التذکرة</w:t>
      </w:r>
      <w:r>
        <w:rPr>
          <w:rFonts w:eastAsia="IRNazanin" w:cs="IRNazanin"/>
          <w:color w:val="111111"/>
          <w:sz w:val="28"/>
          <w:szCs w:val="28"/>
          <w:rtl w:val="true"/>
          <w:lang w:bidi="fa-IR"/>
        </w:rPr>
        <w:t>»</w:t>
      </w:r>
      <w:r>
        <w:rPr>
          <w:rStyle w:val="FootnoteAnchor"/>
          <w:rtl w:val="true"/>
        </w:rPr>
        <w:footnoteReference w:id="6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الجواهر</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ابْتَلُوا الْیَتامی حَتّی إِذا بَلَغُوا النِّکاحَ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بَلَغَ الْأَطْفالُ مِنْکُمُ الْحُلُمَ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الیتامی و الأطفال، یشملان الإناث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النصوص المتقدِّمة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یُتم بعد احتلام</w:t>
      </w:r>
      <w:r>
        <w:rPr>
          <w:rFonts w:eastAsia="IRNazanin" w:cs="IRNazanin"/>
          <w:color w:val="111111"/>
          <w:sz w:val="28"/>
          <w:szCs w:val="28"/>
          <w:rtl w:val="true"/>
          <w:lang w:bidi="fa-IR"/>
        </w:rPr>
        <w:t>»</w:t>
      </w:r>
      <w:r>
        <w:rPr>
          <w:rStyle w:val="FootnoteAnchor"/>
          <w:rtl w:val="true"/>
        </w:rPr>
        <w:footnoteReference w:id="698"/>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انقطاع یُتم الیتیم بالاحتلام</w:t>
      </w:r>
      <w:r>
        <w:rPr>
          <w:rFonts w:eastAsia="IRNazanin" w:cs="IRNazanin"/>
          <w:color w:val="111111"/>
          <w:sz w:val="28"/>
          <w:szCs w:val="28"/>
          <w:rtl w:val="true"/>
          <w:lang w:bidi="fa-IR"/>
        </w:rPr>
        <w:t>»</w:t>
      </w:r>
      <w:r>
        <w:rPr>
          <w:rStyle w:val="FootnoteAnchor"/>
          <w:rtl w:val="true"/>
        </w:rPr>
        <w:footnoteReference w:id="699"/>
      </w:r>
      <w:r>
        <w:rPr>
          <w:rFonts w:ascii="IRNazanin" w:hAnsi="IRNazanin" w:eastAsia="IRNazanin"/>
          <w:color w:val="111111"/>
          <w:sz w:val="28"/>
          <w:sz w:val="28"/>
          <w:szCs w:val="28"/>
          <w:rtl w:val="true"/>
          <w:lang w:bidi="fa-IR"/>
        </w:rPr>
        <w:t>، و هکذا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القلم عن الغلام حتّی یحتلم</w:t>
      </w:r>
      <w:r>
        <w:rPr>
          <w:rFonts w:eastAsia="IRNazanin" w:cs="IRNazanin"/>
          <w:color w:val="111111"/>
          <w:sz w:val="28"/>
          <w:szCs w:val="28"/>
          <w:rtl w:val="true"/>
          <w:lang w:bidi="fa-IR"/>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یشترک فی هذین الدلیلین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إنبات الشعر و خروج المنیّ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الذکور و الإناث، لإطلاق أدلّتهما</w:t>
      </w:r>
      <w:r>
        <w:rPr>
          <w:rFonts w:eastAsia="IRNazanin" w:cs="IRNazanin"/>
          <w:color w:val="111111"/>
          <w:sz w:val="28"/>
          <w:szCs w:val="28"/>
          <w:rtl w:val="true"/>
          <w:lang w:bidi="fa-IR"/>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الشیخ الأعظم فی تقریب الحدیث الأخیر ما هذا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توهّم إرادة خصوص الذکر من الصبیّ مدفوع بإرادة العموم من أخویه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النائم و المجنون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إشکال، سیّما بملاحظة ما ورد من أنّ عُمر همَّ برجم مجنونة زنت، فقال له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ما علمت أنّ القلم رفع عن ثلاثة عن الصبیّ حتّی یحتلم، و عن المجنون حتّی یفیق، و عن النائم حتّی یستیقظ</w:t>
      </w:r>
      <w:r>
        <w:rPr>
          <w:rFonts w:eastAsia="IRNazanin" w:cs="IRNazanin"/>
          <w:color w:val="111111"/>
          <w:sz w:val="28"/>
          <w:szCs w:val="28"/>
          <w:rtl w:val="true"/>
          <w:lang w:bidi="fa-IR"/>
        </w:rPr>
        <w:t>»</w:t>
      </w:r>
      <w:r>
        <w:rPr>
          <w:rStyle w:val="FootnoteAnchor"/>
          <w:rtl w:val="true"/>
        </w:rPr>
        <w:footnoteReference w:id="702"/>
      </w:r>
      <w:r>
        <w:rPr>
          <w:rFonts w:ascii="IRNazanin" w:hAnsi="IRNazanin" w:eastAsia="IRNazanin"/>
          <w:color w:val="111111"/>
          <w:sz w:val="28"/>
          <w:sz w:val="28"/>
          <w:szCs w:val="28"/>
          <w:rtl w:val="true"/>
          <w:lang w:bidi="fa-IR"/>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استدلّ الشیخ</w:t>
      </w:r>
      <w:r>
        <w:rPr>
          <w:rStyle w:val="FootnoteAnchor"/>
          <w:rtl w:val="true"/>
        </w:rPr>
        <w:footnoteReference w:id="704"/>
      </w:r>
      <w:r>
        <w:rPr>
          <w:rFonts w:ascii="Amiri" w:hAnsi="Amiri" w:eastAsia="Amiri" w:cs="Amiri"/>
          <w:color w:val="111111"/>
          <w:sz w:val="28"/>
          <w:sz w:val="28"/>
          <w:szCs w:val="28"/>
          <w:rtl w:val="true"/>
          <w:lang w:bidi="ar-SA"/>
        </w:rPr>
        <w:t>و العلّامة</w:t>
      </w:r>
      <w:r>
        <w:rPr>
          <w:rStyle w:val="FootnoteAnchor"/>
          <w:rtl w:val="true"/>
        </w:rPr>
        <w:footnoteReference w:id="705"/>
      </w:r>
      <w:r>
        <w:rPr>
          <w:rFonts w:ascii="IRNazanin" w:hAnsi="IRNazanin" w:eastAsia="IRNazanin"/>
          <w:color w:val="111111"/>
          <w:sz w:val="28"/>
          <w:sz w:val="28"/>
          <w:szCs w:val="28"/>
          <w:rtl w:val="true"/>
          <w:lang w:bidi="fa-IR"/>
        </w:rPr>
        <w:t>بما روی عن امّ سلمة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النبیّ صلی الله علیه و آله عن المرأة تری فی منامها ما یری الرجل؟ فقال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رأت ذلک فلتغتسل</w:t>
      </w:r>
      <w:r>
        <w:rPr>
          <w:rFonts w:eastAsia="IRNazanin" w:cs="IRNazanin"/>
          <w:color w:val="111111"/>
          <w:sz w:val="28"/>
          <w:szCs w:val="28"/>
          <w:rtl w:val="true"/>
          <w:lang w:bidi="fa-IR"/>
        </w:rPr>
        <w:t>»</w:t>
      </w:r>
      <w:r>
        <w:rPr>
          <w:rStyle w:val="FootnoteAnchor"/>
          <w:rtl w:val="true"/>
        </w:rPr>
        <w:footnoteReference w:id="706"/>
      </w:r>
      <w:r>
        <w:rPr>
          <w:rFonts w:ascii="IRNazanin" w:hAnsi="IRNazanin" w:eastAsia="IRNazanin"/>
          <w:color w:val="111111"/>
          <w:sz w:val="28"/>
          <w:sz w:val="28"/>
          <w:szCs w:val="28"/>
          <w:rtl w:val="true"/>
          <w:lang w:bidi="fa-IR"/>
        </w:rPr>
        <w:t>بناءً علی استفادة الفوریّة المقتضیة لثبوت التکلیف المشروط بالبلوغ، لا مجرّد السببیّة غیر المنافیة؛ لعدم حصول البلوغ، کما فی</w:t>
      </w:r>
    </w:p>
    <w:p>
      <w:pPr>
        <w:pStyle w:val="BookText"/>
        <w:rPr/>
      </w:pPr>
      <w:r>
        <w:rPr>
          <w:rFonts w:ascii="IRNazanin" w:hAnsi="IRNazanin" w:eastAsia="IRNazanin"/>
          <w:color w:val="111111"/>
          <w:sz w:val="28"/>
          <w:sz w:val="28"/>
          <w:szCs w:val="28"/>
          <w:rtl w:val="true"/>
          <w:lang w:bidi="fa-IR"/>
        </w:rPr>
        <w:t>الجواهر</w:t>
      </w:r>
      <w:r>
        <w:rPr>
          <w:rStyle w:val="FootnoteAnchor"/>
          <w:rtl w:val="true"/>
        </w:rPr>
        <w:footnoteReference w:id="707"/>
      </w:r>
      <w:r>
        <w:rPr>
          <w:rFonts w:ascii="IRNazanin" w:hAnsi="IRNazanin" w:eastAsia="IRNazanin"/>
          <w:color w:val="111111"/>
          <w:sz w:val="28"/>
          <w:sz w:val="28"/>
          <w:szCs w:val="28"/>
          <w:rtl w:val="true"/>
          <w:lang w:bidi="fa-IR"/>
        </w:rPr>
        <w:t>و تفصیل الشریعة</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فی مجمع الفائدة و البرهان</w:t>
      </w:r>
      <w:r>
        <w:rPr>
          <w:rStyle w:val="FootnoteAnchor"/>
          <w:rtl w:val="true"/>
        </w:rPr>
        <w:footnoteReference w:id="709"/>
      </w:r>
      <w:r>
        <w:rPr>
          <w:rFonts w:ascii="IRNazanin" w:hAnsi="IRNazanin" w:eastAsia="IRNazanin"/>
          <w:color w:val="111111"/>
          <w:sz w:val="28"/>
          <w:sz w:val="28"/>
          <w:szCs w:val="28"/>
          <w:rtl w:val="true"/>
          <w:lang w:bidi="fa-IR"/>
        </w:rPr>
        <w:t>بعموم الکتاب و السنّة</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المناهل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أنّه أراد به العمومات الدالّة علی وجوب الغسل بالاحتلام</w:t>
      </w:r>
      <w:r>
        <w:rPr>
          <w:rFonts w:eastAsia="IRNazanin" w:cs="IRNazanin"/>
          <w:color w:val="111111"/>
          <w:sz w:val="28"/>
          <w:szCs w:val="28"/>
          <w:rtl w:val="true"/>
          <w:lang w:bidi="fa-IR"/>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فی الأحکام الاشتراک بین الذکور و الإناث فیما لم یثبت خلافه</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الاحتلام إنّما جعل حدّ البلوغ لدلالته علی وجود الشهوة و تحرّک الطبیعة عن حدّ الصبیّ و الطفولة، و هذا أمر طبیعی لا یختلف فیه الذکور و الإناث</w:t>
      </w:r>
      <w:r>
        <w:rPr>
          <w:rStyle w:val="FootnoteAnchor"/>
          <w:rtl w:val="true"/>
        </w:rPr>
        <w:footnoteReference w:id="7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هو المشاهد فی العرف</w:t>
      </w:r>
      <w:r>
        <w:rPr>
          <w:rFonts w:eastAsia="IRNazanin" w:cs="IRNazanin"/>
          <w:color w:val="111111"/>
          <w:sz w:val="28"/>
          <w:szCs w:val="28"/>
          <w:rtl w:val="true"/>
          <w:lang w:bidi="fa-IR"/>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المناهل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الظاهر 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تسامحوا فی بیان العلامات و اعتمدوا فیها علی ما یعلم به البلوغ فیهما فی الغالب، فإنّ من المعلوم من مذاهب الأصحاب کون الحمل علامة البلوغ و أنّه دلیل علی سبقه، و هذا ممّا لا ریب فیه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یکون ذلک إلّا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w:t>
      </w:r>
      <w:r>
        <w:rPr>
          <w:rStyle w:val="FootnoteAnchor"/>
          <w:rtl w:val="true"/>
        </w:rPr>
        <w:footnoteReference w:id="715"/>
      </w:r>
      <w:r>
        <w:rPr>
          <w:rFonts w:ascii="IRNazanin" w:hAnsi="IRNazanin" w:eastAsia="IRNazanin"/>
          <w:color w:val="111111"/>
          <w:sz w:val="28"/>
          <w:sz w:val="28"/>
          <w:szCs w:val="28"/>
          <w:rtl w:val="true"/>
          <w:lang w:bidi="fa-IR"/>
        </w:rPr>
        <w:t>الاحتلام بلوغاً فی</w:t>
      </w:r>
      <w:bookmarkStart w:id="206" w:name="pg11757_135517"/>
    </w:p>
    <w:p>
      <w:pPr>
        <w:pStyle w:val="BookText"/>
        <w:rPr/>
      </w:pPr>
      <w:bookmarkEnd w:id="206"/>
      <w:r>
        <w:rPr>
          <w:rFonts w:ascii="IRNazanin" w:hAnsi="IRNazanin" w:eastAsia="IRNazanin"/>
          <w:color w:val="111111"/>
          <w:sz w:val="28"/>
          <w:sz w:val="28"/>
          <w:szCs w:val="28"/>
          <w:rtl w:val="true"/>
          <w:lang w:bidi="fa-IR"/>
        </w:rPr>
        <w:t>حقّهنّ، و قد صرّح الشیخ باشتراک الاحتلام فیما بین الذکور و الإناث، و هو قرینة واضحة علی أنّ التخصیص بالذکر فی کلامهم المنقول مبنیّ علی التسامح دون قصد التخصیص</w:t>
      </w:r>
      <w:r>
        <w:rPr>
          <w:rFonts w:eastAsia="IRNazanin" w:cs="IRNazanin"/>
          <w:color w:val="111111"/>
          <w:sz w:val="28"/>
          <w:szCs w:val="28"/>
          <w:rtl w:val="true"/>
          <w:lang w:bidi="fa-IR"/>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 w:name="__RefHeading___Toc9696665_73709187"/>
      <w:bookmarkStart w:id="208" w:name="_Toc76"/>
      <w:bookmarkEnd w:id="207"/>
      <w:r>
        <w:rPr>
          <w:rtl w:val="true"/>
        </w:rPr>
        <w:t>الأمر العاشر</w:t>
      </w:r>
      <w:r>
        <w:rPr>
          <w:rtl w:val="true"/>
        </w:rPr>
        <w:t>:</w:t>
      </w:r>
      <w:bookmarkEnd w:id="208"/>
    </w:p>
    <w:p>
      <w:pPr>
        <w:pStyle w:val="Heading6"/>
        <w:numPr>
          <w:ilvl w:val="5"/>
          <w:numId w:val="1"/>
        </w:numPr>
        <w:rPr/>
      </w:pPr>
      <w:bookmarkStart w:id="209" w:name="__RefHeading___Toc9696667_73709187"/>
      <w:bookmarkStart w:id="210" w:name="_Toc77"/>
      <w:bookmarkEnd w:id="209"/>
      <w:r>
        <w:rPr>
          <w:rtl w:val="true"/>
        </w:rPr>
        <w:t>اشارة</w:t>
      </w:r>
      <w:bookmarkEnd w:id="210"/>
    </w:p>
    <w:p>
      <w:pPr>
        <w:pStyle w:val="BookText"/>
        <w:rPr/>
      </w:pPr>
      <w:r>
        <w:rPr>
          <w:rFonts w:ascii="IRNazanin" w:hAnsi="IRNazanin" w:eastAsia="IRNazanin"/>
          <w:color w:val="111111"/>
          <w:sz w:val="28"/>
          <w:sz w:val="28"/>
          <w:szCs w:val="28"/>
          <w:rtl w:val="true"/>
          <w:lang w:bidi="fa-IR"/>
        </w:rPr>
        <w:t>قال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الخُنثی المشکل إن خرج منیّه من الفرجین حکم ببلوغه</w:t>
      </w:r>
      <w:r>
        <w:rPr>
          <w:rFonts w:eastAsia="IRNazanin" w:cs="IRNazanin"/>
          <w:color w:val="111111"/>
          <w:sz w:val="28"/>
          <w:szCs w:val="28"/>
          <w:rtl w:val="true"/>
          <w:lang w:bidi="fa-IR"/>
        </w:rPr>
        <w:t>»</w:t>
      </w:r>
      <w:r>
        <w:rPr>
          <w:rStyle w:val="FootnoteAnchor"/>
          <w:rtl w:val="true"/>
        </w:rPr>
        <w:footnoteReference w:id="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إرشاد الأذهان</w:t>
      </w:r>
      <w:r>
        <w:rPr>
          <w:rStyle w:val="FootnoteAnchor"/>
          <w:rtl w:val="true"/>
        </w:rPr>
        <w:footnoteReference w:id="718"/>
      </w:r>
      <w:r>
        <w:rPr>
          <w:rFonts w:ascii="IRNazanin" w:hAnsi="IRNazanin" w:eastAsia="IRNazanin"/>
          <w:color w:val="111111"/>
          <w:sz w:val="28"/>
          <w:sz w:val="28"/>
          <w:szCs w:val="28"/>
          <w:rtl w:val="true"/>
          <w:lang w:bidi="fa-IR"/>
        </w:rPr>
        <w:t>و الإیضاح</w:t>
      </w:r>
      <w:r>
        <w:rPr>
          <w:rStyle w:val="FootnoteAnchor"/>
          <w:rtl w:val="true"/>
        </w:rPr>
        <w:footnoteReference w:id="719"/>
      </w:r>
      <w:r>
        <w:rPr>
          <w:rFonts w:ascii="IRNazanin" w:hAnsi="IRNazanin" w:eastAsia="IRNazanin"/>
          <w:color w:val="111111"/>
          <w:sz w:val="28"/>
          <w:sz w:val="28"/>
          <w:szCs w:val="28"/>
          <w:rtl w:val="true"/>
          <w:lang w:bidi="fa-IR"/>
        </w:rPr>
        <w:t>و التحریر</w:t>
      </w:r>
      <w:r>
        <w:rPr>
          <w:rStyle w:val="FootnoteAnchor"/>
          <w:rtl w:val="true"/>
        </w:rPr>
        <w:footnoteReference w:id="720"/>
      </w:r>
      <w:r>
        <w:rPr>
          <w:rFonts w:ascii="IRNazanin" w:hAnsi="IRNazanin" w:eastAsia="IRNazanin"/>
          <w:color w:val="111111"/>
          <w:sz w:val="28"/>
          <w:sz w:val="28"/>
          <w:szCs w:val="28"/>
          <w:rtl w:val="true"/>
          <w:lang w:bidi="fa-IR"/>
        </w:rPr>
        <w:t>و التذکرة</w:t>
      </w:r>
      <w:r>
        <w:rPr>
          <w:rStyle w:val="FootnoteAnchor"/>
          <w:rtl w:val="true"/>
        </w:rPr>
        <w:footnoteReference w:id="721"/>
      </w:r>
      <w:r>
        <w:rPr>
          <w:rFonts w:ascii="IRNazanin" w:hAnsi="IRNazanin" w:eastAsia="IRNazanin"/>
          <w:color w:val="111111"/>
          <w:sz w:val="28"/>
          <w:sz w:val="28"/>
          <w:szCs w:val="28"/>
          <w:rtl w:val="true"/>
          <w:lang w:bidi="fa-IR"/>
        </w:rPr>
        <w:t>و جامع المقاصد</w:t>
      </w:r>
      <w:r>
        <w:rPr>
          <w:rStyle w:val="FootnoteAnchor"/>
          <w:rtl w:val="true"/>
        </w:rPr>
        <w:footnoteReference w:id="722"/>
      </w:r>
      <w:r>
        <w:rPr>
          <w:rFonts w:ascii="IRNazanin" w:hAnsi="IRNazanin" w:eastAsia="IRNazanin"/>
          <w:color w:val="111111"/>
          <w:sz w:val="28"/>
          <w:sz w:val="28"/>
          <w:szCs w:val="28"/>
          <w:rtl w:val="true"/>
          <w:lang w:bidi="fa-IR"/>
        </w:rPr>
        <w:t>و غیرها</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 الخنثی المشکل منحصراً فی الذکوریّة أو الاُنوثیّة و إنّما اشتبه حکمه فی الإلحاق بأحدهما، فمتی حصل له وصف من أوصاف البلوغ یتحقّق فیهما؛ إمّا لاشتراکه بینهما کالإنبات، أو لإلحاق الآخر بطریق أولی کبلوغ خمس عشرة، أو لکونه جامعاً للوصفین علی التقدیرین، کما لو أمنی من الفرجین یحکم ببلوغه؛ لأنّه إن کان ذکراً فقد أمنی فی فرجه المعتاد، و إن کان انثی فکذلک</w:t>
      </w:r>
      <w:r>
        <w:rPr>
          <w:rFonts w:eastAsia="IRNazanin" w:cs="IRNazanin"/>
          <w:color w:val="111111"/>
          <w:sz w:val="28"/>
          <w:szCs w:val="28"/>
          <w:rtl w:val="true"/>
          <w:lang w:bidi="fa-IR"/>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یدلّ علیه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بَلَغَ الْأَطْفالُ مِنْکُمُ الْحُلُمَ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w:t>
      </w:r>
      <w:bookmarkStart w:id="211" w:name="pg11757_135518"/>
    </w:p>
    <w:p>
      <w:pPr>
        <w:pStyle w:val="BookText"/>
        <w:rPr/>
      </w:pPr>
      <w:bookmarkEnd w:id="211"/>
      <w:r>
        <w:rPr>
          <w:rFonts w:ascii="IRNazanin" w:hAnsi="IRNazanin" w:eastAsia="IRNazanin"/>
          <w:color w:val="111111"/>
          <w:sz w:val="28"/>
          <w:sz w:val="28"/>
          <w:szCs w:val="28"/>
          <w:rtl w:val="true"/>
          <w:lang w:bidi="fa-IR"/>
        </w:rPr>
        <w:t>الطفل یعمّ الخُنثی عرفاً و لغةً، و الجمع المعرّف باللّام یفید العموم، و العام لا ینصرف إلی الأفراد الشائعة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لَمْ یَبْلُغُوا الْحُلُمَ مِنْکُمْ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یشمل الخنثی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یدلّ علیه أیضاً عموم أو إطلاق النصوص المتقدّمة، کقوله علیه السلام فی خبر طلحة ابن 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أولاد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بلغوا الحلم کتبت علیهم السیّئات</w:t>
      </w:r>
      <w:r>
        <w:rPr>
          <w:rFonts w:eastAsia="IRNazanin" w:cs="IRNazanin"/>
          <w:color w:val="111111"/>
          <w:sz w:val="28"/>
          <w:szCs w:val="28"/>
          <w:rtl w:val="true"/>
          <w:lang w:bidi="fa-IR"/>
        </w:rPr>
        <w:t>»</w:t>
      </w:r>
      <w:r>
        <w:rPr>
          <w:rStyle w:val="FootnoteAnchor"/>
          <w:rtl w:val="true"/>
        </w:rPr>
        <w:footnoteReference w:id="725"/>
      </w:r>
      <w:r>
        <w:rPr>
          <w:rFonts w:ascii="IRNazanin" w:hAnsi="IRNazanin" w:eastAsia="IRNazanin"/>
          <w:color w:val="111111"/>
          <w:sz w:val="28"/>
          <w:sz w:val="28"/>
          <w:szCs w:val="28"/>
          <w:rtl w:val="true"/>
          <w:lang w:bidi="fa-IR"/>
        </w:rPr>
        <w:t>، کما أشار إلیها فی المناهل</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لو أمنی من أحد الفرجین خاصّة فقال الشیخ الأعظم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لم نعتبر الخروج من المخرج الطبیعی فنحکم ببلوغه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وفاقاً للمحکیّ عن الفاضلین</w:t>
      </w:r>
      <w:r>
        <w:rPr>
          <w:rStyle w:val="FootnoteAnchor"/>
          <w:rtl w:val="true"/>
        </w:rPr>
        <w:footnoteReference w:id="727"/>
      </w:r>
      <w:r>
        <w:rPr>
          <w:rFonts w:ascii="Amiri" w:hAnsi="Amiri" w:eastAsia="Amiri" w:cs="Amiri"/>
          <w:color w:val="111111"/>
          <w:sz w:val="28"/>
          <w:sz w:val="28"/>
          <w:szCs w:val="28"/>
          <w:rtl w:val="true"/>
          <w:lang w:bidi="ar-SA"/>
        </w:rPr>
        <w:t>و المحقّق</w:t>
      </w:r>
      <w:r>
        <w:rPr>
          <w:rStyle w:val="FootnoteAnchor"/>
          <w:rtl w:val="true"/>
        </w:rPr>
        <w:footnoteReference w:id="728"/>
      </w:r>
      <w:r>
        <w:rPr>
          <w:rFonts w:ascii="IRNazanin" w:hAnsi="IRNazanin" w:eastAsia="IRNazanin"/>
          <w:color w:val="111111"/>
          <w:sz w:val="28"/>
          <w:sz w:val="28"/>
          <w:szCs w:val="28"/>
          <w:rtl w:val="true"/>
          <w:lang w:bidi="fa-IR"/>
        </w:rPr>
        <w:t>و الشهید الثانیین</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علّله فی الجواهر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لجواز کون ذلک الفرج زائداً فلا یکون معتاداً، أمّا لو صار ذلک معتاداً أو قلنا بدلالة خروج المنی مطلقاً علی البلوغ اتّجه الدلالة</w:t>
      </w:r>
      <w:r>
        <w:rPr>
          <w:rFonts w:eastAsia="IRNazanin" w:cs="IRNazanin"/>
          <w:color w:val="111111"/>
          <w:sz w:val="28"/>
          <w:szCs w:val="28"/>
          <w:rtl w:val="true"/>
          <w:lang w:bidi="fa-IR"/>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2" w:name="__RefHeading___Toc9696669_73709187"/>
      <w:bookmarkStart w:id="213" w:name="_Toc78"/>
      <w:bookmarkEnd w:id="212"/>
      <w:r>
        <w:rPr>
          <w:rtl w:val="true"/>
        </w:rPr>
        <w:t>العلامة الثالثة</w:t>
      </w:r>
      <w:r>
        <w:rPr>
          <w:rtl w:val="true"/>
        </w:rPr>
        <w:t xml:space="preserve">: </w:t>
      </w:r>
      <w:r>
        <w:rPr>
          <w:rtl w:val="true"/>
        </w:rPr>
        <w:t>السنّ‌</w:t>
      </w:r>
      <w:bookmarkEnd w:id="21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البحث فیها فی مقامین</w:t>
      </w:r>
      <w:r>
        <w:rPr>
          <w:rFonts w:eastAsia="IRNazanin" w:cs="IRNazanin"/>
          <w:color w:val="111111"/>
          <w:sz w:val="28"/>
          <w:szCs w:val="28"/>
          <w:rtl w:val="true"/>
          <w:lang w:bidi="fa-IR"/>
        </w:rPr>
        <w:t>:</w:t>
      </w:r>
      <w:bookmarkStart w:id="214" w:name="pg11757_135519"/>
    </w:p>
    <w:p>
      <w:pPr>
        <w:pStyle w:val="Heading4"/>
        <w:numPr>
          <w:ilvl w:val="3"/>
          <w:numId w:val="1"/>
        </w:numPr>
        <w:rPr/>
      </w:pPr>
      <w:bookmarkStart w:id="215" w:name="__RefHeading___Toc9696671_73709187"/>
      <w:bookmarkStart w:id="216" w:name="_Toc79"/>
      <w:bookmarkEnd w:id="214"/>
      <w:bookmarkEnd w:id="215"/>
      <w:r>
        <w:rPr>
          <w:rtl w:val="true"/>
        </w:rPr>
        <w:t xml:space="preserve">المقام الأوّل </w:t>
      </w:r>
      <w:r>
        <w:rPr>
          <w:rtl w:val="true"/>
        </w:rPr>
        <w:t xml:space="preserve">- </w:t>
      </w:r>
      <w:r>
        <w:rPr>
          <w:rtl w:val="true"/>
        </w:rPr>
        <w:t>حدّ سنّ البلوغ للذّکور</w:t>
      </w:r>
      <w:r>
        <w:rPr>
          <w:rtl w:val="true"/>
        </w:rPr>
        <w:t>:</w:t>
      </w:r>
      <w:bookmarkEnd w:id="216"/>
    </w:p>
    <w:p>
      <w:pPr>
        <w:pStyle w:val="Heading5"/>
        <w:numPr>
          <w:ilvl w:val="4"/>
          <w:numId w:val="1"/>
        </w:numPr>
        <w:rPr/>
      </w:pPr>
      <w:bookmarkStart w:id="217" w:name="__RefHeading___Toc9696673_73709187"/>
      <w:bookmarkStart w:id="218" w:name="_Toc80"/>
      <w:bookmarkEnd w:id="217"/>
      <w:r>
        <w:rPr>
          <w:rtl w:val="true"/>
        </w:rPr>
        <w:t>اشارة</w:t>
      </w:r>
      <w:bookmarkEnd w:id="218"/>
    </w:p>
    <w:p>
      <w:pPr>
        <w:pStyle w:val="BookText"/>
        <w:rPr/>
      </w:pPr>
      <w:r>
        <w:rPr>
          <w:rFonts w:ascii="IRNazanin" w:hAnsi="IRNazanin" w:eastAsia="IRNazanin"/>
          <w:color w:val="111111"/>
          <w:sz w:val="28"/>
          <w:sz w:val="28"/>
          <w:szCs w:val="28"/>
          <w:rtl w:val="true"/>
          <w:lang w:bidi="fa-IR"/>
        </w:rPr>
        <w:t>و فیه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خمس عشرة سنة، و هو المشهور بین الفقهاء من المتقدِّمین و المتأخّرین و تابعیهم و المعاصرین، بل ثبت الإجماع علیه، و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السنّ فحدّه فی الذکور خمس عشرة سنة</w:t>
      </w:r>
      <w:r>
        <w:rPr>
          <w:rFonts w:eastAsia="IRNazanin" w:cs="IRNazanin"/>
          <w:color w:val="111111"/>
          <w:sz w:val="28"/>
          <w:szCs w:val="28"/>
          <w:rtl w:val="true"/>
          <w:lang w:bidi="fa-IR"/>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بلوغ خمس عشرة سنة للذکر</w:t>
      </w:r>
      <w:r>
        <w:rPr>
          <w:rFonts w:eastAsia="IRNazanin" w:cs="IRNazanin"/>
          <w:color w:val="111111"/>
          <w:sz w:val="28"/>
          <w:szCs w:val="28"/>
          <w:rtl w:val="true"/>
          <w:lang w:bidi="fa-IR"/>
        </w:rPr>
        <w:t>»</w:t>
      </w:r>
      <w:r>
        <w:rPr>
          <w:rStyle w:val="FootnoteAnchor"/>
          <w:rtl w:val="true"/>
        </w:rPr>
        <w:footnoteReference w:id="733"/>
      </w:r>
      <w:r>
        <w:rPr>
          <w:rFonts w:ascii="IRNazanin" w:hAnsi="IRNazanin" w:eastAsia="IRNazanin"/>
          <w:color w:val="111111"/>
          <w:sz w:val="28"/>
          <w:sz w:val="28"/>
          <w:szCs w:val="28"/>
          <w:rtl w:val="true"/>
          <w:lang w:bidi="fa-IR"/>
        </w:rPr>
        <w:t>، و به قال فی السرائر</w:t>
      </w:r>
      <w:r>
        <w:rPr>
          <w:rStyle w:val="FootnoteAnchor"/>
          <w:rtl w:val="true"/>
        </w:rPr>
        <w:footnoteReference w:id="734"/>
      </w:r>
      <w:r>
        <w:rPr>
          <w:rFonts w:ascii="IRNazanin" w:hAnsi="IRNazanin" w:eastAsia="IRNazanin"/>
          <w:color w:val="111111"/>
          <w:sz w:val="28"/>
          <w:sz w:val="28"/>
          <w:szCs w:val="28"/>
          <w:rtl w:val="true"/>
          <w:lang w:bidi="fa-IR"/>
        </w:rPr>
        <w:t>و التذکرة</w:t>
      </w:r>
      <w:r>
        <w:rPr>
          <w:rStyle w:val="FootnoteAnchor"/>
          <w:rtl w:val="true"/>
        </w:rPr>
        <w:footnoteReference w:id="735"/>
      </w:r>
      <w:r>
        <w:rPr>
          <w:rFonts w:ascii="IRNazanin" w:hAnsi="IRNazanin" w:eastAsia="IRNazanin"/>
          <w:color w:val="111111"/>
          <w:sz w:val="28"/>
          <w:sz w:val="28"/>
          <w:szCs w:val="28"/>
          <w:rtl w:val="true"/>
          <w:lang w:bidi="fa-IR"/>
        </w:rPr>
        <w:t>و القواعد</w:t>
      </w:r>
      <w:r>
        <w:rPr>
          <w:rStyle w:val="FootnoteAnchor"/>
          <w:rtl w:val="true"/>
        </w:rPr>
        <w:footnoteReference w:id="736"/>
      </w:r>
      <w:r>
        <w:rPr>
          <w:rFonts w:ascii="IRNazanin" w:hAnsi="IRNazanin" w:eastAsia="IRNazanin"/>
          <w:color w:val="111111"/>
          <w:sz w:val="28"/>
          <w:sz w:val="28"/>
          <w:szCs w:val="28"/>
          <w:rtl w:val="true"/>
          <w:lang w:bidi="fa-IR"/>
        </w:rPr>
        <w:t>و الإرشاد</w:t>
      </w:r>
      <w:r>
        <w:rPr>
          <w:rStyle w:val="FootnoteAnchor"/>
          <w:rtl w:val="true"/>
        </w:rPr>
        <w:footnoteReference w:id="737"/>
      </w:r>
      <w:r>
        <w:rPr>
          <w:rFonts w:ascii="IRNazanin" w:hAnsi="IRNazanin" w:eastAsia="IRNazanin"/>
          <w:color w:val="111111"/>
          <w:sz w:val="28"/>
          <w:sz w:val="28"/>
          <w:szCs w:val="28"/>
          <w:rtl w:val="true"/>
          <w:lang w:bidi="fa-IR"/>
        </w:rPr>
        <w:t>و الإیضاح</w:t>
      </w:r>
      <w:r>
        <w:rPr>
          <w:rStyle w:val="FootnoteAnchor"/>
          <w:rtl w:val="true"/>
        </w:rPr>
        <w:footnoteReference w:id="738"/>
      </w:r>
      <w:r>
        <w:rPr>
          <w:rFonts w:ascii="IRNazanin" w:hAnsi="IRNazanin" w:eastAsia="IRNazanin"/>
          <w:color w:val="111111"/>
          <w:sz w:val="28"/>
          <w:sz w:val="28"/>
          <w:szCs w:val="28"/>
          <w:rtl w:val="true"/>
          <w:lang w:bidi="fa-IR"/>
        </w:rPr>
        <w:t>و جامع المقاصد</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المشهور بین أصحابنا، بل کاد یکون إجماعاً</w:t>
      </w:r>
      <w:r>
        <w:rPr>
          <w:rFonts w:eastAsia="IRNazanin" w:cs="IRNazanin"/>
          <w:color w:val="111111"/>
          <w:sz w:val="28"/>
          <w:szCs w:val="28"/>
          <w:rtl w:val="true"/>
          <w:lang w:bidi="fa-IR"/>
        </w:rPr>
        <w:t>»</w:t>
      </w:r>
      <w:r>
        <w:rPr>
          <w:rStyle w:val="FootnoteAnchor"/>
          <w:rtl w:val="true"/>
        </w:rPr>
        <w:footnoteReference w:id="7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مجمع الفائدة</w:t>
      </w:r>
      <w:r>
        <w:rPr>
          <w:rStyle w:val="FootnoteAnchor"/>
          <w:rtl w:val="true"/>
        </w:rPr>
        <w:footnoteReference w:id="741"/>
      </w:r>
      <w:r>
        <w:rPr>
          <w:rFonts w:ascii="IRNazanin" w:hAnsi="IRNazanin" w:eastAsia="IRNazanin"/>
          <w:color w:val="111111"/>
          <w:sz w:val="28"/>
          <w:sz w:val="28"/>
          <w:szCs w:val="28"/>
          <w:rtl w:val="true"/>
          <w:lang w:bidi="fa-IR"/>
        </w:rPr>
        <w:t>و غنائم الأیّام</w:t>
      </w:r>
      <w:r>
        <w:rPr>
          <w:rStyle w:val="FootnoteAnchor"/>
          <w:rtl w:val="true"/>
        </w:rPr>
        <w:footnoteReference w:id="742"/>
      </w:r>
      <w:r>
        <w:rPr>
          <w:rFonts w:ascii="IRNazanin" w:hAnsi="IRNazanin" w:eastAsia="IRNazanin"/>
          <w:color w:val="111111"/>
          <w:sz w:val="28"/>
          <w:sz w:val="28"/>
          <w:szCs w:val="28"/>
          <w:rtl w:val="true"/>
          <w:lang w:bidi="fa-IR"/>
        </w:rPr>
        <w:t>و الکنز</w:t>
      </w:r>
      <w:r>
        <w:rPr>
          <w:rStyle w:val="FootnoteAnchor"/>
          <w:rtl w:val="true"/>
        </w:rPr>
        <w:footnoteReference w:id="743"/>
      </w:r>
      <w:r>
        <w:rPr>
          <w:rFonts w:ascii="IRNazanin" w:hAnsi="IRNazanin" w:eastAsia="IRNazanin"/>
          <w:color w:val="111111"/>
          <w:sz w:val="28"/>
          <w:sz w:val="28"/>
          <w:szCs w:val="28"/>
          <w:rtl w:val="true"/>
          <w:lang w:bidi="fa-IR"/>
        </w:rPr>
        <w:t>و مفتاح الکرامة</w:t>
      </w:r>
      <w:r>
        <w:rPr>
          <w:rStyle w:val="FootnoteAnchor"/>
          <w:rtl w:val="true"/>
        </w:rPr>
        <w:footnoteReference w:id="744"/>
      </w:r>
      <w:r>
        <w:rPr>
          <w:rFonts w:ascii="IRNazanin" w:hAnsi="IRNazanin" w:eastAsia="IRNazanin"/>
          <w:color w:val="111111"/>
          <w:sz w:val="28"/>
          <w:sz w:val="28"/>
          <w:szCs w:val="28"/>
          <w:rtl w:val="true"/>
          <w:lang w:bidi="fa-IR"/>
        </w:rPr>
        <w:t>و تحریر</w:t>
      </w:r>
      <w:bookmarkStart w:id="219" w:name="pg11757_135520"/>
    </w:p>
    <w:p>
      <w:pPr>
        <w:pStyle w:val="BookText"/>
        <w:rPr/>
      </w:pPr>
      <w:bookmarkEnd w:id="219"/>
      <w:r>
        <w:rPr>
          <w:rFonts w:ascii="IRNazanin" w:hAnsi="IRNazanin" w:eastAsia="IRNazanin"/>
          <w:color w:val="111111"/>
          <w:sz w:val="28"/>
          <w:sz w:val="28"/>
          <w:szCs w:val="28"/>
          <w:rtl w:val="true"/>
          <w:lang w:bidi="fa-IR"/>
        </w:rPr>
        <w:t>الوسیلة</w:t>
      </w:r>
      <w:r>
        <w:rPr>
          <w:rStyle w:val="FootnoteAnchor"/>
          <w:rtl w:val="true"/>
        </w:rPr>
        <w:footnoteReference w:id="745"/>
      </w:r>
      <w:r>
        <w:rPr>
          <w:rFonts w:ascii="IRNazanin" w:hAnsi="IRNazanin" w:eastAsia="IRNazanin"/>
          <w:color w:val="111111"/>
          <w:sz w:val="28"/>
          <w:sz w:val="28"/>
          <w:szCs w:val="28"/>
          <w:rtl w:val="true"/>
          <w:lang w:bidi="fa-IR"/>
        </w:rPr>
        <w:t>و تفصیل الشریعة</w:t>
      </w:r>
      <w:r>
        <w:rPr>
          <w:rStyle w:val="FootnoteAnchor"/>
          <w:rtl w:val="true"/>
        </w:rPr>
        <w:footnoteReference w:id="746"/>
      </w:r>
      <w:r>
        <w:rPr>
          <w:rFonts w:ascii="IRNazanin" w:hAnsi="IRNazanin" w:eastAsia="IRNazanin"/>
          <w:color w:val="111111"/>
          <w:sz w:val="28"/>
          <w:sz w:val="28"/>
          <w:szCs w:val="28"/>
          <w:rtl w:val="true"/>
          <w:lang w:bidi="fa-IR"/>
        </w:rPr>
        <w:t>، و غیرها</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 w:name="__RefHeading___Toc9696675_73709187"/>
      <w:bookmarkStart w:id="221" w:name="_Toc81"/>
      <w:bookmarkEnd w:id="220"/>
      <w:r>
        <w:rPr>
          <w:rtl w:val="true"/>
        </w:rPr>
        <w:t>أدلّة کون خمس عشرة سنة دلیلاً علی بلوغ الذکور</w:t>
      </w:r>
      <w:bookmarkEnd w:id="221"/>
    </w:p>
    <w:p>
      <w:pPr>
        <w:pStyle w:val="BookText"/>
        <w:rPr/>
      </w:pPr>
      <w:r>
        <w:rPr>
          <w:rFonts w:ascii="IRNazanin" w:hAnsi="IRNazanin" w:eastAsia="IRNazanin"/>
          <w:color w:val="111111"/>
          <w:sz w:val="28"/>
          <w:sz w:val="28"/>
          <w:szCs w:val="28"/>
          <w:rtl w:val="true"/>
          <w:lang w:bidi="fa-IR"/>
        </w:rPr>
        <w:t>و یدلّ علی الحکم المذکور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کما فی الخلاف</w:t>
      </w:r>
      <w:r>
        <w:rPr>
          <w:rStyle w:val="FootnoteAnchor"/>
          <w:rtl w:val="true"/>
        </w:rPr>
        <w:footnoteReference w:id="748"/>
      </w:r>
      <w:r>
        <w:rPr>
          <w:rFonts w:ascii="IRNazanin" w:hAnsi="IRNazanin" w:eastAsia="IRNazanin"/>
          <w:color w:val="111111"/>
          <w:sz w:val="28"/>
          <w:sz w:val="28"/>
          <w:szCs w:val="28"/>
          <w:rtl w:val="true"/>
          <w:lang w:bidi="fa-IR"/>
        </w:rPr>
        <w:t>و الغنیة</w:t>
      </w:r>
      <w:r>
        <w:rPr>
          <w:rStyle w:val="FootnoteAnchor"/>
          <w:rtl w:val="true"/>
        </w:rPr>
        <w:footnoteReference w:id="749"/>
      </w:r>
      <w:r>
        <w:rPr>
          <w:rFonts w:ascii="IRNazanin" w:hAnsi="IRNazanin" w:eastAsia="IRNazanin"/>
          <w:color w:val="111111"/>
          <w:sz w:val="28"/>
          <w:sz w:val="28"/>
          <w:szCs w:val="28"/>
          <w:rtl w:val="true"/>
          <w:lang w:bidi="fa-IR"/>
        </w:rPr>
        <w:t>و المسالک</w:t>
      </w:r>
      <w:r>
        <w:rPr>
          <w:rStyle w:val="FootnoteAnchor"/>
          <w:rtl w:val="true"/>
        </w:rPr>
        <w:footnoteReference w:id="750"/>
      </w:r>
      <w:r>
        <w:rPr>
          <w:rFonts w:ascii="IRNazanin" w:hAnsi="IRNazanin" w:eastAsia="IRNazanin"/>
          <w:color w:val="111111"/>
          <w:sz w:val="28"/>
          <w:sz w:val="28"/>
          <w:szCs w:val="28"/>
          <w:rtl w:val="true"/>
          <w:lang w:bidi="fa-IR"/>
        </w:rPr>
        <w:t>و هو الظاهر من التذکرة</w:t>
      </w:r>
      <w:r>
        <w:rPr>
          <w:rStyle w:val="FootnoteAnchor"/>
          <w:rtl w:val="true"/>
        </w:rPr>
        <w:footnoteReference w:id="751"/>
      </w:r>
      <w:r>
        <w:rPr>
          <w:rFonts w:ascii="IRNazanin" w:hAnsi="IRNazanin" w:eastAsia="IRNazanin"/>
          <w:color w:val="111111"/>
          <w:sz w:val="28"/>
          <w:sz w:val="28"/>
          <w:szCs w:val="28"/>
          <w:rtl w:val="true"/>
          <w:lang w:bidi="fa-IR"/>
        </w:rPr>
        <w:t>و مجمع البیان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البلوغ إمّا کمال خمس عشرة سنة</w:t>
      </w:r>
      <w:r>
        <w:rPr>
          <w:rFonts w:eastAsia="IRNazanin" w:cs="IRNazanin"/>
          <w:color w:val="111111"/>
          <w:sz w:val="28"/>
          <w:szCs w:val="28"/>
          <w:rtl w:val="true"/>
          <w:lang w:bidi="fa-IR"/>
        </w:rPr>
        <w:t>...»</w:t>
      </w:r>
      <w:r>
        <w:rPr>
          <w:rStyle w:val="FootnoteAnchor"/>
          <w:rtl w:val="true"/>
        </w:rPr>
        <w:footnoteReference w:id="7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کنز العرفان</w:t>
      </w:r>
      <w:r>
        <w:rPr>
          <w:rStyle w:val="FootnoteAnchor"/>
          <w:rtl w:val="true"/>
        </w:rPr>
        <w:footnoteReference w:id="753"/>
      </w:r>
      <w:r>
        <w:rPr>
          <w:rFonts w:ascii="IRNazanin" w:hAnsi="IRNazanin" w:eastAsia="IRNazanin"/>
          <w:color w:val="111111"/>
          <w:sz w:val="28"/>
          <w:sz w:val="28"/>
          <w:szCs w:val="28"/>
          <w:rtl w:val="true"/>
          <w:lang w:bidi="fa-IR"/>
        </w:rPr>
        <w:t>و کشف الرموز</w:t>
      </w:r>
      <w:r>
        <w:rPr>
          <w:rStyle w:val="FootnoteAnchor"/>
          <w:rtl w:val="true"/>
        </w:rPr>
        <w:footnoteReference w:id="754"/>
      </w:r>
      <w:r>
        <w:rPr>
          <w:rFonts w:ascii="IRNazanin" w:hAnsi="IRNazanin" w:eastAsia="IRNazanin"/>
          <w:color w:val="111111"/>
          <w:sz w:val="28"/>
          <w:sz w:val="28"/>
          <w:szCs w:val="28"/>
          <w:rtl w:val="true"/>
          <w:lang w:bidi="fa-IR"/>
        </w:rPr>
        <w:t>، و حکاه فی مفتاح الکرامة</w:t>
      </w:r>
      <w:r>
        <w:rPr>
          <w:rStyle w:val="FootnoteAnchor"/>
          <w:rtl w:val="true"/>
        </w:rPr>
        <w:footnoteReference w:id="755"/>
      </w:r>
      <w:r>
        <w:rPr>
          <w:rFonts w:ascii="IRNazanin" w:hAnsi="IRNazanin" w:eastAsia="IRNazanin"/>
          <w:color w:val="111111"/>
          <w:sz w:val="28"/>
          <w:sz w:val="28"/>
          <w:szCs w:val="28"/>
          <w:rtl w:val="true"/>
          <w:lang w:bidi="fa-IR"/>
        </w:rPr>
        <w:t>و کتاب الصوم للشیخ الأعظم</w:t>
      </w:r>
      <w:r>
        <w:rPr>
          <w:rStyle w:val="FootnoteAnchor"/>
          <w:rtl w:val="true"/>
        </w:rPr>
        <w:footnoteReference w:id="756"/>
      </w:r>
      <w:r>
        <w:rPr>
          <w:rFonts w:ascii="Amiri" w:hAnsi="Amiri" w:eastAsia="Amiri" w:cs="Amiri"/>
          <w:color w:val="111111"/>
          <w:sz w:val="28"/>
          <w:sz w:val="28"/>
          <w:szCs w:val="28"/>
          <w:rtl w:val="true"/>
          <w:lang w:bidi="ar-SA"/>
        </w:rPr>
        <w:t>و المهذّب</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المشهور بین الأصحاب فی المقام شهرةً عظیمة کادت تکون إجماعاً</w:t>
      </w:r>
      <w:r>
        <w:rPr>
          <w:rFonts w:eastAsia="IRNazanin" w:cs="IRNazanin"/>
          <w:color w:val="111111"/>
          <w:sz w:val="28"/>
          <w:szCs w:val="28"/>
          <w:rtl w:val="true"/>
          <w:lang w:bidi="fa-IR"/>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المشهور بین الأصحاب شهرةً محقّقة کادت أن</w:t>
      </w:r>
    </w:p>
    <w:p>
      <w:pPr>
        <w:pStyle w:val="BookText"/>
        <w:rPr/>
      </w:pPr>
      <w:r>
        <w:rPr>
          <w:rFonts w:ascii="IRNazanin" w:hAnsi="IRNazanin" w:eastAsia="IRNazanin"/>
          <w:color w:val="111111"/>
          <w:sz w:val="28"/>
          <w:sz w:val="28"/>
          <w:szCs w:val="28"/>
          <w:rtl w:val="true"/>
          <w:lang w:bidi="fa-IR"/>
        </w:rPr>
        <w:t>تکون إجماعاً</w:t>
      </w:r>
      <w:r>
        <w:rPr>
          <w:rFonts w:eastAsia="IRNazanin" w:cs="IRNazanin"/>
          <w:color w:val="111111"/>
          <w:sz w:val="28"/>
          <w:szCs w:val="28"/>
          <w:rtl w:val="true"/>
          <w:lang w:bidi="fa-IR"/>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فی المناهل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ابْتَلُوا الْیَتامی حَتّی إِذا بَلَغُوا النِّکاحَ فَإِنْ آنَسْتُمْ مِنْهُمْ رُشْداً فَادْفَعُوا إِلَیْهِمْ أَمْوالَهُمْ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قرّره بأنّ المراد ببلوغ النکاح القدرة علی الجماع و الإنزال علی ما صرّح به فی مجمع البیان، و من الظاهر أنّ من لم یبلغ خمس عشرة سنة لا یقدر</w:t>
      </w:r>
      <w:r>
        <w:rPr>
          <w:rStyle w:val="FootnoteAnchor"/>
          <w:rtl w:val="true"/>
        </w:rPr>
        <w:footnoteReference w:id="760"/>
      </w:r>
      <w:r>
        <w:rPr>
          <w:rFonts w:ascii="IRNazanin" w:hAnsi="IRNazanin" w:eastAsia="IRNazanin"/>
          <w:color w:val="111111"/>
          <w:sz w:val="28"/>
          <w:sz w:val="28"/>
          <w:szCs w:val="28"/>
          <w:rtl w:val="true"/>
          <w:lang w:bidi="fa-IR"/>
        </w:rPr>
        <w:t>علی ذلک و إن بلغ ما بلغ</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 دلالته بمفهومه علی انتفاء الحکم بالدفع المشروط بإیناس الرشد بانتفاء بلوغ النکاح، فهو متناول لأسنان التمییز و حدود الابتلاء التی هی فی الغالب من العشر إلی الخمسة عشر، و أحقّها بالدخول سنّ الاحتلام، و توقّع بلوغ النکاح، و هی من الثانیة عشر إلی السادسة عشر، إلّا أن الإجماع</w:t>
      </w:r>
      <w:r>
        <w:rPr>
          <w:rStyle w:val="FootnoteAnchor"/>
          <w:rtl w:val="true"/>
        </w:rPr>
        <w:footnoteReference w:id="762"/>
      </w:r>
      <w:r>
        <w:rPr>
          <w:rFonts w:ascii="IRNazanin" w:hAnsi="IRNazanin" w:eastAsia="IRNazanin"/>
          <w:color w:val="111111"/>
          <w:sz w:val="28"/>
          <w:sz w:val="28"/>
          <w:szCs w:val="28"/>
          <w:rtl w:val="true"/>
          <w:lang w:bidi="fa-IR"/>
        </w:rPr>
        <w:t>علی خروجها، فیتعیّن کون الخمسة عشر هی البلوغ بحسب السنّ</w:t>
      </w:r>
      <w:r>
        <w:rPr>
          <w:rFonts w:eastAsia="IRNazanin" w:cs="IRNazanin"/>
          <w:color w:val="111111"/>
          <w:sz w:val="28"/>
          <w:szCs w:val="28"/>
          <w:rtl w:val="true"/>
          <w:lang w:bidi="fa-IR"/>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مجمع الفائدة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الأصل و الاستصحاب و ما تقدّم من الکتاب و السنّة دلّت علی عدم البلوغ إلاّ بالحلم و الإنبات، و خرج بعد الإکمال</w:t>
      </w:r>
    </w:p>
    <w:p>
      <w:pPr>
        <w:pStyle w:val="BookText"/>
        <w:rPr/>
      </w:pPr>
      <w:r>
        <w:rPr>
          <w:rFonts w:ascii="IRNazanin" w:hAnsi="IRNazanin" w:eastAsia="IRNazanin"/>
          <w:color w:val="111111"/>
          <w:sz w:val="28"/>
          <w:sz w:val="28"/>
          <w:szCs w:val="28"/>
          <w:rtl w:val="true"/>
          <w:lang w:bidi="fa-IR"/>
        </w:rPr>
        <w:t>بالإجماع و بقی الباقی تحت تلک الأدلّة</w:t>
      </w:r>
      <w:r>
        <w:rPr>
          <w:rFonts w:eastAsia="IRNazanin" w:cs="IRNazanin"/>
          <w:color w:val="111111"/>
          <w:sz w:val="28"/>
          <w:szCs w:val="28"/>
          <w:rtl w:val="true"/>
          <w:lang w:bidi="fa-IR"/>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قرّره فی المناهل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الأصل عدم البلوغ و التکلیف و بقاء الحجر و الولایة علیه إلی أن یعلم الناقل عنه، و لا یعلم إلاّ بإکمال الخمس عشرة، فیکون بلوغاً دون ما قبله، و هو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بیّن وجه التمسّک بالاستصحاب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أقوی وجوه الاستصحاب هنا و ألصقها بالمدّعی استصحاب عدم البلوغ، فإنّه نفی صریح و المطلوب منه عین المستصحب دون لازمه، و التمسّک به لا یتوقّف علی ضمیمة عدم القول بالفصل</w:t>
      </w:r>
      <w:r>
        <w:rPr>
          <w:rFonts w:eastAsia="IRNazanin" w:cs="IRNazanin"/>
          <w:color w:val="111111"/>
          <w:sz w:val="28"/>
          <w:szCs w:val="28"/>
          <w:rtl w:val="true"/>
          <w:lang w:bidi="fa-IR"/>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الأعظم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یدلّ علی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الاُصول الکثیرة و عموم ما دلّ من الکتاب و السنّة علی عدم انقطاع الصبا إلی أن یحتلم، خرج من أکمل الخمس عشرة و بقی الباقی</w:t>
      </w:r>
      <w:r>
        <w:rPr>
          <w:rFonts w:eastAsia="IRNazanin" w:cs="IRNazanin"/>
          <w:color w:val="111111"/>
          <w:sz w:val="28"/>
          <w:szCs w:val="28"/>
          <w:rtl w:val="true"/>
          <w:lang w:bidi="fa-IR"/>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یتمسّک بأصل البراءة من التکلیف</w:t>
      </w:r>
      <w:r>
        <w:rPr>
          <w:rStyle w:val="FootnoteAnchor"/>
          <w:rtl w:val="true"/>
        </w:rPr>
        <w:footnoteReference w:id="767"/>
      </w:r>
      <w:r>
        <w:rPr>
          <w:rFonts w:ascii="IRNazanin" w:hAnsi="IRNazanin" w:eastAsia="IRNazanin"/>
          <w:color w:val="111111"/>
          <w:sz w:val="28"/>
          <w:sz w:val="28"/>
          <w:szCs w:val="28"/>
          <w:rtl w:val="true"/>
          <w:lang w:bidi="fa-IR"/>
        </w:rPr>
        <w:t>علی المطلوب، لا لکونه حادثاً منفیّاً بأصل العدم؛ لرجوعه إلی الاستصحاب، و لا للأصل الشرعیّ المستفاد من نحو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w:t>
      </w:r>
      <w:r>
        <w:rPr>
          <w:rStyle w:val="FootnoteAnchor"/>
          <w:rtl w:val="true"/>
        </w:rPr>
        <w:footnoteReference w:id="76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 لم یعلموا</w:t>
      </w:r>
      <w:r>
        <w:rPr>
          <w:rFonts w:eastAsia="IRNazanin" w:cs="IRNazanin"/>
          <w:color w:val="111111"/>
          <w:sz w:val="28"/>
          <w:szCs w:val="28"/>
          <w:rtl w:val="true"/>
          <w:lang w:bidi="fa-IR"/>
        </w:rPr>
        <w:t>»</w:t>
      </w:r>
      <w:r>
        <w:rPr>
          <w:rStyle w:val="FootnoteAnchor"/>
          <w:rtl w:val="true"/>
        </w:rPr>
        <w:footnoteReference w:id="769"/>
      </w:r>
      <w:r>
        <w:rPr>
          <w:rFonts w:ascii="IRNazanin" w:hAnsi="IRNazanin" w:eastAsia="IRNazanin"/>
          <w:color w:val="111111"/>
          <w:sz w:val="28"/>
          <w:sz w:val="28"/>
          <w:szCs w:val="28"/>
          <w:rtl w:val="true"/>
          <w:lang w:bidi="fa-IR"/>
        </w:rPr>
        <w:t>و غیرهما، فإنّ المفهوم من ذلک سقوط</w:t>
      </w:r>
    </w:p>
    <w:p>
      <w:pPr>
        <w:pStyle w:val="BookText"/>
        <w:rPr/>
      </w:pPr>
      <w:r>
        <w:rPr>
          <w:rFonts w:ascii="IRNazanin" w:hAnsi="IRNazanin" w:eastAsia="IRNazanin"/>
          <w:color w:val="111111"/>
          <w:sz w:val="28"/>
          <w:sz w:val="28"/>
          <w:szCs w:val="28"/>
          <w:rtl w:val="true"/>
          <w:lang w:bidi="fa-IR"/>
        </w:rPr>
        <w:t>التکلیف کما یظهر بالتدبّر، بل لأنّ التکلیف فرع البیان، و هو مفقود فی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وجود البیان و هو الخطاب العام الصالح لکلّ ممیّز، یدفعها أنّه مشروط بالبلوغ و لم یثبت قبل إکمال الخمس عشرة، اللّهمَّ إلاّ أن یمنع الشرطیّة علی وجه ینافی الاستدلال بالعمومات فی المجهول، کما فی الجواهر</w:t>
      </w:r>
      <w:r>
        <w:rPr>
          <w:rStyle w:val="FootnoteAnchor"/>
          <w:rtl w:val="true"/>
        </w:rPr>
        <w:footnoteReference w:id="770"/>
      </w:r>
      <w:r>
        <w:rPr>
          <w:rFonts w:ascii="IRNazanin" w:hAnsi="IRNazanin" w:eastAsia="IRNazanin"/>
          <w:color w:val="111111"/>
          <w:sz w:val="28"/>
          <w:sz w:val="28"/>
          <w:szCs w:val="28"/>
          <w:rtl w:val="true"/>
          <w:lang w:bidi="fa-IR"/>
        </w:rPr>
        <w:t>و المناهل</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ابن محبوب، عن عبد العزیز العبدی، عن حمزة بن حمران، 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یجب علی الغلام أن یؤخذ بالحدود التامّة و تقام علیه و یؤخذ بها؟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 عنه الیُتم و أدرک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حدّ یُعرف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احتلم أو بلغ خمس عشرة سنة أو أشعر أو أنبت قبل ذلک اقیمت علیه الحدود التامّة و اخذ بها و اخذت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الغلام لا یجوز أمره فی الشراء و البیع و لا یخرج من الیُتم حتّی یبلغ خمس عشرة سنة أو یحتلم أو یشعر أو ینبت قبل ذلک</w:t>
      </w:r>
      <w:r>
        <w:rPr>
          <w:rFonts w:eastAsia="IRNazanin" w:cs="IRNazanin"/>
          <w:color w:val="111111"/>
          <w:sz w:val="28"/>
          <w:szCs w:val="28"/>
          <w:rtl w:val="true"/>
          <w:lang w:bidi="fa-IR"/>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الإشکال فی حمزة بن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ابن أعین الشیبانی</w:t>
      </w:r>
      <w:r>
        <w:rPr>
          <w:rStyle w:val="FootnoteAnchor"/>
          <w:rtl w:val="true"/>
        </w:rPr>
        <w:footnoteReference w:id="7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مندفع؛ لکونه من آل أعین المعلوم جلالتهم وعظم منزلتهم فی الشیعة، سدید الحدیث، کثیر الروایة، قد روی عنه الأجلّاء کعبد اللّه بن مسکان و ابن بکیر و ابن أبی عمیر</w:t>
      </w:r>
    </w:p>
    <w:p>
      <w:pPr>
        <w:pStyle w:val="BookText"/>
        <w:rPr/>
      </w:pPr>
      <w:r>
        <w:rPr>
          <w:rFonts w:ascii="IRNazanin" w:hAnsi="IRNazanin" w:eastAsia="IRNazanin"/>
          <w:color w:val="111111"/>
          <w:sz w:val="28"/>
          <w:sz w:val="28"/>
          <w:szCs w:val="28"/>
          <w:rtl w:val="true"/>
          <w:lang w:bidi="fa-IR"/>
        </w:rPr>
        <w:t>و الحسن بن محبوب، بل فی بعض طرق کتابه صفوان بن یحیی، وهم من أصحاب الإجماع، کما فی الجواهر</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کتاب یرویه عدّة من أصحابنا</w:t>
      </w:r>
      <w:r>
        <w:rPr>
          <w:rFonts w:eastAsia="IRNazanin" w:cs="IRNazanin"/>
          <w:color w:val="111111"/>
          <w:sz w:val="28"/>
          <w:szCs w:val="28"/>
          <w:rtl w:val="true"/>
          <w:lang w:bidi="fa-IR"/>
        </w:rPr>
        <w:t>»</w:t>
      </w:r>
      <w:r>
        <w:rPr>
          <w:rStyle w:val="FootnoteAnchor"/>
          <w:rtl w:val="true"/>
        </w:rPr>
        <w:footnoteReference w:id="7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منتهی المقال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روایته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إشعار بالوثاقة</w:t>
      </w:r>
      <w:r>
        <w:rPr>
          <w:rFonts w:eastAsia="IRNazanin" w:cs="IRNazanin"/>
          <w:color w:val="111111"/>
          <w:sz w:val="28"/>
          <w:szCs w:val="28"/>
          <w:rtl w:val="true"/>
          <w:lang w:bidi="fa-IR"/>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عدّه فی الوجیز ممدوحاً؛ لأنّ للصدوق طریقاً إلیه</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روضة المتّقین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الحقّ أنّ أخباره سدیدة لیس فیها ما یشینه، مع صحّة طریقه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 و هو من أهل الإجماع</w:t>
      </w:r>
      <w:r>
        <w:rPr>
          <w:rFonts w:eastAsia="IRNazanin" w:cs="IRNazanin"/>
          <w:color w:val="111111"/>
          <w:sz w:val="28"/>
          <w:szCs w:val="28"/>
          <w:rtl w:val="true"/>
          <w:lang w:bidi="fa-IR"/>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صرّح فی معجم الرجال بأنّ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حمزة بن حمران بن أعین، مولی بنی شیبان، الکوفی، و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طریق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روایة جماعة من الأجلّاء عنه تکشف عن وثاقته و إن لم یکن مصرّحاً بها</w:t>
      </w:r>
      <w:r>
        <w:rPr>
          <w:rFonts w:eastAsia="IRNazanin" w:cs="IRNazanin"/>
          <w:color w:val="111111"/>
          <w:sz w:val="28"/>
          <w:szCs w:val="28"/>
          <w:rtl w:val="true"/>
          <w:lang w:bidi="fa-IR"/>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أنّ عمل الأصحاب بها و شهرتها العظیمة بینهم جابر لضعفها، و أمّا دلالتها فصریحة علی المطلوب</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الصحیح من محکمات أخبار الباب و مبیّناتها، و ممّا یشهد متنه بصحّة سنده کما لا یخفی علی أهله، و لا بدّ من ردّ غیره إلیه أو</w:t>
      </w:r>
    </w:p>
    <w:p>
      <w:pPr>
        <w:pStyle w:val="BookText"/>
        <w:rPr/>
      </w:pPr>
      <w:r>
        <w:rPr>
          <w:rFonts w:ascii="Amiri" w:hAnsi="Amiri" w:eastAsia="Amiri" w:cs="Amiri"/>
          <w:color w:val="111111"/>
          <w:sz w:val="28"/>
          <w:sz w:val="28"/>
          <w:szCs w:val="28"/>
          <w:rtl w:val="true"/>
          <w:lang w:bidi="ar-SA"/>
        </w:rPr>
        <w:t>طرحه عند المعارضة</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یزید الکناسیّ أو حسنته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الجاریة إذا بلغت تسع سنین ذهب عنها الیُتم، و زوّجت و اقیمت علیها الحدود التامّة، لها و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الغلام إذا زوّجه أبوه و دخل بأهله و هو غیر مدرک أ تُقام علیه الحدود و هو علی تلک الحال؟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الحدود الکاملة التی یؤخذ بها الرجال فلا، و لکن یجلد</w:t>
      </w:r>
      <w:r>
        <w:rPr>
          <w:rStyle w:val="FootnoteAnchor"/>
          <w:rtl w:val="true"/>
        </w:rPr>
        <w:footnoteReference w:id="782"/>
      </w:r>
      <w:r>
        <w:rPr>
          <w:rFonts w:ascii="IRNazanin" w:hAnsi="IRNazanin" w:eastAsia="IRNazanin"/>
          <w:color w:val="111111"/>
          <w:sz w:val="28"/>
          <w:sz w:val="28"/>
          <w:szCs w:val="28"/>
          <w:rtl w:val="true"/>
          <w:lang w:bidi="fa-IR"/>
        </w:rPr>
        <w:t>فی الحدود کلّها علی مبلغ سنّه، فیؤخذ بذلک ما بینه و بین خمس عشرة سنة، و لا تبطل</w:t>
      </w:r>
      <w:r>
        <w:rPr>
          <w:rStyle w:val="FootnoteAnchor"/>
          <w:rtl w:val="true"/>
        </w:rPr>
        <w:footnoteReference w:id="783"/>
      </w:r>
      <w:r>
        <w:rPr>
          <w:rFonts w:ascii="IRNazanin" w:hAnsi="IRNazanin" w:eastAsia="IRNazanin"/>
          <w:color w:val="111111"/>
          <w:sz w:val="28"/>
          <w:sz w:val="28"/>
          <w:szCs w:val="28"/>
          <w:rtl w:val="true"/>
          <w:lang w:bidi="fa-IR"/>
        </w:rPr>
        <w:t>حدود اللّه فی خلقه، و لا تبطل حقوق المسلمین بینهم</w:t>
      </w:r>
      <w:r>
        <w:rPr>
          <w:rFonts w:eastAsia="IRNazanin" w:cs="IRNazanin"/>
          <w:color w:val="111111"/>
          <w:sz w:val="28"/>
          <w:szCs w:val="28"/>
          <w:rtl w:val="true"/>
          <w:lang w:bidi="fa-IR"/>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روایته الاُخری</w:t>
      </w:r>
      <w:r>
        <w:rPr>
          <w:rStyle w:val="FootnoteAnchor"/>
          <w:rtl w:val="true"/>
        </w:rPr>
        <w:footnoteReference w:id="785"/>
      </w:r>
      <w:r>
        <w:rPr>
          <w:rFonts w:ascii="IRNazanin" w:hAnsi="IRNazanin" w:eastAsia="IRNazanin"/>
          <w:color w:val="111111"/>
          <w:sz w:val="28"/>
          <w:sz w:val="28"/>
          <w:szCs w:val="28"/>
          <w:rtl w:val="true"/>
          <w:lang w:bidi="fa-IR"/>
        </w:rPr>
        <w:t>متّحدة مع هذه الروایة، و لا تکون روایة ثانیة له، و علی فرض التعدّد دلالتهما متّحدة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فی کم یؤخذ الصبیّ بالصیام؟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بینه و بین خمس عشرة سنة و أربع عشرة سنة، فإن هو صام قبل ذلک فدعه</w:t>
      </w:r>
      <w:r>
        <w:rPr>
          <w:rFonts w:eastAsia="IRNazanin" w:cs="IRNazanin"/>
          <w:color w:val="111111"/>
          <w:sz w:val="28"/>
          <w:szCs w:val="28"/>
          <w:rtl w:val="true"/>
          <w:lang w:bidi="fa-IR"/>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الظاهر أنّ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إلی الصبیّ، و وجه الاستدلال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الجواهر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بناءً علی إرادة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لا بدّ من کون المراد ذلک؛ لاستحالة الجمع هنا کما هو ظاهر</w:t>
      </w:r>
      <w:r>
        <w:rPr>
          <w:rFonts w:eastAsia="IRNazanin" w:cs="IRNazanin"/>
          <w:color w:val="111111"/>
          <w:sz w:val="28"/>
          <w:szCs w:val="28"/>
          <w:rtl w:val="true"/>
          <w:lang w:bidi="fa-IR"/>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المناهل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وجه الدلالة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جعل فیها ما تقدّم علی الخمس عشرة سنة و الأربع عشرة وقتاً للتمرین و الأخذ علی سبیل التأدیب کما یقتضیه السیاق و التردید بین العددین المذکورین، و مقتضی ذلک حصول البلوغ بأحد الأمرین، لکن یمتنع أن یکون بالأقلّ و إلّا لم یکن الزمان المتوسّط تمرینیّاً، و اللازم من التردید کونه کذلک، فیجب أن یکون بالأکثر و هو الخمسة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w:t>
      </w:r>
      <w:r>
        <w:rPr>
          <w:rStyle w:val="FootnoteAnchor"/>
          <w:rtl w:val="true"/>
        </w:rPr>
        <w:footnoteReference w:id="788"/>
      </w:r>
      <w:r>
        <w:rPr>
          <w:rFonts w:ascii="IRNazanin" w:hAnsi="IRNazanin" w:eastAsia="IRNazanin"/>
          <w:color w:val="111111"/>
          <w:sz w:val="28"/>
          <w:sz w:val="28"/>
          <w:szCs w:val="28"/>
          <w:rtl w:val="true"/>
          <w:lang w:bidi="fa-IR"/>
        </w:rPr>
        <w:t>فی التردید بین العددین التنبیه علی الفرق بین المتوسّط بینهما و المتقدّم علیهما فی التضییق و عدمه، فإنّ الصبیّ یضیّق علیه فیما بین الأربعة عشر و الخمسة عشر، بخلاف ما تقدّمهما من الزمان، فإنّه لا یضیّق علیه فیه لبُعده عن البلوغ</w:t>
      </w:r>
      <w:r>
        <w:rPr>
          <w:rFonts w:eastAsia="IRNazanin" w:cs="IRNazanin"/>
          <w:color w:val="111111"/>
          <w:sz w:val="28"/>
          <w:szCs w:val="28"/>
          <w:rtl w:val="true"/>
          <w:lang w:bidi="fa-IR"/>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اخری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فی کم یؤخذ الصبیّ بالصلاة؟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بین سبع سنین و ستّ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کم یؤخذ بالصیام؟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بین خمس عشرة أو أربع عشرة</w:t>
      </w:r>
      <w:r>
        <w:rPr>
          <w:rFonts w:eastAsia="IRNazanin" w:cs="IRNazanin"/>
          <w:color w:val="111111"/>
          <w:sz w:val="28"/>
          <w:szCs w:val="28"/>
          <w:rtl w:val="true"/>
          <w:lang w:bidi="fa-IR"/>
        </w:rPr>
        <w:t>»</w:t>
      </w:r>
      <w:r>
        <w:rPr>
          <w:rStyle w:val="FootnoteAnchor"/>
          <w:rtl w:val="true"/>
        </w:rPr>
        <w:footnoteReference w:id="790"/>
      </w:r>
      <w:r>
        <w:rPr>
          <w:rFonts w:ascii="IRNazanin" w:hAnsi="IRNazanin" w:eastAsia="IRNazanin"/>
          <w:color w:val="111111"/>
          <w:sz w:val="28"/>
          <w:sz w:val="28"/>
          <w:szCs w:val="28"/>
          <w:rtl w:val="true"/>
          <w:lang w:bidi="fa-IR"/>
        </w:rPr>
        <w:t>، الحدیث، بالتقریب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الروایة لا تکون روایة مستقلّة و إن جعلتا متعدّدتین فی الوسائل و تبعه غیره، بل و إن کان بینهما اختلاف زیادة و نقیصة فی الجملة</w:t>
      </w:r>
      <w:r>
        <w:rPr>
          <w:rFonts w:eastAsia="IRNazanin" w:cs="IRNazanin"/>
          <w:color w:val="111111"/>
          <w:sz w:val="28"/>
          <w:szCs w:val="28"/>
          <w:rtl w:val="true"/>
          <w:lang w:bidi="fa-IR"/>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الخصال بإسناده عن العبّاس بن عامر القصبانی عمّن ذکره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یؤدّب الصبیّ علی الصوم ما بین خمس عشرة سنة إلی</w:t>
      </w:r>
      <w:r>
        <w:rPr>
          <w:rStyle w:val="FootnoteAnchor"/>
          <w:rtl w:val="true"/>
        </w:rPr>
        <w:footnoteReference w:id="792"/>
      </w:r>
      <w:r>
        <w:rPr>
          <w:rFonts w:ascii="Amiri" w:hAnsi="Amiri" w:eastAsia="Amiri" w:cs="Amiri"/>
          <w:color w:val="111111"/>
          <w:sz w:val="28"/>
          <w:sz w:val="28"/>
          <w:szCs w:val="28"/>
          <w:rtl w:val="true"/>
          <w:lang w:bidi="ar-SA"/>
        </w:rPr>
        <w:t>ستّ عشرة سنة</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الغلام یؤخذ بالصیام ما بین أربعة عشرة سنة، إلاّ أن یقوی قبل ذلک</w:t>
      </w:r>
      <w:r>
        <w:rPr>
          <w:rFonts w:eastAsia="IRNazanin" w:cs="IRNazanin"/>
          <w:color w:val="111111"/>
          <w:sz w:val="28"/>
          <w:szCs w:val="28"/>
          <w:rtl w:val="true"/>
          <w:lang w:bidi="fa-IR"/>
        </w:rPr>
        <w:t>»</w:t>
      </w:r>
      <w:r>
        <w:rPr>
          <w:rStyle w:val="FootnoteAnchor"/>
          <w:rtl w:val="true"/>
        </w:rPr>
        <w:footnoteReference w:id="794"/>
      </w:r>
      <w:r>
        <w:rPr>
          <w:rFonts w:ascii="IRNazanin" w:hAnsi="IRNazanin" w:eastAsia="IRNazanin"/>
          <w:color w:val="111111"/>
          <w:sz w:val="28"/>
          <w:sz w:val="28"/>
          <w:szCs w:val="28"/>
          <w:rtl w:val="true"/>
          <w:lang w:bidi="fa-IR"/>
        </w:rPr>
        <w:t>، و لا یضرّ ضعف سندها بالإرسال و الجهالة؛ لانجباره بالشهرة العظیمة، بل و عمل الأصحاب کما فی المناهل</w:t>
      </w:r>
      <w:r>
        <w:rPr>
          <w:rStyle w:val="FootnoteAnchor"/>
          <w:rtl w:val="true"/>
        </w:rPr>
        <w:footnoteReference w:id="7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الجواهر، و زاد فی الأخیر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 صریحان فی المطلوب؛ إذ المراد من الخمسة عشر نصّاً و فتویً ما هو المنساق منهما من إکمال العدد لا الدخول فیه، و به صرّح غیر واحد، بل نسبه جماعة إلی المشهور</w:t>
      </w:r>
      <w:r>
        <w:rPr>
          <w:rStyle w:val="FootnoteAnchor"/>
          <w:rtl w:val="true"/>
        </w:rPr>
        <w:footnoteReference w:id="7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إلی أصحابنا</w:t>
      </w:r>
      <w:r>
        <w:rPr>
          <w:rFonts w:eastAsia="IRNazanin" w:cs="IRNazanin"/>
          <w:color w:val="111111"/>
          <w:sz w:val="28"/>
          <w:szCs w:val="28"/>
          <w:rtl w:val="true"/>
          <w:lang w:bidi="fa-IR"/>
        </w:rPr>
        <w:t>»</w:t>
      </w:r>
      <w:r>
        <w:rPr>
          <w:rStyle w:val="FootnoteAnchor"/>
          <w:rtl w:val="true"/>
        </w:rPr>
        <w:footnoteReference w:id="797"/>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الفاضل الآبی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یحصل بخمس عشرة، و لعلّ ما ورد بدون ذلک</w:t>
      </w:r>
      <w:bookmarkStart w:id="222" w:name="pg11757_135528"/>
    </w:p>
    <w:p>
      <w:pPr>
        <w:pStyle w:val="BookText"/>
        <w:rPr/>
      </w:pPr>
      <w:bookmarkEnd w:id="222"/>
      <w:r>
        <w:rPr>
          <w:rFonts w:ascii="IRNazanin" w:hAnsi="IRNazanin" w:eastAsia="IRNazanin"/>
          <w:color w:val="111111"/>
          <w:sz w:val="28"/>
          <w:sz w:val="28"/>
          <w:szCs w:val="28"/>
          <w:rtl w:val="true"/>
          <w:lang w:bidi="fa-IR"/>
        </w:rPr>
        <w:t>من الروایات یحمل علی أنّه احتلم أو أنبت</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مفتاح الکرامة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جیّد جدّاً</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 w:name="__RefHeading___Toc9696677_73709187"/>
      <w:bookmarkStart w:id="224" w:name="_Toc82"/>
      <w:bookmarkEnd w:id="223"/>
      <w:r>
        <w:rPr>
          <w:rtl w:val="true"/>
        </w:rPr>
        <w:t>القول الثانی</w:t>
      </w:r>
      <w:r>
        <w:rPr>
          <w:rtl w:val="true"/>
        </w:rPr>
        <w:t xml:space="preserve">: </w:t>
      </w:r>
      <w:r>
        <w:rPr>
          <w:rtl w:val="true"/>
        </w:rPr>
        <w:t>أنّه أربع عشرة سنة</w:t>
      </w:r>
      <w:bookmarkEnd w:id="224"/>
    </w:p>
    <w:p>
      <w:pPr>
        <w:pStyle w:val="BookText"/>
        <w:rPr/>
      </w:pPr>
      <w:r>
        <w:rPr>
          <w:rFonts w:ascii="IRNazanin" w:hAnsi="IRNazanin" w:eastAsia="IRNazanin"/>
          <w:color w:val="111111"/>
          <w:sz w:val="28"/>
          <w:sz w:val="28"/>
          <w:szCs w:val="28"/>
          <w:rtl w:val="true"/>
          <w:lang w:bidi="fa-IR"/>
        </w:rPr>
        <w:t>نسبه فی المختلف</w:t>
      </w:r>
      <w:r>
        <w:rPr>
          <w:rStyle w:val="FootnoteAnchor"/>
          <w:rtl w:val="true"/>
        </w:rPr>
        <w:footnoteReference w:id="801"/>
      </w:r>
      <w:r>
        <w:rPr>
          <w:rFonts w:ascii="IRNazanin" w:hAnsi="IRNazanin" w:eastAsia="IRNazanin"/>
          <w:color w:val="111111"/>
          <w:sz w:val="28"/>
          <w:sz w:val="28"/>
          <w:szCs w:val="28"/>
          <w:rtl w:val="true"/>
          <w:lang w:bidi="fa-IR"/>
        </w:rPr>
        <w:t>إلی ابن الجنید، و کذا فی المهذّب البارع</w:t>
      </w:r>
      <w:r>
        <w:rPr>
          <w:rStyle w:val="FootnoteAnchor"/>
          <w:rtl w:val="true"/>
        </w:rPr>
        <w:footnoteReference w:id="802"/>
      </w:r>
      <w:r>
        <w:rPr>
          <w:rFonts w:ascii="IRNazanin" w:hAnsi="IRNazanin" w:eastAsia="IRNazanin"/>
          <w:color w:val="111111"/>
          <w:sz w:val="28"/>
          <w:sz w:val="28"/>
          <w:szCs w:val="28"/>
          <w:rtl w:val="true"/>
          <w:lang w:bidi="fa-IR"/>
        </w:rPr>
        <w:t>، و استدلّ لهذا القول بروایة أبی حمزة الثمالی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کم تجری الأحکام علی الصبیان؟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ثلاث عشرة و أربع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 یحتلم فیها،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لم یحتلم، فإنّ الأحکام تجری علیه</w:t>
      </w:r>
      <w:r>
        <w:rPr>
          <w:rFonts w:eastAsia="IRNazanin" w:cs="IRNazanin"/>
          <w:color w:val="111111"/>
          <w:sz w:val="28"/>
          <w:szCs w:val="28"/>
          <w:rtl w:val="true"/>
          <w:lang w:bidi="fa-IR"/>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مجمع الفائدة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یدلّ علی الأقلّ من خمس عشرة فهو روایات کثیرة،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معاویة بن وهب المتقدّمة،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فی کم یؤخذ الصبیّ بالصیام؟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بین خمس عشرة أو أربع عشرة</w:t>
      </w:r>
      <w:r>
        <w:rPr>
          <w:rFonts w:eastAsia="IRNazanin" w:cs="IRNazanin"/>
          <w:color w:val="111111"/>
          <w:sz w:val="28"/>
          <w:szCs w:val="28"/>
          <w:rtl w:val="true"/>
          <w:lang w:bidi="fa-IR"/>
        </w:rPr>
        <w:t>»</w:t>
      </w:r>
      <w:r>
        <w:rPr>
          <w:rStyle w:val="FootnoteAnchor"/>
          <w:rtl w:val="true"/>
        </w:rPr>
        <w:footnoteReference w:id="804"/>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عبد اللّه بن سنان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أشدّه ثلاث عشرة سنة و دخل فی الأربع عشرة وجب علیه ما وجب علی المحتلمین، احتلم أو لم یحتلم</w:t>
      </w:r>
      <w:r>
        <w:rPr>
          <w:rFonts w:eastAsia="IRNazanin" w:cs="IRNazanin"/>
          <w:color w:val="111111"/>
          <w:sz w:val="28"/>
          <w:szCs w:val="28"/>
          <w:rtl w:val="true"/>
          <w:lang w:bidi="fa-IR"/>
        </w:rPr>
        <w:t>»</w:t>
      </w:r>
      <w:r>
        <w:rPr>
          <w:rStyle w:val="FootnoteAnchor"/>
          <w:rtl w:val="true"/>
        </w:rPr>
        <w:footnoteReference w:id="805"/>
      </w:r>
      <w:r>
        <w:rPr>
          <w:rFonts w:ascii="IRNazanin" w:hAnsi="IRNazanin" w:eastAsia="IRNazanin"/>
          <w:color w:val="111111"/>
          <w:sz w:val="28"/>
          <w:sz w:val="28"/>
          <w:szCs w:val="28"/>
          <w:rtl w:val="true"/>
          <w:lang w:bidi="fa-IR"/>
        </w:rPr>
        <w:t>، الحدیث</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عن روایة أبی حمزة الثمالی و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بضعف سندهما</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باضطراب دلالتهما، 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روایة الثمالی مضطربة</w:t>
      </w:r>
      <w:r>
        <w:rPr>
          <w:rStyle w:val="FootnoteAnchor"/>
          <w:rtl w:val="true"/>
        </w:rPr>
        <w:footnoteReference w:id="808"/>
      </w:r>
      <w:r>
        <w:rPr>
          <w:rFonts w:ascii="IRNazanin" w:hAnsi="IRNazanin" w:eastAsia="IRNazanin"/>
          <w:color w:val="111111"/>
          <w:sz w:val="28"/>
          <w:sz w:val="28"/>
          <w:szCs w:val="28"/>
          <w:rtl w:val="true"/>
          <w:lang w:bidi="fa-IR"/>
        </w:rPr>
        <w:t xml:space="preserve">اللفظ، محتملة المعنی، فلا یصحّ الحکم بمطابقتها لروایة ابن سنان، و لا یصلح الاستناد إلیها فی تعیین مذهب ابن الجنید، و إن علم استناده إلیها فی القول المذکور، بل المتعیّن الرجوع فی ذلک إلی ما یقتضیه الخلاف المحکیّ عنه فی المسألة، و قد عرفت أنّه ظاهر فی الإکمال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إکمال خمس عشرة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صریح فیه هذا</w:t>
      </w:r>
      <w:r>
        <w:rPr>
          <w:rFonts w:eastAsia="IRNazanin" w:cs="IRNazanin"/>
          <w:color w:val="111111"/>
          <w:sz w:val="28"/>
          <w:szCs w:val="28"/>
          <w:rtl w:val="true"/>
          <w:lang w:bidi="fa-IR"/>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صحیحة معاویة بن وهب فلا یمکن الاستناد إلیها لإثبات القول الثانی؛ لاشتمالها علی التردید المنافی للتعیین، کما فی المناهل</w:t>
      </w:r>
      <w:r>
        <w:rPr>
          <w:rStyle w:val="FootnoteAnchor"/>
          <w:rtl w:val="true"/>
        </w:rPr>
        <w:footnoteReference w:id="810"/>
      </w:r>
      <w:r>
        <w:rPr>
          <w:rFonts w:ascii="IRNazanin" w:hAnsi="IRNazanin" w:eastAsia="IRNazanin"/>
          <w:color w:val="111111"/>
          <w:sz w:val="28"/>
          <w:sz w:val="28"/>
          <w:szCs w:val="28"/>
          <w:rtl w:val="true"/>
          <w:lang w:bidi="fa-IR"/>
        </w:rPr>
        <w:t>، و تکون دلیلاً للقول الأوّل بالتقریب المتقدّم، و ستأتی فی ذلک زیادة 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له أیضاً بأنّ ما دلّ علی الخمس عشرة یحتمل إرادة الأخذ و الانتهاء و لیس نصّاً فی أحدهما، فیبنی علی الأوّل احتیاطاً للعبادة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روایات الخمس عشرة فیها ما هو نصّ فی الإکمال و منها ما هو ظاهر فیه، فلا إجمال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وجوب الاحتیاط موقوف</w:t>
      </w:r>
      <w:r>
        <w:rPr>
          <w:rStyle w:val="FootnoteAnchor"/>
          <w:rtl w:val="true"/>
        </w:rPr>
        <w:footnoteReference w:id="811"/>
      </w:r>
      <w:r>
        <w:rPr>
          <w:rFonts w:ascii="IRNazanin" w:hAnsi="IRNazanin" w:eastAsia="IRNazanin"/>
          <w:color w:val="111111"/>
          <w:sz w:val="28"/>
          <w:sz w:val="28"/>
          <w:szCs w:val="28"/>
          <w:rtl w:val="true"/>
          <w:lang w:bidi="fa-IR"/>
        </w:rPr>
        <w:t>علی التکلیف، فلو توقّف التکلیف</w:t>
      </w:r>
      <w:bookmarkStart w:id="225" w:name="pg11757_135530"/>
    </w:p>
    <w:p>
      <w:pPr>
        <w:pStyle w:val="BookText"/>
        <w:rPr/>
      </w:pPr>
      <w:bookmarkEnd w:id="225"/>
      <w:r>
        <w:rPr>
          <w:rFonts w:ascii="IRNazanin" w:hAnsi="IRNazanin" w:eastAsia="IRNazanin"/>
          <w:color w:val="111111"/>
          <w:sz w:val="28"/>
          <w:sz w:val="28"/>
          <w:szCs w:val="28"/>
          <w:rtl w:val="true"/>
          <w:lang w:bidi="fa-IR"/>
        </w:rPr>
        <w:t>علیه 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الاحتیاط فی نفسه لا یقتضی الوجوب و إنّما یجب مع اشتغال الذمّة بما یتوقّف علیه، و ذمّة الصبیّ خالیة عن الشواغل، کما فی المناهل</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 w:name="__RefHeading___Toc9696679_73709187"/>
      <w:bookmarkStart w:id="227" w:name="_Toc83"/>
      <w:bookmarkEnd w:id="226"/>
      <w:r>
        <w:rPr>
          <w:rtl w:val="true"/>
        </w:rPr>
        <w:t>القول الثالث</w:t>
      </w:r>
      <w:r>
        <w:rPr>
          <w:rtl w:val="true"/>
        </w:rPr>
        <w:t xml:space="preserve">: </w:t>
      </w:r>
      <w:r>
        <w:rPr>
          <w:rtl w:val="true"/>
        </w:rPr>
        <w:t>أنّه ثلاث عشرة سنة</w:t>
      </w:r>
      <w:bookmarkEnd w:id="227"/>
    </w:p>
    <w:p>
      <w:pPr>
        <w:pStyle w:val="BookText"/>
        <w:rPr/>
      </w:pPr>
      <w:r>
        <w:rPr>
          <w:rFonts w:ascii="IRNazanin" w:hAnsi="IRNazanin" w:eastAsia="IRNazanin"/>
          <w:color w:val="111111"/>
          <w:sz w:val="28"/>
          <w:sz w:val="28"/>
          <w:szCs w:val="28"/>
          <w:rtl w:val="true"/>
          <w:lang w:bidi="fa-IR"/>
        </w:rPr>
        <w:t>نسب فی مجمع الفائدة</w:t>
      </w:r>
      <w:r>
        <w:rPr>
          <w:rStyle w:val="FootnoteAnchor"/>
          <w:rtl w:val="true"/>
        </w:rPr>
        <w:footnoteReference w:id="813"/>
      </w:r>
      <w:r>
        <w:rPr>
          <w:rFonts w:ascii="IRNazanin" w:hAnsi="IRNazanin" w:eastAsia="IRNazanin"/>
          <w:color w:val="111111"/>
          <w:sz w:val="28"/>
          <w:sz w:val="28"/>
          <w:szCs w:val="28"/>
          <w:rtl w:val="true"/>
          <w:lang w:bidi="fa-IR"/>
        </w:rPr>
        <w:t>و الکفایة</w:t>
      </w:r>
      <w:r>
        <w:rPr>
          <w:rStyle w:val="FootnoteAnchor"/>
          <w:rtl w:val="true"/>
        </w:rPr>
        <w:footnoteReference w:id="814"/>
      </w:r>
      <w:r>
        <w:rPr>
          <w:rFonts w:ascii="IRNazanin" w:hAnsi="IRNazanin" w:eastAsia="IRNazanin"/>
          <w:color w:val="111111"/>
          <w:sz w:val="28"/>
          <w:sz w:val="28"/>
          <w:szCs w:val="28"/>
          <w:rtl w:val="true"/>
          <w:lang w:bidi="fa-IR"/>
        </w:rPr>
        <w:t>هذا القول إلی ظاهر الشیخ فی التهذیب</w:t>
      </w:r>
      <w:r>
        <w:rPr>
          <w:rStyle w:val="FootnoteAnchor"/>
          <w:rtl w:val="true"/>
        </w:rPr>
        <w:footnoteReference w:id="815"/>
      </w:r>
      <w:r>
        <w:rPr>
          <w:rFonts w:ascii="IRNazanin" w:hAnsi="IRNazanin" w:eastAsia="IRNazanin"/>
          <w:color w:val="111111"/>
          <w:sz w:val="28"/>
          <w:sz w:val="28"/>
          <w:szCs w:val="28"/>
          <w:rtl w:val="true"/>
          <w:lang w:bidi="fa-IR"/>
        </w:rPr>
        <w:t>و الاستبصار</w:t>
      </w:r>
      <w:r>
        <w:rPr>
          <w:rStyle w:val="FootnoteAnchor"/>
          <w:rtl w:val="true"/>
        </w:rPr>
        <w:footnoteReference w:id="816"/>
      </w:r>
      <w:r>
        <w:rPr>
          <w:rFonts w:ascii="IRNazanin" w:hAnsi="IRNazanin" w:eastAsia="IRNazanin"/>
          <w:color w:val="111111"/>
          <w:sz w:val="28"/>
          <w:sz w:val="28"/>
          <w:szCs w:val="28"/>
          <w:rtl w:val="true"/>
          <w:lang w:bidi="fa-IR"/>
        </w:rPr>
        <w:t>، حیث ذکر فیهما الروایات الظاهرة فی ذلک، و اختاره فی مدارک الأحکام</w:t>
      </w:r>
      <w:r>
        <w:rPr>
          <w:rStyle w:val="FootnoteAnchor"/>
          <w:rtl w:val="true"/>
        </w:rPr>
        <w:footnoteReference w:id="8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مفاتیح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یخلو من قوّة</w:t>
      </w:r>
      <w:r>
        <w:rPr>
          <w:rFonts w:eastAsia="IRNazanin" w:cs="IRNazanin"/>
          <w:color w:val="111111"/>
          <w:sz w:val="28"/>
          <w:szCs w:val="28"/>
          <w:rtl w:val="true"/>
          <w:lang w:bidi="fa-IR"/>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یکفی بلوغ ثلاث عشرة</w:t>
      </w:r>
      <w:r>
        <w:rPr>
          <w:rFonts w:eastAsia="IRNazanin" w:cs="IRNazanin"/>
          <w:color w:val="111111"/>
          <w:sz w:val="28"/>
          <w:szCs w:val="28"/>
          <w:rtl w:val="true"/>
          <w:lang w:bidi="fa-IR"/>
        </w:rPr>
        <w:t>»</w:t>
      </w:r>
      <w:r>
        <w:rPr>
          <w:rStyle w:val="FootnoteAnchor"/>
          <w:rtl w:val="true"/>
        </w:rPr>
        <w:footnoteReference w:id="819"/>
      </w:r>
      <w:r>
        <w:rPr>
          <w:rFonts w:ascii="IRNazanin" w:hAnsi="IRNazanin" w:eastAsia="IRNazanin"/>
          <w:color w:val="111111"/>
          <w:sz w:val="28"/>
          <w:sz w:val="28"/>
          <w:szCs w:val="28"/>
          <w:rtl w:val="true"/>
          <w:lang w:bidi="fa-IR"/>
        </w:rPr>
        <w:t>، و لم یعیّن القائل، و نسبه فی التنقیح إلی الإسکافی</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یستدلّ لهذا القول بظاهر بعض النصوص</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عمّار الساباطی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الغلام متی</w:t>
      </w:r>
    </w:p>
    <w:p>
      <w:pPr>
        <w:pStyle w:val="BookText"/>
        <w:rPr/>
      </w:pPr>
      <w:r>
        <w:rPr>
          <w:rFonts w:ascii="IRNazanin" w:hAnsi="IRNazanin" w:eastAsia="IRNazanin"/>
          <w:color w:val="111111"/>
          <w:sz w:val="28"/>
          <w:sz w:val="28"/>
          <w:szCs w:val="28"/>
          <w:rtl w:val="true"/>
          <w:lang w:bidi="fa-IR"/>
        </w:rPr>
        <w:t>تجب علیه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أتی</w:t>
      </w:r>
      <w:r>
        <w:rPr>
          <w:rStyle w:val="FootnoteAnchor"/>
          <w:rtl w:val="true"/>
        </w:rPr>
        <w:footnoteReference w:id="821"/>
      </w:r>
      <w:r>
        <w:rPr>
          <w:rFonts w:ascii="IRNazanin" w:hAnsi="IRNazanin" w:eastAsia="IRNazanin"/>
          <w:color w:val="111111"/>
          <w:sz w:val="28"/>
          <w:sz w:val="28"/>
          <w:szCs w:val="28"/>
          <w:rtl w:val="true"/>
          <w:lang w:bidi="fa-IR"/>
        </w:rPr>
        <w:t>علیه ثلاث عشرة سنة، فإن احتلم قبل ذلک فقد وجبت علیه الصلاة و جری علیه القلم، و الجاریة مثل ذلک، إن أتی لها ثلاث عشرة سنة أو حاضت قبل ذلک فقد وجبت علیها الصلاة و جری علیها القلم</w:t>
      </w:r>
      <w:r>
        <w:rPr>
          <w:rFonts w:eastAsia="IRNazanin" w:cs="IRNazanin"/>
          <w:color w:val="111111"/>
          <w:sz w:val="28"/>
          <w:szCs w:val="28"/>
          <w:rtl w:val="true"/>
          <w:lang w:bidi="fa-IR"/>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عبد اللّه بن سنان المتقدّمة آنفاً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أشدّه ثلاث عشرة سنة و دخل فی الأربع عشرة وجب علیه ما وجب علی المحتلمین، احتلم أو لم یحتلم، و کتب علیه السیّئات، و کتبت له الحسنات، و جاز له کلّ شیء إلاّ أن یکون ضعیفاً أو سفیهاً</w:t>
      </w:r>
      <w:r>
        <w:rPr>
          <w:rFonts w:eastAsia="IRNazanin" w:cs="IRNazanin"/>
          <w:color w:val="111111"/>
          <w:sz w:val="28"/>
          <w:szCs w:val="28"/>
          <w:rtl w:val="true"/>
          <w:lang w:bidi="fa-IR"/>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اخری له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الغلام ثلاث عشرة سنة کتبت له الحسنة و کتبت علیه السیّئة و عوقب</w:t>
      </w:r>
      <w:r>
        <w:rPr>
          <w:rFonts w:eastAsia="IRNazanin" w:cs="IRNazanin"/>
          <w:color w:val="111111"/>
          <w:sz w:val="28"/>
          <w:szCs w:val="28"/>
          <w:rtl w:val="true"/>
          <w:lang w:bidi="fa-IR"/>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أبی حمزة الثمالی المتقدّمة فی القول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کفایة الأحکام بعد ذکر هذه النصوص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فالعمل بمقتضاها متّجه، و ظاهر الشیخ فی التهذیب و الاستبصار العمل بها</w:t>
      </w:r>
      <w:r>
        <w:rPr>
          <w:rFonts w:eastAsia="IRNazanin" w:cs="IRNazanin"/>
          <w:color w:val="111111"/>
          <w:sz w:val="28"/>
          <w:szCs w:val="28"/>
          <w:rtl w:val="true"/>
          <w:lang w:bidi="fa-IR"/>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اجیب عن هذه النصوص بأنّ الأخبار الدالّة علی القول الأوّل موافقة لمقتضی الأصل و العمومات و ظواهر الکتاب و السنّة و الإجماعات المنقولة</w:t>
      </w:r>
    </w:p>
    <w:p>
      <w:pPr>
        <w:pStyle w:val="BookText"/>
        <w:rPr/>
      </w:pPr>
      <w:r>
        <w:rPr>
          <w:rFonts w:ascii="IRNazanin" w:hAnsi="IRNazanin" w:eastAsia="IRNazanin"/>
          <w:color w:val="111111"/>
          <w:sz w:val="28"/>
          <w:sz w:val="28"/>
          <w:szCs w:val="28"/>
          <w:rtl w:val="true"/>
          <w:lang w:bidi="fa-IR"/>
        </w:rPr>
        <w:t>و الشهرة، و فیها ما هو صحیح السند، نقیّ الطریق، متعدّد الطرق، صریح الدلالة علی نفی الثلاثة عشر، و هو صحیحة ابن وهب، فإنّه قد جعل فیها ما بین الأربعة عشر و الخمسة عشر زماناً للتمرین و التأدیب، و أقصی ما یتصوّر معه الحکم بتحقّق البلوغ بالدخول فی الرابعة عشر بناءً علی أنّ المراد من العددین الأخذ فیهما علی خلاف الظاهر، و أمّا حصوله بالثلاث عشرة أو الدخول فی الأربع عشرة فممّا لا یتأتی فیه قطعاً</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الأعظم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الجواب عن روایات ابن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بمنزلة روایة واحدة بطرق 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فأحکم ما یقال فیها و فی روایتی الثمالی و الساباطی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المشتمل اولاهما علی التردید بین الثلاث عشرة و الأربع عشرة، أو التخییر بینهما، و الثانیة علی اتّحاد حکم الاُنثی و الذکر، و لم یقل بشیء من ذلک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لا تقاوم أدلّة المشهور، من جهة اعتضادها بالشهرة، و حکایة الإجماع مستفیضة، مع 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التکافؤ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الرجوع إلی العمومات و الاُصول القطعیّة</w:t>
      </w:r>
      <w:r>
        <w:rPr>
          <w:rFonts w:eastAsia="IRNazanin" w:cs="IRNazanin"/>
          <w:color w:val="111111"/>
          <w:sz w:val="28"/>
          <w:szCs w:val="28"/>
          <w:rtl w:val="true"/>
          <w:lang w:bidi="fa-IR"/>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یخفی علیک أنّ مرجع هذا القول و سابقه إلی شیء واحد؛ لتوافقهما فی الثمرة و اتّحادهما فی الدلیل، بل لا یبعد أن یکون المراد بالأوّل أنّ حدّ البلوغ إکمال الثلاث عشرة، و اعتبار الدخول فی الأربع عشرة مقدّمة للعلم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المجتمع ممّا قالوه بعد ردّ بعضه إلی بعض نسبة القول به إلی ابن الجنید و ظاهر الشیخ و الصدوق، و قد عرفت أنّ مذهب ابن الجنید کمال الأربع عشرة، و الشیخ موافق للمشهور؛ لنصّه علیه فی مواضع من کتبه،</w:t>
      </w:r>
      <w:bookmarkStart w:id="228" w:name="pg11757_135533"/>
    </w:p>
    <w:p>
      <w:pPr>
        <w:pStyle w:val="BookText"/>
        <w:rPr/>
      </w:pPr>
      <w:bookmarkEnd w:id="228"/>
      <w:r>
        <w:rPr>
          <w:rFonts w:ascii="IRNazanin" w:hAnsi="IRNazanin" w:eastAsia="IRNazanin"/>
          <w:color w:val="111111"/>
          <w:sz w:val="28"/>
          <w:sz w:val="28"/>
          <w:szCs w:val="28"/>
          <w:rtl w:val="true"/>
          <w:lang w:bidi="fa-IR"/>
        </w:rPr>
        <w:t>و نقله فی الخلاف إجماع الفرقة علیه</w:t>
      </w:r>
      <w:r>
        <w:rPr>
          <w:rStyle w:val="FootnoteAnchor"/>
          <w:rtl w:val="true"/>
        </w:rPr>
        <w:footnoteReference w:id="828"/>
      </w:r>
      <w:r>
        <w:rPr>
          <w:rFonts w:ascii="IRNazanin" w:hAnsi="IRNazanin" w:eastAsia="IRNazanin"/>
          <w:color w:val="111111"/>
          <w:sz w:val="28"/>
          <w:sz w:val="28"/>
          <w:szCs w:val="28"/>
          <w:rtl w:val="true"/>
          <w:lang w:bidi="fa-IR"/>
        </w:rPr>
        <w:t xml:space="preserve">، و إیراده نصوص الثلاث عشرة فی کتابی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کونه معارضاً بمثله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یقتضی</w:t>
      </w:r>
      <w:r>
        <w:rPr>
          <w:rStyle w:val="FootnoteAnchor"/>
          <w:rtl w:val="true"/>
        </w:rPr>
        <w:footnoteReference w:id="829"/>
      </w:r>
      <w:r>
        <w:rPr>
          <w:rFonts w:ascii="IRNazanin" w:hAnsi="IRNazanin" w:eastAsia="IRNazanin"/>
          <w:color w:val="111111"/>
          <w:sz w:val="28"/>
          <w:sz w:val="28"/>
          <w:szCs w:val="28"/>
          <w:rtl w:val="true"/>
          <w:lang w:bidi="fa-IR"/>
        </w:rPr>
        <w:t>أن یکون ذلک مذهباً له، و کذا إیراده حدیث الثمالی فی النهایة، مضافاً إلی ما فیه من الإجمال المانع من تعیین المذهب، و ما یوهمه الاستبصار من الأخذ بحدیث عمّار مأوّل بالضرورة؛ لمخالفته الإجماع، بل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الصدوق فقد أورد فی الخصال و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یناسب هذا القول، و ما ینافیه، و ظاهر کلامه فی صوم الفقیه موافقة المشهور</w:t>
      </w:r>
      <w:r>
        <w:rPr>
          <w:rFonts w:eastAsia="IRNazanin" w:cs="IRNazanin"/>
          <w:color w:val="111111"/>
          <w:sz w:val="28"/>
          <w:szCs w:val="28"/>
          <w:rtl w:val="true"/>
          <w:lang w:bidi="fa-IR"/>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 w:name="__RefHeading___Toc9696681_73709187"/>
      <w:bookmarkStart w:id="230" w:name="_Toc84"/>
      <w:bookmarkEnd w:id="229"/>
      <w:r>
        <w:rPr>
          <w:rtl w:val="true"/>
        </w:rPr>
        <w:t>القول الرابع</w:t>
      </w:r>
      <w:r>
        <w:rPr>
          <w:rtl w:val="true"/>
        </w:rPr>
        <w:t xml:space="preserve">: </w:t>
      </w:r>
      <w:r>
        <w:rPr>
          <w:rtl w:val="true"/>
        </w:rPr>
        <w:t>أنّه عشرة سنین</w:t>
      </w:r>
      <w:bookmarkEnd w:id="230"/>
    </w:p>
    <w:p>
      <w:pPr>
        <w:pStyle w:val="BookText"/>
        <w:rPr/>
      </w:pPr>
      <w:r>
        <w:rPr>
          <w:rFonts w:ascii="IRNazanin" w:hAnsi="IRNazanin" w:eastAsia="IRNazanin"/>
          <w:color w:val="111111"/>
          <w:sz w:val="28"/>
          <w:sz w:val="28"/>
          <w:szCs w:val="28"/>
          <w:rtl w:val="true"/>
          <w:lang w:bidi="fa-IR"/>
        </w:rPr>
        <w:t>حکاه المحقّق السبزواری من دون تعیین قائله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بعضهم إلی العشرة</w:t>
      </w:r>
      <w:r>
        <w:rPr>
          <w:rFonts w:eastAsia="IRNazanin" w:cs="IRNazanin"/>
          <w:color w:val="111111"/>
          <w:sz w:val="28"/>
          <w:szCs w:val="28"/>
          <w:rtl w:val="true"/>
          <w:lang w:bidi="fa-IR"/>
        </w:rPr>
        <w:t>»</w:t>
      </w:r>
      <w:r>
        <w:rPr>
          <w:rStyle w:val="FootnoteAnchor"/>
          <w:rtl w:val="true"/>
        </w:rPr>
        <w:footnoteReference w:id="831"/>
      </w:r>
      <w:r>
        <w:rPr>
          <w:rFonts w:ascii="IRNazanin" w:hAnsi="IRNazanin" w:eastAsia="IRNazanin"/>
          <w:color w:val="111111"/>
          <w:sz w:val="28"/>
          <w:sz w:val="28"/>
          <w:szCs w:val="28"/>
          <w:rtl w:val="true"/>
          <w:lang w:bidi="fa-IR"/>
        </w:rPr>
        <w:t>، و لعلّ منشأه قول بعضهم بصحّة بیع الصبیّ و مضیّ تصرّفه فی الوصیّة و العتق و جواز مؤاخذته علی الجنایة و السرقة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وجّهه فی المناهل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الصبیّ لو لم یبلغ بعشر سنین لما صحّ وصیّته و التالی باطل فالمقدّم مثله، أمّا الملازمة فلأنّ الوصیّة تصرّف فی المال، و غیر البالغ لا یجوز له ذلک؛ لکونه محجوراً علیه، و أمّا بطلان التالی فللأخبار الدالّة علی صحّة وصیّة غیر البالغ و فیها الصحیح</w:t>
      </w:r>
      <w:r>
        <w:rPr>
          <w:rFonts w:eastAsia="IRNazanin" w:cs="IRNazanin"/>
          <w:color w:val="111111"/>
          <w:sz w:val="28"/>
          <w:szCs w:val="28"/>
          <w:rtl w:val="true"/>
          <w:lang w:bidi="fa-IR"/>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هذه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الغلام عشر سنین و أوصی بثلث ماله فی حقّ جازت وصیّته</w:t>
      </w:r>
      <w:r>
        <w:rPr>
          <w:rFonts w:eastAsia="IRNazanin" w:cs="IRNazanin"/>
          <w:color w:val="111111"/>
          <w:sz w:val="28"/>
          <w:szCs w:val="28"/>
          <w:rtl w:val="true"/>
          <w:lang w:bidi="fa-IR"/>
        </w:rPr>
        <w:t>»</w:t>
      </w:r>
      <w:r>
        <w:rPr>
          <w:rStyle w:val="FootnoteAnchor"/>
          <w:rtl w:val="true"/>
        </w:rPr>
        <w:footnoteReference w:id="833"/>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 الرحمن بن أبی عبد اللّه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الغلام عشر سنین جازت وصیّته</w:t>
      </w:r>
      <w:r>
        <w:rPr>
          <w:rFonts w:eastAsia="IRNazanin" w:cs="IRNazanin"/>
          <w:color w:val="111111"/>
          <w:sz w:val="28"/>
          <w:szCs w:val="28"/>
          <w:rtl w:val="true"/>
          <w:lang w:bidi="fa-IR"/>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أتی علی الغلام عشر سنین فإنّه یجوز له فی ماله ما أعتق أو تصدّق أو أوصی علی حدّ معروف و حقّ فهو جائز</w:t>
      </w:r>
      <w:r>
        <w:rPr>
          <w:rFonts w:eastAsia="IRNazanin" w:cs="IRNazanin"/>
          <w:color w:val="111111"/>
          <w:sz w:val="28"/>
          <w:szCs w:val="28"/>
          <w:rtl w:val="true"/>
          <w:lang w:bidi="fa-IR"/>
        </w:rPr>
        <w:t>»</w:t>
      </w:r>
      <w:r>
        <w:rPr>
          <w:rStyle w:val="FootnoteAnchor"/>
          <w:rtl w:val="true"/>
        </w:rPr>
        <w:footnoteReference w:id="835"/>
      </w:r>
      <w:r>
        <w:rPr>
          <w:rFonts w:ascii="IRNazanin" w:hAnsi="IRNazanin" w:eastAsia="IRNazanin"/>
          <w:color w:val="111111"/>
          <w:sz w:val="28"/>
          <w:sz w:val="28"/>
          <w:szCs w:val="28"/>
          <w:rtl w:val="true"/>
          <w:lang w:bidi="fa-IR"/>
        </w:rPr>
        <w:t>، و غیرها</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غایته ثبوت حکم البالغ لذی العشر فی مواضع مخصوصة ورد النصّ بها، کما فی الجواهر</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ورود أخبار تدلّ علی عدم حصول البلوغ بعشر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أبی بصیر عن أبی عبد اللّه علیه السلام فی غلام صغیر لم یدرک، ابن عشر سنین زنی بامرأة،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یجلد الغلام دون الحدّ، و تجلد المرأة الحدّ کاملاً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محصنة؟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ترجم لأنّ الذی نکحها لیس بمدرک، و لو کان مدرکاً رجمت</w:t>
      </w:r>
      <w:r>
        <w:rPr>
          <w:rFonts w:eastAsia="IRNazanin" w:cs="IRNazanin"/>
          <w:color w:val="111111"/>
          <w:sz w:val="28"/>
          <w:szCs w:val="28"/>
          <w:rtl w:val="true"/>
          <w:lang w:bidi="fa-IR"/>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التهذیب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اُتی أمیر</w:t>
      </w:r>
    </w:p>
    <w:p>
      <w:pPr>
        <w:pStyle w:val="BookText"/>
        <w:rPr/>
      </w:pPr>
      <w:r>
        <w:rPr>
          <w:rFonts w:ascii="IRNazanin" w:hAnsi="IRNazanin" w:eastAsia="IRNazanin"/>
          <w:color w:val="111111"/>
          <w:sz w:val="28"/>
          <w:sz w:val="28"/>
          <w:szCs w:val="28"/>
          <w:rtl w:val="true"/>
          <w:lang w:bidi="fa-IR"/>
        </w:rPr>
        <w:t>المؤمنین علیه السلام بغلام قد سرق و لم یبلغ الحلم فقطع من لحم أطراف أصابعه،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عدت قطعت یدک</w:t>
      </w:r>
      <w:r>
        <w:rPr>
          <w:rFonts w:eastAsia="IRNazanin" w:cs="IRNazanin"/>
          <w:color w:val="111111"/>
          <w:sz w:val="28"/>
          <w:szCs w:val="28"/>
          <w:rtl w:val="true"/>
          <w:lang w:bidi="fa-IR"/>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الکافی عن شهاب، عن أبی عبد اللّه علیه السلام فی حدیث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ابن عشر سنین یحجّ؟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حجّة الإسلام إذا احتلم</w:t>
      </w:r>
      <w:r>
        <w:rPr>
          <w:rFonts w:eastAsia="IRNazanin" w:cs="IRNazanin"/>
          <w:color w:val="111111"/>
          <w:sz w:val="28"/>
          <w:szCs w:val="28"/>
          <w:rtl w:val="true"/>
          <w:lang w:bidi="fa-IR"/>
        </w:rPr>
        <w:t>»</w:t>
      </w:r>
      <w:r>
        <w:rPr>
          <w:rStyle w:val="FootnoteAnchor"/>
          <w:rtl w:val="true"/>
        </w:rPr>
        <w:footnoteReference w:id="840"/>
      </w:r>
      <w:r>
        <w:rPr>
          <w:rFonts w:ascii="IRNazanin" w:hAnsi="IRNazanin" w:eastAsia="IRNazanin"/>
          <w:color w:val="111111"/>
          <w:sz w:val="28"/>
          <w:sz w:val="28"/>
          <w:szCs w:val="28"/>
          <w:rtl w:val="true"/>
          <w:lang w:bidi="fa-IR"/>
        </w:rPr>
        <w:t>، فإنّها صریحة فی عدم حصول البلوغ بعشر سنین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الروایات المتقدّمة التی یمکن أن یستظهر منها أنّ حدّ البلوغ عشر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صناعة الفقه تقتضی طرحه فی مقابلته، کطرح ما تضمّن التحدید بخمسة أشبار فی خبر السکونی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الغلام خمسة أشبار اقتصّ منه، و إذا لم یکن یبلغ خمسة أشبار قضی بالدیة</w:t>
      </w:r>
      <w:r>
        <w:rPr>
          <w:rFonts w:eastAsia="IRNazanin" w:cs="IRNazanin"/>
          <w:color w:val="111111"/>
          <w:sz w:val="28"/>
          <w:szCs w:val="28"/>
          <w:rtl w:val="true"/>
          <w:lang w:bidi="fa-IR"/>
        </w:rPr>
        <w:t>»</w:t>
      </w:r>
      <w:r>
        <w:rPr>
          <w:rStyle w:val="FootnoteAnchor"/>
          <w:rtl w:val="true"/>
        </w:rPr>
        <w:footnoteReference w:id="841"/>
      </w:r>
      <w:r>
        <w:rPr>
          <w:rFonts w:ascii="IRNazanin" w:hAnsi="IRNazanin" w:eastAsia="IRNazanin"/>
          <w:color w:val="111111"/>
          <w:sz w:val="28"/>
          <w:sz w:val="28"/>
          <w:szCs w:val="28"/>
          <w:rtl w:val="true"/>
          <w:lang w:bidi="fa-IR"/>
        </w:rPr>
        <w:t>، أو تأویله بما یرجع إلی المشهور، و التحدید بثمان سنین فی خبر سلیمان بن حفص المروزی،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تمّ للغلام ثمان سنین فجائز أمره، و قد وجبت علیه الفرائض و الحدود، و إذا تمّ للجاریة تسع سنین فکذلک</w:t>
      </w:r>
      <w:r>
        <w:rPr>
          <w:rFonts w:eastAsia="IRNazanin" w:cs="IRNazanin"/>
          <w:color w:val="111111"/>
          <w:sz w:val="28"/>
          <w:szCs w:val="28"/>
          <w:rtl w:val="true"/>
          <w:lang w:bidi="fa-IR"/>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الموثّق عن الحسن بن راشد عن العسکری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الغلام ثمانی سنین فجائز أمره فی ماله، و قد وجب علیه الفرائض و الحدود</w:t>
      </w:r>
      <w:r>
        <w:rPr>
          <w:rFonts w:eastAsia="IRNazanin" w:cs="IRNazanin"/>
          <w:color w:val="111111"/>
          <w:sz w:val="28"/>
          <w:szCs w:val="28"/>
          <w:rtl w:val="true"/>
          <w:lang w:bidi="fa-IR"/>
        </w:rPr>
        <w:t>»</w:t>
      </w:r>
      <w:r>
        <w:rPr>
          <w:rStyle w:val="FootnoteAnchor"/>
          <w:rtl w:val="true"/>
        </w:rPr>
        <w:footnoteReference w:id="8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اُقیمت علیه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ینقص منها شیء؛ لأنّ الصبیّ إذا</w:t>
      </w:r>
      <w:bookmarkStart w:id="231" w:name="pg11757_135536"/>
    </w:p>
    <w:p>
      <w:pPr>
        <w:pStyle w:val="BookText"/>
        <w:rPr/>
      </w:pPr>
      <w:bookmarkEnd w:id="231"/>
      <w:r>
        <w:rPr>
          <w:rFonts w:ascii="IRNazanin" w:hAnsi="IRNazanin" w:eastAsia="IRNazanin"/>
          <w:color w:val="111111"/>
          <w:sz w:val="28"/>
          <w:sz w:val="28"/>
          <w:szCs w:val="28"/>
          <w:rtl w:val="true"/>
          <w:lang w:bidi="fa-IR"/>
        </w:rPr>
        <w:t>فعل ما یوجب الحدّ علی غیره یؤدّب بما لا یبلغ الحدّ، و لنا روایة اخری</w:t>
      </w:r>
      <w:r>
        <w:rPr>
          <w:rStyle w:val="FootnoteAnchor"/>
          <w:rtl w:val="true"/>
        </w:rPr>
        <w:footnoteReference w:id="8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الأحکام تجری علی الصبیان من ثلاث عشرة سنة و أربع عشرة سنة و إن لم یحتلم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لیس فیها تصریح بالبلوغ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فی ذلک کلّه سهل بعد أن لم یکن فی شیء من نصوص العشر المتفرّقة فی الأبواب ما یدلّ علی کون العشر بلوغاً، و غایتها ارتفاع الحجر بها عن الصبیّ فی تلک الاُمور المخصوصة</w:t>
      </w:r>
      <w:r>
        <w:rPr>
          <w:rFonts w:eastAsia="IRNazanin" w:cs="IRNazanin"/>
          <w:color w:val="111111"/>
          <w:sz w:val="28"/>
          <w:szCs w:val="28"/>
          <w:rtl w:val="true"/>
          <w:lang w:bidi="fa-IR"/>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 w:name="__RefHeading___Toc9696683_73709187"/>
      <w:bookmarkStart w:id="233" w:name="_Toc85"/>
      <w:bookmarkEnd w:id="232"/>
      <w:r>
        <w:rPr>
          <w:rtl w:val="true"/>
        </w:rPr>
        <w:t>القول الخامس</w:t>
      </w:r>
      <w:r>
        <w:rPr>
          <w:rtl w:val="true"/>
        </w:rPr>
        <w:t xml:space="preserve">: </w:t>
      </w:r>
      <w:r>
        <w:rPr>
          <w:rtl w:val="true"/>
        </w:rPr>
        <w:t>التفصیل بین العبادات و غیرها</w:t>
      </w:r>
      <w:bookmarkEnd w:id="233"/>
    </w:p>
    <w:p>
      <w:pPr>
        <w:pStyle w:val="BookText"/>
        <w:rPr/>
      </w:pPr>
      <w:r>
        <w:rPr>
          <w:rFonts w:ascii="IRNazanin" w:hAnsi="IRNazanin" w:eastAsia="IRNazanin"/>
          <w:color w:val="111111"/>
          <w:sz w:val="28"/>
          <w:sz w:val="28"/>
          <w:szCs w:val="28"/>
          <w:rtl w:val="true"/>
          <w:lang w:bidi="fa-IR"/>
        </w:rPr>
        <w:t>قال فی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یبعد عندی فی الجمع بین الأخبار المذکورة حمل ما دلّ علی البلوغ بخمس عشرة علی الحدود و المعاملات کما هو مقتضی سیاق روایة حمران، و حمل ما دلّ علی ما دون ذلک علی العبادات</w:t>
      </w:r>
      <w:r>
        <w:rPr>
          <w:rFonts w:eastAsia="IRNazanin" w:cs="IRNazanin"/>
          <w:color w:val="111111"/>
          <w:sz w:val="28"/>
          <w:szCs w:val="28"/>
          <w:rtl w:val="true"/>
          <w:lang w:bidi="fa-IR"/>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مخالف للشهرة العظیمة و الإجماع، مضافاً إلی أنّه لا شاهد علیه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روایة حمران حیث قال علیه السلام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احتلم أو بلغ خمس عشرة سنة أو أشعر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اقیمت علیه الحدود التامّة، و اخذ بها و اخذت له</w:t>
      </w:r>
      <w:r>
        <w:rPr>
          <w:rFonts w:eastAsia="IRNazanin" w:cs="IRNazanin"/>
          <w:color w:val="111111"/>
          <w:sz w:val="28"/>
          <w:szCs w:val="28"/>
          <w:rtl w:val="true"/>
          <w:lang w:bidi="fa-IR"/>
        </w:rPr>
        <w:t>»</w:t>
      </w:r>
      <w:r>
        <w:rPr>
          <w:rStyle w:val="FootnoteAnchor"/>
          <w:rtl w:val="true"/>
        </w:rPr>
        <w:footnoteReference w:id="847"/>
      </w:r>
      <w:r>
        <w:rPr>
          <w:rFonts w:ascii="IRNazanin" w:hAnsi="IRNazanin" w:eastAsia="IRNazanin"/>
          <w:color w:val="111111"/>
          <w:sz w:val="28"/>
          <w:sz w:val="28"/>
          <w:szCs w:val="28"/>
          <w:rtl w:val="true"/>
          <w:lang w:bidi="fa-IR"/>
        </w:rPr>
        <w:t>، فالمستفاد منها أنّ الملاک فی إجراء الحدود الکاملة هو البلوغ، سواء تحقّق بالاحتلام أو بخمس عشرة سنة، لا أنّ البلوغ بخمس عشرة یختصّ بالحدود و المعاملات، و ما دون ذلک بالعبادات، و لم یسمع من أحد من الفقهاء تقسیم الصبیان بحسب اختلاف</w:t>
      </w:r>
    </w:p>
    <w:p>
      <w:pPr>
        <w:pStyle w:val="BookText"/>
        <w:rPr/>
      </w:pPr>
      <w:r>
        <w:rPr>
          <w:rFonts w:ascii="IRNazanin" w:hAnsi="IRNazanin" w:eastAsia="IRNazanin"/>
          <w:color w:val="111111"/>
          <w:sz w:val="28"/>
          <w:sz w:val="28"/>
          <w:szCs w:val="28"/>
          <w:rtl w:val="true"/>
          <w:lang w:bidi="fa-IR"/>
        </w:rPr>
        <w:t xml:space="preserve">مراتب السنّ بأن یکون بعضهم بالغاً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بالغ فی الزکاة، أو بالغاً فی العبادات دون المعاملات، أو بالغاً فیها غیر بالغ فی الحدود، و ما ذاک إلّا لکون البلوغ بالسنّ أمراً متّحداً غیر قابل للتجزئة و التنویع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فی جملة من نصوص المقام خبری المروزی</w:t>
      </w:r>
      <w:r>
        <w:rPr>
          <w:rStyle w:val="FootnoteAnchor"/>
          <w:rtl w:val="true"/>
        </w:rPr>
        <w:footnoteReference w:id="848"/>
      </w:r>
      <w:r>
        <w:rPr>
          <w:rFonts w:ascii="IRNazanin" w:hAnsi="IRNazanin" w:eastAsia="IRNazanin"/>
          <w:color w:val="111111"/>
          <w:sz w:val="28"/>
          <w:sz w:val="28"/>
          <w:szCs w:val="28"/>
          <w:rtl w:val="true"/>
          <w:lang w:bidi="fa-IR"/>
        </w:rPr>
        <w:t>و ابن راشد</w:t>
      </w:r>
      <w:r>
        <w:rPr>
          <w:rStyle w:val="FootnoteAnchor"/>
          <w:rtl w:val="true"/>
        </w:rPr>
        <w:footnoteReference w:id="849"/>
      </w:r>
      <w:r>
        <w:rPr>
          <w:rFonts w:ascii="IRNazanin" w:hAnsi="IRNazanin" w:eastAsia="IRNazanin"/>
          <w:color w:val="111111"/>
          <w:sz w:val="28"/>
          <w:sz w:val="28"/>
          <w:szCs w:val="28"/>
          <w:rtl w:val="true"/>
          <w:lang w:bidi="fa-IR"/>
        </w:rPr>
        <w:t>المصرّحین بوجوب الفرائض و الحدود علی الغلام بإکمال الثمان سنین، و التوفیق بینهما و بین التحدیدات غیر ممکن، کما فی الجواهر</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ذکرنا ظهر ما فی التفصیل الذی ذکره الفاضل الکاشانی، من أنّ التحدید بالسنّ مختلف فی التکالیف، و أنّ الحدّ فی کلّ شیء هو التحدید الوارد فیه، ظنّاً منه أنّ التوفیق بین النصوص یقتضی ذلک،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التوفیق بین الأخبار یقتضی اختلاف معنی البلوغ بحسب السنّ بالإضافة إلی أنواع التکالیف</w:t>
      </w:r>
      <w:r>
        <w:rPr>
          <w:rFonts w:eastAsia="IRNazanin" w:cs="IRNazanin"/>
          <w:color w:val="111111"/>
          <w:sz w:val="28"/>
          <w:szCs w:val="28"/>
          <w:rtl w:val="true"/>
          <w:lang w:bidi="fa-IR"/>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الجواهر ردّاً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واضح الفساد؛ لمخالفته إجماع الإمامیّة بل المسلمین کافّةً، فإنّ العلماء مع اختلافهم فی حدّ البلوغ بالسنّ مجمعون علی أنّ البلوغ الرافع للحجر هو الذی یثبت به التکلیف، و أنّ الذی یثبت به التکلیف فی العبادات هو الذی یثبت به التکلیف فی غیرها، و أنّه لا فرق بین الصلاة و غیرها من العبادات فیه</w:t>
      </w:r>
      <w:r>
        <w:rPr>
          <w:rFonts w:eastAsia="IRNazanin" w:cs="IRNazanin"/>
          <w:color w:val="111111"/>
          <w:sz w:val="28"/>
          <w:szCs w:val="28"/>
          <w:rtl w:val="true"/>
          <w:lang w:bidi="fa-IR"/>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bookmarkStart w:id="234" w:name="pg11757_135538"/>
    </w:p>
    <w:p>
      <w:pPr>
        <w:pStyle w:val="Heading4"/>
        <w:numPr>
          <w:ilvl w:val="3"/>
          <w:numId w:val="1"/>
        </w:numPr>
        <w:rPr/>
      </w:pPr>
      <w:bookmarkStart w:id="235" w:name="__RefHeading___Toc9696685_73709187"/>
      <w:bookmarkStart w:id="236" w:name="_Toc86"/>
      <w:bookmarkEnd w:id="234"/>
      <w:bookmarkEnd w:id="235"/>
      <w:r>
        <w:rPr>
          <w:rtl w:val="true"/>
        </w:rPr>
        <w:t>المقام الثانی</w:t>
      </w:r>
      <w:r>
        <w:rPr>
          <w:rtl w:val="true"/>
        </w:rPr>
        <w:t xml:space="preserve">: </w:t>
      </w:r>
      <w:r>
        <w:rPr>
          <w:rtl w:val="true"/>
        </w:rPr>
        <w:t>حدّ سنّ البلوغ للإناث</w:t>
      </w:r>
      <w:bookmarkEnd w:id="236"/>
    </w:p>
    <w:p>
      <w:pPr>
        <w:pStyle w:val="Heading5"/>
        <w:numPr>
          <w:ilvl w:val="4"/>
          <w:numId w:val="1"/>
        </w:numPr>
        <w:rPr/>
      </w:pPr>
      <w:bookmarkStart w:id="237" w:name="__RefHeading___Toc9696687_73709187"/>
      <w:bookmarkStart w:id="238" w:name="_Toc87"/>
      <w:bookmarkEnd w:id="237"/>
      <w:r>
        <w:rPr>
          <w:rtl w:val="true"/>
        </w:rPr>
        <w:t>اشارة</w:t>
      </w:r>
      <w:bookmarkEnd w:id="238"/>
    </w:p>
    <w:p>
      <w:pPr>
        <w:pStyle w:val="BookText"/>
        <w:rPr/>
      </w:pPr>
      <w:r>
        <w:rPr>
          <w:rFonts w:ascii="IRNazanin" w:hAnsi="IRNazanin" w:eastAsia="IRNazanin"/>
          <w:color w:val="111111"/>
          <w:sz w:val="28"/>
          <w:sz w:val="28"/>
          <w:szCs w:val="28"/>
          <w:rtl w:val="true"/>
          <w:lang w:bidi="fa-IR"/>
        </w:rPr>
        <w:t>و فیه أقوال ثلاثة</w:t>
      </w:r>
      <w:r>
        <w:rPr>
          <w:rFonts w:eastAsia="IRNazanin" w:cs="IRNazanin"/>
          <w:color w:val="111111"/>
          <w:sz w:val="28"/>
          <w:szCs w:val="28"/>
          <w:rtl w:val="true"/>
          <w:lang w:bidi="fa-IR"/>
        </w:rPr>
        <w:t>:</w:t>
      </w:r>
    </w:p>
    <w:p>
      <w:pPr>
        <w:pStyle w:val="Heading5"/>
        <w:numPr>
          <w:ilvl w:val="4"/>
          <w:numId w:val="1"/>
        </w:numPr>
        <w:rPr/>
      </w:pPr>
      <w:bookmarkStart w:id="239" w:name="__RefHeading___Toc9696689_73709187"/>
      <w:bookmarkStart w:id="240" w:name="_Toc88"/>
      <w:bookmarkEnd w:id="239"/>
      <w:r>
        <w:rPr>
          <w:rtl w:val="true"/>
        </w:rPr>
        <w:t xml:space="preserve">الأوّل </w:t>
      </w:r>
      <w:r>
        <w:rPr>
          <w:rtl w:val="true"/>
        </w:rPr>
        <w:t xml:space="preserve">- </w:t>
      </w:r>
      <w:r>
        <w:rPr>
          <w:rtl w:val="true"/>
        </w:rPr>
        <w:t>تسع سنین</w:t>
      </w:r>
      <w:r>
        <w:rPr>
          <w:rtl w:val="true"/>
        </w:rPr>
        <w:t>:</w:t>
      </w:r>
      <w:bookmarkEnd w:id="240"/>
    </w:p>
    <w:p>
      <w:pPr>
        <w:pStyle w:val="Heading6"/>
        <w:numPr>
          <w:ilvl w:val="5"/>
          <w:numId w:val="1"/>
        </w:numPr>
        <w:rPr/>
      </w:pPr>
      <w:bookmarkStart w:id="241" w:name="__RefHeading___Toc9696691_73709187"/>
      <w:bookmarkStart w:id="242" w:name="_Toc89"/>
      <w:bookmarkEnd w:id="241"/>
      <w:r>
        <w:rPr>
          <w:rtl w:val="true"/>
        </w:rPr>
        <w:t>اشارة</w:t>
      </w:r>
      <w:bookmarkEnd w:id="242"/>
    </w:p>
    <w:p>
      <w:pPr>
        <w:pStyle w:val="BookText"/>
        <w:rPr/>
      </w:pPr>
      <w:r>
        <w:rPr>
          <w:rFonts w:ascii="IRNazanin" w:hAnsi="IRNazanin" w:eastAsia="IRNazanin"/>
          <w:color w:val="111111"/>
          <w:sz w:val="28"/>
          <w:sz w:val="28"/>
          <w:szCs w:val="28"/>
          <w:rtl w:val="true"/>
          <w:lang w:bidi="fa-IR"/>
        </w:rPr>
        <w:t>ذهب المشهور من المتقدّمین و المتأخّرین و المعاصرین إلی أنّ حدّ البلوغ فی الإناث تسع سنین، و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السنّ فحدّه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الإناث تسع سنین</w:t>
      </w:r>
      <w:r>
        <w:rPr>
          <w:rFonts w:eastAsia="IRNazanin" w:cs="IRNazanin"/>
          <w:color w:val="111111"/>
          <w:sz w:val="28"/>
          <w:szCs w:val="28"/>
          <w:rtl w:val="true"/>
          <w:lang w:bidi="fa-IR"/>
        </w:rPr>
        <w:t>»</w:t>
      </w:r>
      <w:r>
        <w:rPr>
          <w:rStyle w:val="FootnoteAnchor"/>
          <w:rtl w:val="true"/>
        </w:rPr>
        <w:footnoteReference w:id="8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النهایة</w:t>
      </w:r>
      <w:r>
        <w:rPr>
          <w:rStyle w:val="FootnoteAnchor"/>
          <w:rtl w:val="true"/>
        </w:rPr>
        <w:footnoteReference w:id="854"/>
      </w:r>
      <w:r>
        <w:rPr>
          <w:rFonts w:ascii="IRNazanin" w:hAnsi="IRNazanin" w:eastAsia="IRNazanin"/>
          <w:color w:val="111111"/>
          <w:sz w:val="28"/>
          <w:sz w:val="28"/>
          <w:szCs w:val="28"/>
          <w:rtl w:val="true"/>
          <w:lang w:bidi="fa-IR"/>
        </w:rPr>
        <w:t>و الغنیة</w:t>
      </w:r>
      <w:r>
        <w:rPr>
          <w:rStyle w:val="FootnoteAnchor"/>
          <w:rtl w:val="true"/>
        </w:rPr>
        <w:footnoteReference w:id="855"/>
      </w:r>
      <w:r>
        <w:rPr>
          <w:rFonts w:ascii="IRNazanin" w:hAnsi="IRNazanin" w:eastAsia="IRNazanin"/>
          <w:color w:val="111111"/>
          <w:sz w:val="28"/>
          <w:sz w:val="28"/>
          <w:szCs w:val="28"/>
          <w:rtl w:val="true"/>
          <w:lang w:bidi="fa-IR"/>
        </w:rPr>
        <w:t>و الشرائع</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البرّاج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حدّ بلوغ المرأة تسع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بلغت المرأة تسع سنین جاز تصرّفها فی مالها، و کان أمرها فیه ماضیاً علی سائر الوجوه، إلاّ أن تکون أیضاً ناقصة العقل أو سفیهة، فإنّها لا تمکّن من ذلک</w:t>
      </w:r>
      <w:r>
        <w:rPr>
          <w:rFonts w:eastAsia="IRNazanin" w:cs="IRNazanin"/>
          <w:color w:val="111111"/>
          <w:sz w:val="28"/>
          <w:szCs w:val="28"/>
          <w:rtl w:val="true"/>
          <w:lang w:bidi="fa-IR"/>
        </w:rPr>
        <w:t>»</w:t>
      </w:r>
      <w:r>
        <w:rPr>
          <w:rStyle w:val="FootnoteAnchor"/>
          <w:rtl w:val="true"/>
        </w:rPr>
        <w:footnoteReference w:id="857"/>
      </w:r>
      <w:r>
        <w:rPr>
          <w:rFonts w:ascii="IRNazanin" w:hAnsi="IRNazanin" w:eastAsia="IRNazanin"/>
          <w:color w:val="111111"/>
          <w:sz w:val="28"/>
          <w:sz w:val="28"/>
          <w:szCs w:val="28"/>
          <w:rtl w:val="true"/>
          <w:lang w:bidi="fa-IR"/>
        </w:rPr>
        <w:t>، و اختاره ابن سعید الحلّی</w:t>
      </w:r>
      <w:r>
        <w:rPr>
          <w:rStyle w:val="FootnoteAnchor"/>
          <w:rtl w:val="true"/>
        </w:rPr>
        <w:footnoteReference w:id="858"/>
      </w:r>
      <w:r>
        <w:rPr>
          <w:rFonts w:ascii="Amiri" w:hAnsi="Amiri" w:eastAsia="Amiri" w:cs="Amiri"/>
          <w:color w:val="111111"/>
          <w:sz w:val="28"/>
          <w:sz w:val="28"/>
          <w:szCs w:val="28"/>
          <w:rtl w:val="true"/>
          <w:lang w:bidi="ar-SA"/>
        </w:rPr>
        <w:t>، و العلّامة</w:t>
      </w:r>
      <w:r>
        <w:rPr>
          <w:rStyle w:val="FootnoteAnchor"/>
          <w:rtl w:val="true"/>
        </w:rPr>
        <w:footnoteReference w:id="859"/>
      </w:r>
      <w:r>
        <w:rPr>
          <w:rFonts w:ascii="IRNazanin" w:hAnsi="IRNazanin" w:eastAsia="IRNazanin"/>
          <w:color w:val="111111"/>
          <w:sz w:val="28"/>
          <w:sz w:val="28"/>
          <w:szCs w:val="28"/>
          <w:rtl w:val="true"/>
          <w:lang w:bidi="fa-IR"/>
        </w:rPr>
        <w:t>و المحقّق الثانی</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هو المشهور و علیه العمل</w:t>
      </w:r>
      <w:r>
        <w:rPr>
          <w:rFonts w:eastAsia="IRNazanin" w:cs="IRNazanin"/>
          <w:color w:val="111111"/>
          <w:sz w:val="28"/>
          <w:szCs w:val="28"/>
          <w:rtl w:val="true"/>
          <w:lang w:bidi="fa-IR"/>
        </w:rPr>
        <w:t>»</w:t>
      </w:r>
      <w:r>
        <w:rPr>
          <w:rStyle w:val="FootnoteAnchor"/>
          <w:rtl w:val="true"/>
        </w:rPr>
        <w:footnoteReference w:id="861"/>
      </w:r>
      <w:r>
        <w:rPr>
          <w:rFonts w:ascii="IRNazanin" w:hAnsi="IRNazanin" w:eastAsia="IRNazanin"/>
          <w:color w:val="111111"/>
          <w:sz w:val="28"/>
          <w:sz w:val="28"/>
          <w:szCs w:val="28"/>
          <w:rtl w:val="true"/>
          <w:lang w:bidi="fa-IR"/>
        </w:rPr>
        <w:t>و کذا فی الروضة</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المشهور بین الأصحاب، بل هو الذی استقرّ علیه</w:t>
      </w:r>
      <w:bookmarkStart w:id="243" w:name="pg11757_135539"/>
    </w:p>
    <w:p>
      <w:pPr>
        <w:pStyle w:val="BookText"/>
        <w:rPr/>
      </w:pPr>
      <w:bookmarkEnd w:id="243"/>
      <w:r>
        <w:rPr>
          <w:rFonts w:ascii="IRNazanin" w:hAnsi="IRNazanin" w:eastAsia="IRNazanin"/>
          <w:color w:val="111111"/>
          <w:sz w:val="28"/>
          <w:sz w:val="28"/>
          <w:szCs w:val="28"/>
          <w:rtl w:val="true"/>
          <w:lang w:bidi="fa-IR"/>
        </w:rPr>
        <w:t>المذهب</w:t>
      </w:r>
      <w:r>
        <w:rPr>
          <w:rFonts w:eastAsia="IRNazanin" w:cs="IRNazanin"/>
          <w:color w:val="111111"/>
          <w:sz w:val="28"/>
          <w:szCs w:val="28"/>
          <w:rtl w:val="true"/>
          <w:lang w:bidi="fa-IR"/>
        </w:rPr>
        <w:t>»</w:t>
      </w:r>
      <w:r>
        <w:rPr>
          <w:rStyle w:val="FootnoteAnchor"/>
          <w:rtl w:val="true"/>
        </w:rPr>
        <w:footnoteReference w:id="863"/>
      </w:r>
      <w:r>
        <w:rPr>
          <w:rFonts w:ascii="IRNazanin" w:hAnsi="IRNazanin" w:eastAsia="IRNazanin"/>
          <w:color w:val="111111"/>
          <w:sz w:val="28"/>
          <w:sz w:val="28"/>
          <w:szCs w:val="28"/>
          <w:rtl w:val="true"/>
          <w:lang w:bidi="fa-IR"/>
        </w:rPr>
        <w:t>، و به قال فقهاء العصر</w:t>
      </w:r>
      <w:r>
        <w:rPr>
          <w:rStyle w:val="FootnoteAnchor"/>
          <w:rtl w:val="true"/>
        </w:rPr>
        <w:footnoteReference w:id="864"/>
      </w:r>
      <w:r>
        <w:rPr>
          <w:rFonts w:ascii="IRNazanin" w:hAnsi="IRNazanin" w:eastAsia="IRNazanin"/>
          <w:color w:val="111111"/>
          <w:sz w:val="28"/>
          <w:sz w:val="28"/>
          <w:szCs w:val="28"/>
          <w:rtl w:val="true"/>
          <w:lang w:bidi="fa-IR"/>
        </w:rPr>
        <w:t>و غیرهم</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4" w:name="__RefHeading___Toc9696693_73709187"/>
      <w:bookmarkStart w:id="245" w:name="_Toc90"/>
      <w:bookmarkEnd w:id="244"/>
      <w:r>
        <w:rPr>
          <w:rtl w:val="true"/>
        </w:rPr>
        <w:t>الأدلّة علی کون البلوغ فی الإناث تسع سنین</w:t>
      </w:r>
      <w:bookmarkEnd w:id="245"/>
    </w:p>
    <w:p>
      <w:pPr>
        <w:pStyle w:val="BookText"/>
        <w:rPr/>
      </w:pPr>
      <w:r>
        <w:rPr>
          <w:rFonts w:ascii="IRNazanin" w:hAnsi="IRNazanin" w:eastAsia="IRNazanin"/>
          <w:color w:val="111111"/>
          <w:sz w:val="28"/>
          <w:sz w:val="28"/>
          <w:szCs w:val="28"/>
          <w:rtl w:val="true"/>
          <w:lang w:bidi="fa-IR"/>
        </w:rPr>
        <w:t>و یدلّ علی الحکم المذکور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الذی ادّعاه فی الخلاف</w:t>
      </w:r>
      <w:r>
        <w:rPr>
          <w:rStyle w:val="FootnoteAnchor"/>
          <w:rtl w:val="true"/>
        </w:rPr>
        <w:footnoteReference w:id="866"/>
      </w:r>
      <w:r>
        <w:rPr>
          <w:rFonts w:ascii="IRNazanin" w:hAnsi="IRNazanin" w:eastAsia="IRNazanin"/>
          <w:color w:val="111111"/>
          <w:sz w:val="28"/>
          <w:sz w:val="28"/>
          <w:szCs w:val="28"/>
          <w:rtl w:val="true"/>
          <w:lang w:bidi="fa-IR"/>
        </w:rPr>
        <w:t>و الغنیة</w:t>
      </w:r>
      <w:r>
        <w:rPr>
          <w:rStyle w:val="FootnoteAnchor"/>
          <w:rtl w:val="true"/>
        </w:rPr>
        <w:footnoteReference w:id="867"/>
      </w:r>
      <w:r>
        <w:rPr>
          <w:rFonts w:ascii="IRNazanin" w:hAnsi="IRNazanin" w:eastAsia="IRNazanin"/>
          <w:color w:val="111111"/>
          <w:sz w:val="28"/>
          <w:sz w:val="28"/>
          <w:szCs w:val="28"/>
          <w:rtl w:val="true"/>
          <w:lang w:bidi="fa-IR"/>
        </w:rPr>
        <w:t xml:space="preserve">، و فی التذکرة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علمائنا</w:t>
      </w:r>
      <w:r>
        <w:rPr>
          <w:rFonts w:eastAsia="IRNazanin" w:cs="IRNazanin"/>
          <w:color w:val="111111"/>
          <w:sz w:val="28"/>
          <w:szCs w:val="28"/>
          <w:rtl w:val="true"/>
          <w:lang w:bidi="fa-IR"/>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السرائر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بینهم أنّ حدّ بلوغ المرأة تسع سنین، فإذا بلغتها و کانت رشیدةً سَلّم الوصیّ إلیها مالها، و هو بلوغها الوقت الذی یصحّ أن تعقد علی نفسها عقدة النکاح، و یحلّ للبعل الدخول بها بغیر خلاف بین الشیعة الاثنی عشریّة</w:t>
      </w:r>
      <w:r>
        <w:rPr>
          <w:rFonts w:eastAsia="IRNazanin" w:cs="IRNazanin"/>
          <w:color w:val="111111"/>
          <w:sz w:val="28"/>
          <w:szCs w:val="28"/>
          <w:rtl w:val="true"/>
          <w:lang w:bidi="fa-IR"/>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مفتاح الکرامة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یدلّ علی بلوغ الاُنثی بالتسع الإجماعات من صریح و ظاهر، و هی ثمانیة، معتضدة بما سمعته من الشهرات و الأخبار المستفیضة</w:t>
      </w:r>
      <w:r>
        <w:rPr>
          <w:rFonts w:eastAsia="IRNazanin" w:cs="IRNazanin"/>
          <w:color w:val="111111"/>
          <w:sz w:val="28"/>
          <w:szCs w:val="28"/>
          <w:rtl w:val="true"/>
          <w:lang w:bidi="fa-IR"/>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حکاه فی الریاض</w:t>
      </w:r>
      <w:r>
        <w:rPr>
          <w:rStyle w:val="FootnoteAnchor"/>
          <w:rtl w:val="true"/>
        </w:rPr>
        <w:footnoteReference w:id="8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تحصیل الإجماع </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و ادّعاه أیضاً السیّد السبزواری</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المستفیضة، و هی علی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تدلّ علی أنّ الجاریة إذا تزوّجت و لها تسع سنین ذهب عنها الیُتم، و جاز أمرها فی 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ابن محبوب المتقدِّمة،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الجاریة لیست مثل الغلام، إنّ الجاریة إذا تزوّجت و دخل بها و لها تسع سنین ذهب عنها الیتم، و دفع إلیها مالها، و جاز أمرها فی الشراء و البیع، و اقیمت علیها الحدود التامّة، و اخذت لها و بها</w:t>
      </w:r>
      <w:r>
        <w:rPr>
          <w:rFonts w:eastAsia="IRNazanin" w:cs="IRNazanin"/>
          <w:color w:val="111111"/>
          <w:sz w:val="28"/>
          <w:szCs w:val="28"/>
          <w:rtl w:val="true"/>
          <w:lang w:bidi="fa-IR"/>
        </w:rPr>
        <w:t>»</w:t>
      </w:r>
      <w:r>
        <w:rPr>
          <w:rStyle w:val="FootnoteAnchor"/>
          <w:rtl w:val="true"/>
        </w:rPr>
        <w:footnoteReference w:id="874"/>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أو حسنة یزید الکناسی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الجاریة إذا بلغت تسع سنین ذهب عنها الیتم و زوّجت و اقیمت علیها الحدود التامّة، لها و علیها</w:t>
      </w:r>
      <w:r>
        <w:rPr>
          <w:rFonts w:eastAsia="IRNazanin" w:cs="IRNazanin"/>
          <w:color w:val="111111"/>
          <w:sz w:val="28"/>
          <w:szCs w:val="28"/>
          <w:rtl w:val="true"/>
          <w:lang w:bidi="fa-IR"/>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بلغت الجاریة تسع سنین دفع إلیها مالها، و جاز أمرها فی مالها، و اقیمت الحدود التامّة، لها و علیها</w:t>
      </w:r>
      <w:r>
        <w:rPr>
          <w:rFonts w:eastAsia="IRNazanin" w:cs="IRNazanin"/>
          <w:color w:val="111111"/>
          <w:sz w:val="28"/>
          <w:szCs w:val="28"/>
          <w:rtl w:val="true"/>
          <w:lang w:bidi="fa-IR"/>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تدلّ علی أنّ البلوغ فی الاُنثی تسع سنین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الخصال عن ابن أبی عمیر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w:t>
      </w:r>
    </w:p>
    <w:p>
      <w:pPr>
        <w:pStyle w:val="BookText"/>
        <w:rPr/>
      </w:pPr>
      <w:r>
        <w:rPr>
          <w:rFonts w:ascii="IRNazanin" w:hAnsi="IRNazanin" w:eastAsia="IRNazanin"/>
          <w:color w:val="111111"/>
          <w:sz w:val="28"/>
          <w:sz w:val="28"/>
          <w:szCs w:val="28"/>
          <w:rtl w:val="true"/>
          <w:lang w:bidi="fa-IR"/>
        </w:rPr>
        <w:t>بلوغ المرأة تسع سنین</w:t>
      </w:r>
      <w:r>
        <w:rPr>
          <w:rFonts w:eastAsia="IRNazanin" w:cs="IRNazanin"/>
          <w:color w:val="111111"/>
          <w:sz w:val="28"/>
          <w:szCs w:val="28"/>
          <w:rtl w:val="true"/>
          <w:lang w:bidi="fa-IR"/>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الکافی أیضاً عن ابن أبی عمیر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الجاریة ابنة کم لا تستصبی؟ أبنت ستّ أو سبع؟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ابنة تسع لا تستصبی، و أجمعوا کلّهم علی أنّ ابنة تسع لا تستصبی إلاّ أن یکون فی عقلها ضعف، و إلّا فهی إذا بلغت تسعاً فقد بلغت</w:t>
      </w:r>
      <w:r>
        <w:rPr>
          <w:rFonts w:eastAsia="IRNazanin" w:cs="IRNazanin"/>
          <w:color w:val="111111"/>
          <w:sz w:val="28"/>
          <w:szCs w:val="28"/>
          <w:rtl w:val="true"/>
          <w:lang w:bidi="fa-IR"/>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الروایة من محکمات أخبار الباب و مبیّناتها و لا بدّ من ردّ غیرها إلیها، و الإیراد بإرسالها مندفع؛ لأنّ ابن أبی عمیر من أصحاب الإجماع و مرسلاته کالمسانید، مضافاً إلی أنّه علی فرض ثبوت الضعف فهی منجبرة بعمل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عبد اللّه بن سنان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الغلام ثلاث عشرة سنة کتبت له الحسنة و کتبت علیه السیّئة و عوقب، و إذا بلغت الجاریة تسع سنین فکذلک، و ذلک أنّها تحیض لتسع سنین</w:t>
      </w:r>
      <w:r>
        <w:rPr>
          <w:rFonts w:eastAsia="IRNazanin" w:cs="IRNazanin"/>
          <w:color w:val="111111"/>
          <w:sz w:val="28"/>
          <w:szCs w:val="28"/>
          <w:rtl w:val="true"/>
          <w:lang w:bidi="fa-IR"/>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علی جواز الدخول بالجاریة التی لها تسع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تزوّج الرجل الجاریة و هی صغیرة فلا یدخل بها حتّی یأتی لها تسع سنین</w:t>
      </w:r>
      <w:r>
        <w:rPr>
          <w:rFonts w:eastAsia="IRNazanin" w:cs="IRNazanin"/>
          <w:color w:val="111111"/>
          <w:sz w:val="28"/>
          <w:szCs w:val="28"/>
          <w:rtl w:val="true"/>
          <w:lang w:bidi="fa-IR"/>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الکافی عن عمّار السجستانی،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لمولی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انطلق فقل للقاضی،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المرأة أن یدخل بها</w:t>
      </w:r>
      <w:bookmarkStart w:id="246" w:name="pg11757_135542"/>
    </w:p>
    <w:p>
      <w:pPr>
        <w:pStyle w:val="BookText"/>
        <w:rPr/>
      </w:pPr>
      <w:bookmarkEnd w:id="246"/>
      <w:r>
        <w:rPr>
          <w:rFonts w:ascii="IRNazanin" w:hAnsi="IRNazanin" w:eastAsia="IRNazanin"/>
          <w:color w:val="111111"/>
          <w:sz w:val="28"/>
          <w:sz w:val="28"/>
          <w:szCs w:val="28"/>
          <w:rtl w:val="true"/>
          <w:lang w:bidi="fa-IR"/>
        </w:rPr>
        <w:t>علی زوجها ابنة تسع سنین</w:t>
      </w:r>
      <w:r>
        <w:rPr>
          <w:rFonts w:eastAsia="IRNazanin" w:cs="IRNazanin"/>
          <w:color w:val="111111"/>
          <w:sz w:val="28"/>
          <w:szCs w:val="28"/>
          <w:rtl w:val="true"/>
          <w:lang w:bidi="fa-IR"/>
        </w:rPr>
        <w:t>»</w:t>
      </w:r>
      <w:r>
        <w:rPr>
          <w:rStyle w:val="FootnoteAnchor"/>
          <w:rtl w:val="true"/>
        </w:rPr>
        <w:footnoteReference w:id="881"/>
      </w:r>
      <w:r>
        <w:rPr>
          <w:rFonts w:ascii="IRNazanin" w:hAnsi="IRNazanin" w:eastAsia="IRNazanin"/>
          <w:color w:val="111111"/>
          <w:sz w:val="28"/>
          <w:sz w:val="28"/>
          <w:szCs w:val="28"/>
          <w:rtl w:val="true"/>
          <w:lang w:bidi="fa-IR"/>
        </w:rPr>
        <w:t>، و غیرهما</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بهذه الطائفة فی مجمع الفائدة معلّلاً ثبوت تحریم الدخول بغیر البالغة،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السنّ فالأخبار علیه کثیرة فی النکاح، حیث جوّز الدخول بعد التسع دون قبله، و هو مشعر بالبلوغ بعده؛ لثبوت تحریم الدخول قبله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بالإجماع</w:t>
      </w:r>
      <w:r>
        <w:rPr>
          <w:rFonts w:eastAsia="IRNazanin" w:cs="IRNazanin"/>
          <w:color w:val="111111"/>
          <w:sz w:val="28"/>
          <w:szCs w:val="28"/>
          <w:rtl w:val="true"/>
          <w:lang w:bidi="fa-IR"/>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یستفاد من مجموع الروایات المتقدّمة أنّ الإدراک فی الاُنثی ببلوغ تسع سنین، و علیه الإجماع</w:t>
      </w:r>
      <w:r>
        <w:rPr>
          <w:rFonts w:eastAsia="IRNazanin" w:cs="IRNazanin"/>
          <w:color w:val="111111"/>
          <w:sz w:val="28"/>
          <w:szCs w:val="28"/>
          <w:rtl w:val="true"/>
          <w:lang w:bidi="fa-IR"/>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 w:name="__RefHeading___Toc9696695_73709187"/>
      <w:bookmarkStart w:id="248" w:name="_Toc91"/>
      <w:bookmarkEnd w:id="247"/>
      <w:r>
        <w:rPr>
          <w:rtl w:val="true"/>
        </w:rPr>
        <w:t>القول الثانی</w:t>
      </w:r>
      <w:r>
        <w:rPr>
          <w:rtl w:val="true"/>
        </w:rPr>
        <w:t xml:space="preserve">: </w:t>
      </w:r>
      <w:r>
        <w:rPr>
          <w:rtl w:val="true"/>
        </w:rPr>
        <w:t>أنّ حدّ بلوغ الإناث عشر سنین</w:t>
      </w:r>
      <w:bookmarkEnd w:id="248"/>
    </w:p>
    <w:p>
      <w:pPr>
        <w:pStyle w:val="BookText"/>
        <w:rPr/>
      </w:pPr>
      <w:r>
        <w:rPr>
          <w:rFonts w:ascii="IRNazanin" w:hAnsi="IRNazanin" w:eastAsia="IRNazanin"/>
          <w:color w:val="111111"/>
          <w:sz w:val="28"/>
          <w:sz w:val="28"/>
          <w:szCs w:val="28"/>
          <w:rtl w:val="true"/>
          <w:lang w:bidi="fa-IR"/>
        </w:rPr>
        <w:t>ذهب إلیه الشیخ فی صوم المبسوط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المرأة تبلغ عشر سنین</w:t>
      </w:r>
      <w:r>
        <w:rPr>
          <w:rFonts w:eastAsia="IRNazanin" w:cs="IRNazanin"/>
          <w:color w:val="111111"/>
          <w:sz w:val="28"/>
          <w:szCs w:val="28"/>
          <w:rtl w:val="true"/>
          <w:lang w:bidi="fa-IR"/>
        </w:rPr>
        <w:t>»</w:t>
      </w:r>
      <w:r>
        <w:rPr>
          <w:rStyle w:val="FootnoteAnchor"/>
          <w:rtl w:val="true"/>
        </w:rPr>
        <w:footnoteReference w:id="885"/>
      </w:r>
      <w:r>
        <w:rPr>
          <w:rFonts w:ascii="IRNazanin" w:hAnsi="IRNazanin" w:eastAsia="IRNazanin"/>
          <w:color w:val="111111"/>
          <w:sz w:val="28"/>
          <w:sz w:val="28"/>
          <w:szCs w:val="28"/>
          <w:rtl w:val="true"/>
          <w:lang w:bidi="fa-IR"/>
        </w:rPr>
        <w:t>، و لکن رجع عنه فی حجره</w:t>
      </w:r>
      <w:r>
        <w:rPr>
          <w:rStyle w:val="FootnoteAnchor"/>
          <w:rtl w:val="true"/>
        </w:rPr>
        <w:footnoteReference w:id="8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الخلاف</w:t>
      </w:r>
      <w:r>
        <w:rPr>
          <w:rStyle w:val="FootnoteAnchor"/>
          <w:rtl w:val="true"/>
        </w:rPr>
        <w:footnoteReference w:id="887"/>
      </w:r>
      <w:r>
        <w:rPr>
          <w:rFonts w:ascii="IRNazanin" w:hAnsi="IRNazanin" w:eastAsia="IRNazanin"/>
          <w:color w:val="111111"/>
          <w:sz w:val="28"/>
          <w:sz w:val="28"/>
          <w:szCs w:val="28"/>
          <w:rtl w:val="true"/>
          <w:lang w:bidi="fa-IR"/>
        </w:rPr>
        <w:t>و النهایة</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اختاره ابن حمزة فی خمس الوسیلة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بلوغ المرأة بأحد شیئین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الحیض و تمام عشر سنین</w:t>
      </w:r>
      <w:r>
        <w:rPr>
          <w:rFonts w:eastAsia="IRNazanin" w:cs="IRNazanin"/>
          <w:color w:val="111111"/>
          <w:sz w:val="28"/>
          <w:szCs w:val="28"/>
          <w:rtl w:val="true"/>
          <w:lang w:bidi="fa-IR"/>
        </w:rPr>
        <w:t>»</w:t>
      </w:r>
      <w:r>
        <w:rPr>
          <w:rStyle w:val="FootnoteAnchor"/>
          <w:rtl w:val="true"/>
        </w:rPr>
        <w:footnoteReference w:id="889"/>
      </w:r>
      <w:r>
        <w:rPr>
          <w:rFonts w:ascii="IRNazanin" w:hAnsi="IRNazanin" w:eastAsia="IRNazanin"/>
          <w:color w:val="111111"/>
          <w:sz w:val="28"/>
          <w:sz w:val="28"/>
          <w:szCs w:val="28"/>
          <w:rtl w:val="true"/>
          <w:lang w:bidi="fa-IR"/>
        </w:rPr>
        <w:t>، و لکن رجع عنه فی نکاحها</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یحیی بن سعید الحلّی فی الصوم من کتابه</w:t>
      </w:r>
      <w:r>
        <w:rPr>
          <w:rStyle w:val="FootnoteAnchor"/>
          <w:rtl w:val="true"/>
        </w:rPr>
        <w:footnoteReference w:id="891"/>
      </w:r>
      <w:r>
        <w:rPr>
          <w:rFonts w:ascii="IRNazanin" w:hAnsi="IRNazanin" w:eastAsia="IRNazanin"/>
          <w:color w:val="111111"/>
          <w:sz w:val="28"/>
          <w:sz w:val="28"/>
          <w:szCs w:val="28"/>
          <w:rtl w:val="true"/>
          <w:lang w:bidi="fa-IR"/>
        </w:rPr>
        <w:t>، و لکن رجع عنه فی حجره</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علیه ظاهر بعض الأخبار</w:t>
      </w:r>
      <w:r>
        <w:rPr>
          <w:rStyle w:val="FootnoteAnchor"/>
          <w:rtl w:val="true"/>
        </w:rPr>
        <w:footnoteReference w:id="893"/>
      </w:r>
      <w:r>
        <w:rPr>
          <w:rFonts w:ascii="IRNazanin" w:hAnsi="IRNazanin" w:eastAsia="IRNazanin"/>
          <w:color w:val="111111"/>
          <w:sz w:val="28"/>
          <w:sz w:val="28"/>
          <w:szCs w:val="28"/>
          <w:rtl w:val="true"/>
          <w:lang w:bidi="fa-IR"/>
        </w:rPr>
        <w:t>،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غیاث بن إبراهیم عن أمیر المؤمنین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تُوطأ جاریة لأقلّ من عشر سنین، فإن فعل فعیبت فقد ضمن</w:t>
      </w:r>
      <w:r>
        <w:rPr>
          <w:rFonts w:eastAsia="IRNazanin" w:cs="IRNazanin"/>
          <w:color w:val="111111"/>
          <w:sz w:val="28"/>
          <w:szCs w:val="28"/>
          <w:rtl w:val="true"/>
          <w:lang w:bidi="fa-IR"/>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معتبرة زرارة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یدخل بالجاریة حتّی یأتی لها تسع سنین أو عشر سنین</w:t>
      </w:r>
      <w:r>
        <w:rPr>
          <w:rFonts w:eastAsia="IRNazanin" w:cs="IRNazanin"/>
          <w:color w:val="111111"/>
          <w:sz w:val="28"/>
          <w:szCs w:val="28"/>
          <w:rtl w:val="true"/>
          <w:lang w:bidi="fa-IR"/>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أبی بصیر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یدخل بالجاریة حتّی یأتی لها تسع سنین أو عشر سنین</w:t>
      </w:r>
      <w:r>
        <w:rPr>
          <w:rFonts w:eastAsia="IRNazanin" w:cs="IRNazanin"/>
          <w:color w:val="111111"/>
          <w:sz w:val="28"/>
          <w:szCs w:val="28"/>
          <w:rtl w:val="true"/>
          <w:lang w:bidi="fa-IR"/>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الأخیرتان فلاشتمالهما علی التردید</w:t>
      </w:r>
      <w:r>
        <w:rPr>
          <w:rStyle w:val="FootnoteAnchor"/>
          <w:rtl w:val="true"/>
        </w:rPr>
        <w:footnoteReference w:id="897"/>
      </w:r>
      <w:r>
        <w:rPr>
          <w:rFonts w:ascii="IRNazanin" w:hAnsi="IRNazanin" w:eastAsia="IRNazanin"/>
          <w:color w:val="111111"/>
          <w:sz w:val="28"/>
          <w:sz w:val="28"/>
          <w:szCs w:val="28"/>
          <w:rtl w:val="true"/>
          <w:lang w:bidi="fa-IR"/>
        </w:rPr>
        <w:t>المنافی للتعیین، فلا یصحّ الاستدلال بهما، فإنّ منزلة الإمام أرفع من الشکّ فی الأحکام، و الحمل علی تردید الراوی خلاف ظاهر الروایة، فلا بدّ من حمله علی العوارض الخارجیّة أو تأویله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مهذّب الأحکام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خبر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لجعله للتحدید فی</w:t>
      </w:r>
      <w:bookmarkStart w:id="249" w:name="pg11757_135544"/>
    </w:p>
    <w:p>
      <w:pPr>
        <w:pStyle w:val="BookText"/>
        <w:rPr/>
      </w:pPr>
      <w:bookmarkEnd w:id="249"/>
      <w:r>
        <w:rPr>
          <w:rFonts w:ascii="IRNazanin" w:hAnsi="IRNazanin" w:eastAsia="IRNazanin"/>
          <w:color w:val="111111"/>
          <w:sz w:val="28"/>
          <w:sz w:val="28"/>
          <w:szCs w:val="28"/>
          <w:rtl w:val="true"/>
          <w:lang w:bidi="fa-IR"/>
        </w:rPr>
        <w:t>هذا الأمر العام البلوی؛ لأنّ التردید ینافی التحدید کما هو معلوم، فلا بدّ من حمله علی العوارض الخارجیّة من تحمّل بعض الجواری للدخول بها فی تسع سنین، و بعضها لعدم تحمّل ذلک إلّا بعده، مع أنّه لا یعارض أخبار التسع؛ لفرض کونه مثبتاً، و لا تعارض بین المثبتین و إنّما التعارض فی ذکر العشرة، و هو محمول علی ما قلناه</w:t>
      </w:r>
      <w:r>
        <w:rPr>
          <w:rFonts w:eastAsia="IRNazanin" w:cs="IRNazanin"/>
          <w:color w:val="111111"/>
          <w:sz w:val="28"/>
          <w:szCs w:val="28"/>
          <w:rtl w:val="true"/>
          <w:lang w:bidi="fa-IR"/>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روایة غیاث بن إبراهیم فضعیفة سنداً، و لا تصلح لمعارضة الأخبار المتقدّمة، 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ضعیفة السند، بیّنة الشذوذ، معارضة بالروایات المستفیضة الدالّة علی جواز الدخول بالجاریة لتسع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صریحة فی تحدید البلوغ بالعشرة؛ لجواز استناد المنع فیها إلی أمر آخر غیر عدم البلوغ، فلیس للفقیه محیص عن المشهور</w:t>
      </w:r>
      <w:r>
        <w:rPr>
          <w:rFonts w:eastAsia="IRNazanin" w:cs="IRNazanin"/>
          <w:color w:val="111111"/>
          <w:sz w:val="28"/>
          <w:szCs w:val="28"/>
          <w:rtl w:val="true"/>
          <w:lang w:bidi="fa-IR"/>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الأعظم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القول مع احتمال إرادة الدخول فی العاشرة منه لم أجد له مستنداً عدا روایة غیاث بن إبراهیم</w:t>
      </w:r>
      <w:r>
        <w:rPr>
          <w:rFonts w:eastAsia="IRNazanin" w:cs="IRNazanin"/>
          <w:color w:val="111111"/>
          <w:sz w:val="28"/>
          <w:szCs w:val="28"/>
          <w:rtl w:val="true"/>
          <w:lang w:bidi="fa-IR"/>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احتمال حملها علی استحباب التأخیر أو علی الدخول فی أوّل السنة العاشرة، کما احتمله المحدّث الکبیر الشیخ الحرّ العاملی فی وسائله</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 w:name="__RefHeading___Toc9696697_73709187"/>
      <w:bookmarkStart w:id="251" w:name="_Toc92"/>
      <w:bookmarkEnd w:id="250"/>
      <w:r>
        <w:rPr>
          <w:rtl w:val="true"/>
        </w:rPr>
        <w:t>القول الثالث</w:t>
      </w:r>
      <w:r>
        <w:rPr>
          <w:rtl w:val="true"/>
        </w:rPr>
        <w:t xml:space="preserve">: </w:t>
      </w:r>
      <w:r>
        <w:rPr>
          <w:rtl w:val="true"/>
        </w:rPr>
        <w:t>حدّ بلوغ الإناث ثلاث عشرة سنین</w:t>
      </w:r>
      <w:bookmarkEnd w:id="251"/>
    </w:p>
    <w:p>
      <w:pPr>
        <w:pStyle w:val="Heading6"/>
        <w:numPr>
          <w:ilvl w:val="5"/>
          <w:numId w:val="1"/>
        </w:numPr>
        <w:rPr/>
      </w:pPr>
      <w:bookmarkStart w:id="252" w:name="__RefHeading___Toc9696699_73709187"/>
      <w:bookmarkStart w:id="253" w:name="_Toc93"/>
      <w:bookmarkEnd w:id="252"/>
      <w:r>
        <w:rPr>
          <w:rtl w:val="true"/>
        </w:rPr>
        <w:t>اشارة</w:t>
      </w:r>
      <w:bookmarkEnd w:id="25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یستفاد من روایة عمّار الساباطیّ أنّ سنّ البلوغ فی الإناث ثلاث عشرة سنة، رواها فی التهذیب عن عمّار الساباطی عن أبی عبد اللّه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الغلام متی تجب علیه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أتی علیه ثلاث عشرة سنة، فإن احتلم قبل ذلک فقد وجبت علیه الصلاة و جری علیه القلم، و الجاریة مثل ذلک إن أتی لها ثلاث عشرة سنة أو حاضت قبل ذلک فقد وجبت علیها الصلاة و جری علیها القلم</w:t>
      </w:r>
      <w:r>
        <w:rPr>
          <w:rFonts w:eastAsia="IRNazanin" w:cs="IRNazanin"/>
          <w:color w:val="111111"/>
          <w:sz w:val="28"/>
          <w:szCs w:val="28"/>
          <w:rtl w:val="true"/>
          <w:lang w:bidi="fa-IR"/>
        </w:rPr>
        <w:t>»</w:t>
      </w:r>
      <w:r>
        <w:rPr>
          <w:rStyle w:val="FootnoteAnchor"/>
          <w:rtl w:val="true"/>
        </w:rPr>
        <w:footnoteReference w:id="902"/>
      </w:r>
      <w:r>
        <w:rPr>
          <w:rFonts w:ascii="IRNazanin" w:hAnsi="IRNazanin" w:eastAsia="IRNazanin"/>
          <w:color w:val="111111"/>
          <w:sz w:val="28"/>
          <w:sz w:val="28"/>
          <w:szCs w:val="28"/>
          <w:rtl w:val="true"/>
          <w:lang w:bidi="fa-IR"/>
        </w:rPr>
        <w:t>، فإنّها صریحة بأنّ حدّ سنّ البلوغ فی الإناث ثلاث عشرة سنة کما فی الذکور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لم نعثر علی مَن أفتی بمضمونها إلّا بعض المعاصرین</w:t>
      </w:r>
      <w:r>
        <w:rPr>
          <w:rStyle w:val="FootnoteAnchor"/>
          <w:rtl w:val="true"/>
        </w:rPr>
        <w:footnoteReference w:id="903"/>
      </w:r>
      <w:r>
        <w:rPr>
          <w:rFonts w:ascii="IRNazanin" w:hAnsi="IRNazanin" w:eastAsia="IRNazanin"/>
          <w:color w:val="111111"/>
          <w:sz w:val="28"/>
          <w:sz w:val="28"/>
          <w:szCs w:val="28"/>
          <w:rtl w:val="true"/>
          <w:lang w:bidi="fa-IR"/>
        </w:rPr>
        <w:t>، و اورد علیها بإیرادات</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ضعیفة سنداً؛ لأنّ الشیخ ذکر فی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عمّار بن موسی الساباطی قد ضعّفه جماعة من أهل النقل، و ذکروا أنّ ما ینفرد بنقله لا یعمل به؛ لأنّه کان فطحیّاً</w:t>
      </w:r>
      <w:r>
        <w:rPr>
          <w:rFonts w:eastAsia="IRNazanin" w:cs="IRNazanin"/>
          <w:color w:val="111111"/>
          <w:sz w:val="28"/>
          <w:szCs w:val="28"/>
          <w:rtl w:val="true"/>
          <w:lang w:bidi="fa-IR"/>
        </w:rPr>
        <w:t>»</w:t>
      </w:r>
      <w:r>
        <w:rPr>
          <w:rStyle w:val="FootnoteAnchor"/>
          <w:rtl w:val="true"/>
        </w:rPr>
        <w:footnoteReference w:id="905"/>
      </w:r>
      <w:r>
        <w:rPr>
          <w:rFonts w:ascii="IRNazanin" w:hAnsi="IRNazanin" w:eastAsia="IRNazanin"/>
          <w:color w:val="111111"/>
          <w:sz w:val="28"/>
          <w:sz w:val="28"/>
          <w:szCs w:val="28"/>
          <w:rtl w:val="true"/>
          <w:lang w:bidi="fa-IR"/>
        </w:rPr>
        <w:t xml:space="preserve">، و کذا فی الاستبصار و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المذهب</w:t>
      </w:r>
      <w:r>
        <w:rPr>
          <w:rFonts w:eastAsia="IRNazanin" w:cs="IRNazanin"/>
          <w:color w:val="111111"/>
          <w:sz w:val="28"/>
          <w:szCs w:val="28"/>
          <w:rtl w:val="true"/>
          <w:lang w:bidi="fa-IR"/>
        </w:rPr>
        <w:t>»</w:t>
      </w:r>
      <w:r>
        <w:rPr>
          <w:rStyle w:val="FootnoteAnchor"/>
          <w:rtl w:val="true"/>
        </w:rPr>
        <w:footnoteReference w:id="906"/>
      </w:r>
      <w:r>
        <w:rPr>
          <w:rFonts w:ascii="IRNazanin" w:hAnsi="IRNazanin" w:eastAsia="IRNazanin"/>
          <w:color w:val="111111"/>
          <w:sz w:val="28"/>
          <w:sz w:val="28"/>
          <w:szCs w:val="28"/>
          <w:rtl w:val="true"/>
          <w:lang w:bidi="fa-IR"/>
        </w:rPr>
        <w:t>، و جعل العلّامة فی الخلاصة روایاته مرجّحةً‌</w:t>
      </w:r>
      <w:r>
        <w:rPr>
          <w:rStyle w:val="FootnoteAnchor"/>
          <w:rtl w:val="true"/>
        </w:rPr>
        <w:footnoteReference w:id="907"/>
      </w:r>
      <w:r>
        <w:rPr>
          <w:rFonts w:ascii="Amiri" w:hAnsi="Amiri" w:eastAsia="Amiri" w:cs="Amiri"/>
          <w:color w:val="111111"/>
          <w:sz w:val="28"/>
          <w:sz w:val="28"/>
          <w:szCs w:val="28"/>
          <w:rtl w:val="true"/>
          <w:lang w:bidi="ar-SA"/>
        </w:rPr>
        <w:t>لا دلیلاً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 العلّامة التستری فی الردّ علی القول بوثاقته کلاماً طویلاً، ملخّصه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یمکن القول بوثاقته و الإجماع علی بقائه علی فطحیّته؟ و قد روی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هشام ابن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بالمدینة بعد وفاة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من دخل علی الکاظم علیه السلام قطع علیه إلّا طائفة</w:t>
      </w:r>
    </w:p>
    <w:p>
      <w:pPr>
        <w:pStyle w:val="BookText"/>
        <w:rPr/>
      </w:pPr>
      <w:r>
        <w:rPr>
          <w:rFonts w:ascii="IRNazanin" w:hAnsi="IRNazanin" w:eastAsia="IRNazanin"/>
          <w:color w:val="111111"/>
          <w:sz w:val="28"/>
          <w:sz w:val="28"/>
          <w:szCs w:val="28"/>
          <w:rtl w:val="true"/>
          <w:lang w:bidi="fa-IR"/>
        </w:rPr>
        <w:t>من عمّار و أصحابه</w:t>
      </w:r>
      <w:r>
        <w:rPr>
          <w:rStyle w:val="FootnoteAnchor"/>
          <w:rtl w:val="true"/>
        </w:rPr>
        <w:footnoteReference w:id="908"/>
      </w:r>
      <w:r>
        <w:rPr>
          <w:rFonts w:ascii="Amiri" w:hAnsi="Amiri" w:eastAsia="Amiri" w:cs="Amiri"/>
          <w:color w:val="111111"/>
          <w:sz w:val="28"/>
          <w:sz w:val="28"/>
          <w:szCs w:val="28"/>
          <w:rtl w:val="true"/>
          <w:lang w:bidi="ar-SA"/>
        </w:rPr>
        <w:t xml:space="preserve">، و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عبد اللّه بن بکیر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شیخه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عمّاراً من فقهاء الفطحیّة</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نقله عن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فقاله فی العددیّة عن غیر تحقیق، بدلیل أنّه نقل فیهم جمعاً آخر من المطعونین، و قد روی فی إرشاده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قاله المحقّق من ادّعاء الشیخ الإجماع علی العمل بروایاته مع فطحیّته فوهم فاحش، و من العجب أنّهم قلّدوه إلی الیوم و لم یتدبّروا فی عدّة الشیخ حتّی یروا أنّه قدس سره 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العمل بخبر غیر الإمامیّ إلاّ إذا لم یکن فی المسألة خبر إمامیّ و لم یعرض عن خبره الطائفة، و إذا اجتمع الشرطان جاز العمل بخبره، و لذلک عملت الطائفة بأخبار الواقفیّة و الفطحیّة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اجتمع فی خبرهم الشرطان</w:t>
      </w:r>
      <w:r>
        <w:rPr>
          <w:rStyle w:val="FootnoteAnchor"/>
          <w:rtl w:val="true"/>
        </w:rPr>
        <w:footnoteReference w:id="910"/>
      </w:r>
      <w:r>
        <w:rPr>
          <w:rFonts w:ascii="IRNazanin" w:hAnsi="IRNazanin" w:eastAsia="IRNazanin"/>
          <w:color w:val="111111"/>
          <w:sz w:val="28"/>
          <w:sz w:val="28"/>
          <w:szCs w:val="28"/>
          <w:rtl w:val="true"/>
          <w:lang w:bidi="fa-IR"/>
        </w:rPr>
        <w:t>، مع أنّه فی موضع آخر لم یجوّز العمل بما تفرّدوا به مطلقاً و لو لم یکن علی خلافه خبر إمامی، و کانوا ثقات فی النقل</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أن قال بعد صفحات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لأبی عبد اللّه علیه السلام إنّ عمّار الساباطی روی عنک روایة،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السنّة فریضة،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یذهب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یذهب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هکذا</w:t>
      </w:r>
    </w:p>
    <w:p>
      <w:pPr>
        <w:pStyle w:val="BookText"/>
        <w:rPr/>
      </w:pPr>
      <w:r>
        <w:rPr>
          <w:rFonts w:ascii="IRNazanin" w:hAnsi="IRNazanin" w:eastAsia="IRNazanin"/>
          <w:color w:val="111111"/>
          <w:sz w:val="28"/>
          <w:sz w:val="28"/>
          <w:szCs w:val="28"/>
          <w:rtl w:val="true"/>
          <w:lang w:bidi="fa-IR"/>
        </w:rPr>
        <w:t>حدّثته، إنّما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فأقبل علی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أمرنا بالسنّة لیکمل بها ما ذهب من المکتوبة</w:t>
      </w:r>
      <w:r>
        <w:rPr>
          <w:rFonts w:eastAsia="IRNazanin" w:cs="IRNazanin"/>
          <w:color w:val="111111"/>
          <w:sz w:val="28"/>
          <w:szCs w:val="28"/>
          <w:rtl w:val="true"/>
          <w:lang w:bidi="fa-IR"/>
        </w:rPr>
        <w:t>»</w:t>
      </w:r>
      <w:r>
        <w:rPr>
          <w:rStyle w:val="FootnoteAnchor"/>
          <w:rtl w:val="true"/>
        </w:rPr>
        <w:footnoteReference w:id="912"/>
      </w:r>
      <w:r>
        <w:rPr>
          <w:rFonts w:ascii="IRNazanin" w:hAnsi="IRNazanin" w:eastAsia="IRNazanin"/>
          <w:color w:val="111111"/>
          <w:sz w:val="28"/>
          <w:sz w:val="28"/>
          <w:szCs w:val="28"/>
          <w:rtl w:val="true"/>
          <w:lang w:bidi="fa-IR"/>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الخوئی فی البحث عن الشکوک الموجبة للبطلان ما هذا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إذا بنینا علی عدم العمل بروایات عمّار لعدم الوثوق بأخباره لکثرة اشتباهه بحیث قلّما یکون خبر من أخباره خالیاً عن تشویش و اضطراب فی اللفظ أو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ادّعاه صاحب الوافی</w:t>
      </w:r>
      <w:r>
        <w:rPr>
          <w:rStyle w:val="FootnoteAnchor"/>
          <w:rtl w:val="true"/>
        </w:rPr>
        <w:footnoteReference w:id="914"/>
      </w:r>
      <w:r>
        <w:rPr>
          <w:rFonts w:ascii="IRNazanin" w:hAnsi="IRNazanin" w:eastAsia="IRNazanin"/>
          <w:color w:val="111111"/>
          <w:sz w:val="28"/>
          <w:sz w:val="28"/>
          <w:szCs w:val="28"/>
          <w:rtl w:val="true"/>
          <w:lang w:bidi="fa-IR"/>
        </w:rPr>
        <w:t>و شیخنا المجلسی</w:t>
      </w:r>
      <w:r>
        <w:rPr>
          <w:rStyle w:val="FootnoteAnchor"/>
          <w:rtl w:val="true"/>
        </w:rPr>
        <w:footnoteReference w:id="91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إشکال حینئذٍ</w:t>
      </w:r>
      <w:r>
        <w:rPr>
          <w:rFonts w:eastAsia="IRNazanin" w:cs="IRNazanin"/>
          <w:color w:val="111111"/>
          <w:sz w:val="28"/>
          <w:szCs w:val="28"/>
          <w:rtl w:val="true"/>
          <w:lang w:bidi="fa-IR"/>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فقهاء الشیعة اتّفقوا علی أنّ الغلام و الجاریة لا یکونان متساویین فی البلوغ من حیث السنّ، فی حال أنّ الروایة دالّة علی ذلک</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الروایة معارضة للروایات الکثیرة الدالّة علی أنّ بلوغ الجاریة یتحقّق بإکمال التسع، و قد تقدّم بعضها و فیها الصحاح</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مفتاح الکرامة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فی الموثّق 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أتی لها ثلاث عشرة سنة أو حاضت قبل ذلک فقد وجبت علیها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شاذّ قاصر عن المکافئة أیضاً، و الاُصول مقطوعة بالأدلّة القاطعة</w:t>
      </w:r>
      <w:r>
        <w:rPr>
          <w:rFonts w:eastAsia="IRNazanin" w:cs="IRNazanin"/>
          <w:color w:val="111111"/>
          <w:sz w:val="28"/>
          <w:szCs w:val="28"/>
          <w:rtl w:val="true"/>
          <w:lang w:bidi="fa-IR"/>
        </w:rPr>
        <w:t>»</w:t>
      </w:r>
      <w:r>
        <w:rPr>
          <w:rStyle w:val="FootnoteAnchor"/>
          <w:rtl w:val="true"/>
        </w:rPr>
        <w:footnoteReference w:id="9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غیر معمول علیه</w:t>
      </w:r>
      <w:r>
        <w:rPr>
          <w:rFonts w:eastAsia="IRNazanin" w:cs="IRNazanin"/>
          <w:color w:val="111111"/>
          <w:sz w:val="28"/>
          <w:szCs w:val="28"/>
          <w:rtl w:val="true"/>
          <w:lang w:bidi="fa-IR"/>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روایة الساباطی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المشتملة علی اتّحاد حکم الاُنثی و الذکر، و لم یقل بشیء من ذلک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لا تقاوم أدلّة المشهور من جهة اعتضادها بالشهرة، و حکایة الإجماع مستفیضة، مع 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التکافؤ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الرجوع إلی العمومات و الاُصول القطعیّة</w:t>
      </w:r>
      <w:r>
        <w:rPr>
          <w:rFonts w:eastAsia="IRNazanin" w:cs="IRNazanin"/>
          <w:color w:val="111111"/>
          <w:sz w:val="28"/>
          <w:szCs w:val="28"/>
          <w:rtl w:val="true"/>
          <w:lang w:bidi="fa-IR"/>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الروایة صریحة فی أنّ بلوغ الغلام ثلاث عشرة سنة إلاّ إذا احتلم قبله، مع أنّ النصوص و الفتاوی متّفقة علی 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یوهمه الاستبصار من الأخذ بحدیث عمّار مأوّل بالضرورة لمخالفته الإجماع بل الضرورة</w:t>
      </w:r>
      <w:r>
        <w:rPr>
          <w:rFonts w:eastAsia="IRNazanin" w:cs="IRNazanin"/>
          <w:color w:val="111111"/>
          <w:sz w:val="28"/>
          <w:szCs w:val="28"/>
          <w:rtl w:val="true"/>
          <w:lang w:bidi="fa-IR"/>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أجاد الشیخ الفاضل اللنکرانی فی ردّ هذا القول،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العجب بعد ذلک من بعض المتفقّهین الذین یسمّون فقههم بالفقه المتطوّر، و فی الاصطلاح الفارسی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پویا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ینکرون أحکام اللّه مرّة بعد اخری، فتارةً یقولون بأنّ بلوغ الجاریة لا یتحقّق إلّا بعد ثلاث عشرة سنة</w:t>
      </w:r>
      <w:r>
        <w:rPr>
          <w:rStyle w:val="FootnoteAnchor"/>
          <w:rtl w:val="true"/>
        </w:rPr>
        <w:footnoteReference w:id="922"/>
      </w:r>
      <w:r>
        <w:rPr>
          <w:rFonts w:ascii="Amiri" w:hAnsi="Amiri" w:eastAsia="Amiri" w:cs="Amiri"/>
          <w:color w:val="111111"/>
          <w:sz w:val="28"/>
          <w:sz w:val="28"/>
          <w:szCs w:val="28"/>
          <w:rtl w:val="true"/>
          <w:lang w:bidi="ar-SA"/>
        </w:rPr>
        <w:t>، و أُخری ینکرون دیة المرأة نصف الرجل، و ثالثة ینکرون لزوم شهادة المرأتین مقام رجل واحد، مع أنّه خلاف صریح القرآن حیث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یَکُونا رَجُلَیْنِ فَرَجُلٌ وَ امْرَأَتانِ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سمعت أنّ بعضهم قائل بتساوی الرجل و المرأة فی باب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مخالفة أحکام اللّه المبتنیة علی المصالح و المفاسد الواقعیّة</w:t>
      </w:r>
      <w:bookmarkStart w:id="254" w:name="pg11757_135549"/>
    </w:p>
    <w:p>
      <w:pPr>
        <w:pStyle w:val="BookText"/>
        <w:rPr/>
      </w:pPr>
      <w:bookmarkEnd w:id="254"/>
      <w:r>
        <w:rPr>
          <w:rFonts w:ascii="IRNazanin" w:hAnsi="IRNazanin" w:eastAsia="IRNazanin"/>
          <w:color w:val="111111"/>
          <w:sz w:val="28"/>
          <w:sz w:val="28"/>
          <w:szCs w:val="28"/>
          <w:rtl w:val="true"/>
          <w:lang w:bidi="fa-IR"/>
        </w:rPr>
        <w:t>التی لا یحیط بها إلاّ اللّه تبارک و تعالی</w:t>
      </w:r>
      <w:r>
        <w:rPr>
          <w:rFonts w:eastAsia="IRNazanin" w:cs="IRNazanin"/>
          <w:color w:val="111111"/>
          <w:sz w:val="28"/>
          <w:szCs w:val="28"/>
          <w:rtl w:val="true"/>
          <w:lang w:bidi="fa-IR"/>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5" w:name="__RefHeading___Toc9696701_73709187"/>
      <w:bookmarkStart w:id="256" w:name="_Toc94"/>
      <w:bookmarkEnd w:id="255"/>
      <w:r>
        <w:rPr>
          <w:rtl w:val="true"/>
        </w:rPr>
        <w:t>إیضاح</w:t>
      </w:r>
      <w:bookmarkEnd w:id="256"/>
    </w:p>
    <w:p>
      <w:pPr>
        <w:pStyle w:val="BookText"/>
        <w:rPr/>
      </w:pPr>
      <w:r>
        <w:rPr>
          <w:rFonts w:ascii="IRNazanin" w:hAnsi="IRNazanin" w:eastAsia="IRNazanin"/>
          <w:color w:val="111111"/>
          <w:sz w:val="28"/>
          <w:sz w:val="28"/>
          <w:szCs w:val="28"/>
          <w:rtl w:val="true"/>
          <w:lang w:bidi="fa-IR"/>
        </w:rPr>
        <w:t>یستفاد من ظاهر صحیحة العیص بن القاسم عن أبی عبد اللّه علیه السلام أنّ الحجر لا یرفع عن الصبیّة إلاّ بالتزویج،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الیتیمة متی یدفع إلیها مالها؟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علمت أنّها لا تفسد و لا تضیّع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فسألته إن کانت قد تزوّجت؟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زوّجت فقد انقطع ملک الوصیّ عنها</w:t>
      </w:r>
      <w:r>
        <w:rPr>
          <w:rFonts w:eastAsia="IRNazanin" w:cs="IRNazanin"/>
          <w:color w:val="111111"/>
          <w:sz w:val="28"/>
          <w:szCs w:val="28"/>
          <w:rtl w:val="true"/>
          <w:lang w:bidi="fa-IR"/>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المفهوم منها أنّ التزویج یکون حدّاً للبلوغ و یوجب انقطاع الیُتم، و هو خلاف ما تقدّم من أنّ حدّ البلوغ فی الإناث إکمال تسع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نعثر من الفقهاء علی مَن أفتی بمضمونها، إلاّ أنّه حکی العلّامة فی المختلف عن ابن الجنید،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الصبیّة إذا تزوّجت و لها تسع سنین أیضاً لم یحجر علیها، و کان زوجها الرشید قیّماً علی مالها</w:t>
      </w:r>
      <w:r>
        <w:rPr>
          <w:rFonts w:eastAsia="IRNazanin" w:cs="IRNazanin"/>
          <w:color w:val="111111"/>
          <w:sz w:val="28"/>
          <w:szCs w:val="28"/>
          <w:rtl w:val="true"/>
          <w:lang w:bidi="fa-IR"/>
        </w:rPr>
        <w:t>»</w:t>
      </w:r>
      <w:r>
        <w:rPr>
          <w:rStyle w:val="FootnoteAnchor"/>
          <w:rtl w:val="true"/>
        </w:rPr>
        <w:footnoteReference w:id="925"/>
      </w:r>
      <w:r>
        <w:rPr>
          <w:rFonts w:ascii="IRNazanin" w:hAnsi="IRNazanin" w:eastAsia="IRNazanin"/>
          <w:color w:val="111111"/>
          <w:sz w:val="28"/>
          <w:sz w:val="28"/>
          <w:szCs w:val="28"/>
          <w:rtl w:val="true"/>
          <w:lang w:bidi="fa-IR"/>
        </w:rPr>
        <w:t>، و ظاهره تعلیق عدم الحجر علی التزویج</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عنه العلّامة بأنّه لیس شرطاً عند علمائنا</w:t>
      </w:r>
      <w:r>
        <w:rPr>
          <w:rStyle w:val="FootnoteAnchor"/>
          <w:rtl w:val="true"/>
        </w:rPr>
        <w:footnoteReference w:id="926"/>
      </w:r>
      <w:r>
        <w:rPr>
          <w:rFonts w:ascii="IRNazanin" w:hAnsi="IRNazanin" w:eastAsia="IRNazanin"/>
          <w:color w:val="111111"/>
          <w:sz w:val="28"/>
          <w:sz w:val="28"/>
          <w:szCs w:val="28"/>
          <w:rtl w:val="true"/>
          <w:lang w:bidi="fa-IR"/>
        </w:rPr>
        <w:t>، و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نادر</w:t>
      </w:r>
      <w:r>
        <w:rPr>
          <w:rStyle w:val="FootnoteAnchor"/>
          <w:rtl w:val="true"/>
        </w:rPr>
        <w:footnoteReference w:id="927"/>
      </w:r>
      <w:r>
        <w:rPr>
          <w:rFonts w:ascii="IRNazanin" w:hAnsi="IRNazanin" w:eastAsia="IRNazanin"/>
          <w:color w:val="111111"/>
          <w:sz w:val="28"/>
          <w:sz w:val="28"/>
          <w:szCs w:val="28"/>
          <w:rtl w:val="true"/>
          <w:lang w:bidi="fa-IR"/>
        </w:rPr>
        <w:t>، و فی مفتاح الکرامة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ذهب إلیه أبو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ارتفاع الحجر عنها إلاّ بالتزویج و الحمل، فشاذّ لا مستند له</w:t>
      </w:r>
      <w:r>
        <w:rPr>
          <w:rFonts w:eastAsia="IRNazanin" w:cs="IRNazanin"/>
          <w:color w:val="111111"/>
          <w:sz w:val="28"/>
          <w:szCs w:val="28"/>
          <w:rtl w:val="true"/>
          <w:lang w:bidi="fa-IR"/>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مستنده غیر واضح، بل الدلیل علی خلافه لائح</w:t>
      </w:r>
      <w:r>
        <w:rPr>
          <w:rFonts w:eastAsia="IRNazanin" w:cs="IRNazanin"/>
          <w:color w:val="111111"/>
          <w:sz w:val="28"/>
          <w:szCs w:val="28"/>
          <w:rtl w:val="true"/>
          <w:lang w:bidi="fa-IR"/>
        </w:rPr>
        <w:t>»</w:t>
      </w:r>
      <w:r>
        <w:rPr>
          <w:rStyle w:val="FootnoteAnchor"/>
          <w:rtl w:val="true"/>
        </w:rPr>
        <w:footnoteReference w:id="929"/>
      </w:r>
      <w:r>
        <w:rPr>
          <w:rFonts w:ascii="Amiri" w:hAnsi="Amiri" w:eastAsia="Amiri" w:cs="Amiri"/>
          <w:color w:val="111111"/>
          <w:sz w:val="28"/>
          <w:sz w:val="28"/>
          <w:szCs w:val="28"/>
          <w:rtl w:val="true"/>
          <w:lang w:bidi="ar-SA"/>
        </w:rPr>
        <w:t>، هذا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الروایة و التی تدلّ علی أنّ حدّ البلوغ فی الإناث إکمال التسع تکونان مثبتتین فلا تنافی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لیست فی مقام بیان حدّ البلوغ بالسنّ، لأنّه یحتمل أن یکون المقصود منها أنّ الیتیمة إن کانت بالغة و تزوّجت فقد انقطعت ولایة الوصیّ عنها، و هذا بقرینة ما تقدّم من النصوص الصحیحة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روایة الحسن بن راشد عن العسکری علیه السلام التی یستفاد منها أنّ حدّ البلوغ فی الاُنثی سبع سنین،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الغلام ثمان سنین فجائز أمره فی ماله و قد وجب علیه الفرائض و الحدود، و إذا تمّ للجاریة سبع سنین فکذلک</w:t>
      </w:r>
      <w:r>
        <w:rPr>
          <w:rFonts w:eastAsia="IRNazanin" w:cs="IRNazanin"/>
          <w:color w:val="111111"/>
          <w:sz w:val="28"/>
          <w:szCs w:val="28"/>
          <w:rtl w:val="true"/>
          <w:lang w:bidi="fa-IR"/>
        </w:rPr>
        <w:t>»</w:t>
      </w:r>
      <w:r>
        <w:rPr>
          <w:rStyle w:val="FootnoteAnchor"/>
          <w:rtl w:val="true"/>
        </w:rPr>
        <w:footnoteReference w:id="930"/>
      </w:r>
      <w:r>
        <w:rPr>
          <w:rFonts w:ascii="IRNazanin" w:hAnsi="IRNazanin" w:eastAsia="IRNazanin"/>
          <w:color w:val="111111"/>
          <w:sz w:val="28"/>
          <w:sz w:val="28"/>
          <w:szCs w:val="28"/>
          <w:rtl w:val="true"/>
          <w:lang w:bidi="fa-IR"/>
        </w:rPr>
        <w:t>فضعیفة سنداً، و أعرض عنها الأصحاب، مضافاً إلی أنّها معارضة بما تقدّم من الصحاح التی یجب تقدیمها علیها؛ لموافقتها للشهرة العظیمة و الإجماع</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فالنصوص مختلفة اختلافاً لا یُرجی جمعه بنحو ذلک، و إنّما الواجب النظر فی أخبار المسألة بالنسبة إلی المکافأة و عدمها، ثمّ الأخذ بالراجح و ترک المرجوح، أو تأویل ما یمکن فیه منه بالحمل علی التمرین و التأدیب، أو غیر ذلک، کما فعله الأصحاب، و قد بان لک بحمد اللّه الراجح منها و المرجوح، و اللّه أعلم بحقیقة الحال</w:t>
      </w:r>
      <w:r>
        <w:rPr>
          <w:rFonts w:eastAsia="IRNazanin" w:cs="IRNazanin"/>
          <w:color w:val="111111"/>
          <w:sz w:val="28"/>
          <w:szCs w:val="28"/>
          <w:rtl w:val="true"/>
          <w:lang w:bidi="fa-IR"/>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bookmarkStart w:id="257" w:name="pg11757_135551"/>
    </w:p>
    <w:p>
      <w:pPr>
        <w:pStyle w:val="BookText"/>
        <w:rPr/>
      </w:pPr>
      <w:bookmarkEnd w:id="257"/>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النصوص المستفیضة و الإجماع القطعی و الشهرة العظیمة تدلّ علی أنّ سنّ البلوغ فی الاُنثی إکمال تسع، و للبحث فی المسألة مجال</w:t>
      </w:r>
      <w:r>
        <w:rPr>
          <w:rFonts w:eastAsia="IRNazanin" w:cs="IRNazanin"/>
          <w:color w:val="111111"/>
          <w:sz w:val="28"/>
          <w:szCs w:val="28"/>
          <w:rtl w:val="true"/>
          <w:lang w:bidi="fa-IR"/>
        </w:rPr>
        <w:t>.</w:t>
      </w:r>
    </w:p>
    <w:p>
      <w:pPr>
        <w:pStyle w:val="Heading6"/>
        <w:numPr>
          <w:ilvl w:val="5"/>
          <w:numId w:val="1"/>
        </w:numPr>
        <w:rPr/>
      </w:pPr>
      <w:bookmarkStart w:id="258" w:name="__RefHeading___Toc9696703_73709187"/>
      <w:bookmarkStart w:id="259" w:name="_Toc95"/>
      <w:bookmarkEnd w:id="258"/>
      <w:r>
        <w:rPr>
          <w:rtl w:val="true"/>
        </w:rPr>
        <w:t>اُمور هامّة ینبغی التنبیه علیها</w:t>
      </w:r>
      <w:bookmarkEnd w:id="259"/>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کلمة البلوغ هل هی موضوع شرعی أو عرفی؟ و علی الأوّل فهل هو من الموضوعات العرفیّة المستنبطة التی تکون للشارع دخل فی بیانها و تعیین حقیقتها؟ یبدو أنّها بعنوانها لم تکن مستعملة فی کلام الشارع، و أمّا فی مثل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بَلَغُوا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بَلَغَ الْأَطْفالُ مِنْکُمُ الْحُلُمَ فَلْیَسْتَأْذِنُوا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فیراد بها البلوغ بمعناه اللغوی؛ لأنّ البلوغ الشرعی یستفاد من البلوغ المضاف إلی النکاح أو الحلم، و أمّا الروایات فالتعبیر فیها بین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القلم عن الصبیّ حتّی یحتلم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یتم بعد الاحتلام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 ذلک، و لیس فیها التعبیر بالبلوغ بعنوانه، و علیه فیحتمل قویّاً أن یکون البلوغ له معنیً عرفی، و الأمارات الثلاثة المجعولة من قبل الشارع أمارات شرعیّة لهذا الأمر العرفی الذی یکون مختلفاً حسب اختلاف المناطق أو اختلاف الأفراد، و السرّ فی جعل الأمارة الشرعیّة لهذا الأمر العرفی خفاؤه علی نفس العرف، و لا أقلّ بحسب الاختلاف المذکور، نظیر جعل الأمارة الشرعیّة علی العدالة التی هی أمر شرعیّ، لأجل خفائها و کونها من الاُمور الباطنیّة و الملکات النفسانیّة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التعبیر بالبلوغ اقتباس من الأمارة الثالثة التی هی بلوغ السنّ المذکور أو من الآیتین المذکورتین، و إلّا فقد عرفت عدم وقوع هذا العنوان بإطلاقه فی شیء من الأدلّة الشرعیّة، لکنّ الأمر سهل بعد عدم ترتّب ثمرة</w:t>
      </w:r>
      <w:bookmarkStart w:id="260" w:name="pg11757_135552"/>
    </w:p>
    <w:p>
      <w:pPr>
        <w:pStyle w:val="BookText"/>
        <w:rPr/>
      </w:pPr>
      <w:bookmarkEnd w:id="260"/>
      <w:r>
        <w:rPr>
          <w:rFonts w:ascii="IRNazanin" w:hAnsi="IRNazanin" w:eastAsia="IRNazanin"/>
          <w:color w:val="111111"/>
          <w:sz w:val="28"/>
          <w:sz w:val="28"/>
          <w:szCs w:val="28"/>
          <w:rtl w:val="true"/>
          <w:lang w:bidi="fa-IR"/>
        </w:rPr>
        <w:t>مهمّة علی هذا البحث؛ لعدم ثبوت قلم التکلیف مع عدم شیء من الأمارات الثلاثة المتقدّمة، و ثبوته مع وجود واحد منها، کما فی تفصیل الشریعة</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 w:name="__RefHeading___Toc9696705_73709187"/>
      <w:bookmarkStart w:id="262" w:name="_Toc96"/>
      <w:bookmarkEnd w:id="261"/>
      <w:r>
        <w:rPr>
          <w:rtl w:val="true"/>
        </w:rPr>
        <w:t>الأمر الثانی</w:t>
      </w:r>
      <w:r>
        <w:rPr>
          <w:rtl w:val="true"/>
        </w:rPr>
        <w:t xml:space="preserve">: </w:t>
      </w:r>
      <w:r>
        <w:rPr>
          <w:rtl w:val="true"/>
        </w:rPr>
        <w:t>هل یکفی الدخول فی الخمس عشرة و التسع؟</w:t>
      </w:r>
      <w:bookmarkEnd w:id="262"/>
    </w:p>
    <w:p>
      <w:pPr>
        <w:pStyle w:val="Heading6"/>
        <w:numPr>
          <w:ilvl w:val="5"/>
          <w:numId w:val="1"/>
        </w:numPr>
        <w:rPr/>
      </w:pPr>
      <w:bookmarkStart w:id="263" w:name="__RefHeading___Toc9696707_73709187"/>
      <w:bookmarkStart w:id="264" w:name="_Toc97"/>
      <w:bookmarkEnd w:id="263"/>
      <w:r>
        <w:rPr>
          <w:rtl w:val="true"/>
        </w:rPr>
        <w:t>اشارة</w:t>
      </w:r>
      <w:bookmarkEnd w:id="264"/>
    </w:p>
    <w:p>
      <w:pPr>
        <w:pStyle w:val="BookText"/>
        <w:rPr/>
      </w:pP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اعتبار الإکمال و لا یکفی الدخول، و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یحصل البلوغ بنفس الطعن</w:t>
      </w:r>
      <w:r>
        <w:rPr>
          <w:rStyle w:val="FootnoteAnchor"/>
          <w:rtl w:val="true"/>
        </w:rPr>
        <w:footnoteReference w:id="933"/>
      </w:r>
      <w:r>
        <w:rPr>
          <w:rFonts w:ascii="IRNazanin" w:hAnsi="IRNazanin" w:eastAsia="IRNazanin"/>
          <w:color w:val="111111"/>
          <w:sz w:val="28"/>
          <w:sz w:val="28"/>
          <w:szCs w:val="28"/>
          <w:rtl w:val="true"/>
          <w:lang w:bidi="fa-IR"/>
        </w:rPr>
        <w:t>فی السنّ الخامسة عشر إذا لم یستکملها</w:t>
      </w:r>
      <w:r>
        <w:rPr>
          <w:rFonts w:eastAsia="IRNazanin" w:cs="IRNazanin"/>
          <w:color w:val="111111"/>
          <w:sz w:val="28"/>
          <w:szCs w:val="28"/>
          <w:rtl w:val="true"/>
          <w:lang w:bidi="fa-IR"/>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جامع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 من استکمال السنة الأخیرة، فلا یکفی الطعن فیها</w:t>
      </w:r>
      <w:r>
        <w:rPr>
          <w:rFonts w:eastAsia="IRNazanin" w:cs="IRNazanin"/>
          <w:color w:val="111111"/>
          <w:sz w:val="28"/>
          <w:szCs w:val="28"/>
          <w:rtl w:val="true"/>
          <w:lang w:bidi="fa-IR"/>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یعتبر إکمال السنة الخامسة عشر و التاسعة فی الاُنثی، فلا یکفی الطعن فیها</w:t>
      </w:r>
      <w:r>
        <w:rPr>
          <w:rFonts w:eastAsia="IRNazanin" w:cs="IRNazanin"/>
          <w:color w:val="111111"/>
          <w:sz w:val="28"/>
          <w:szCs w:val="28"/>
          <w:rtl w:val="true"/>
          <w:lang w:bidi="fa-IR"/>
        </w:rPr>
        <w:t>»</w:t>
      </w:r>
      <w:r>
        <w:rPr>
          <w:rStyle w:val="FootnoteAnchor"/>
          <w:rtl w:val="true"/>
        </w:rPr>
        <w:footnoteReference w:id="936"/>
      </w:r>
      <w:r>
        <w:rPr>
          <w:rFonts w:ascii="IRNazanin" w:hAnsi="IRNazanin" w:eastAsia="IRNazanin"/>
          <w:color w:val="111111"/>
          <w:sz w:val="28"/>
          <w:sz w:val="28"/>
          <w:szCs w:val="28"/>
          <w:rtl w:val="true"/>
          <w:lang w:bidi="fa-IR"/>
        </w:rPr>
        <w:t>، و هو الظاهر من المبسوط‌</w:t>
      </w:r>
      <w:r>
        <w:rPr>
          <w:rStyle w:val="FootnoteAnchor"/>
          <w:rtl w:val="true"/>
        </w:rPr>
        <w:footnoteReference w:id="937"/>
      </w:r>
      <w:r>
        <w:rPr>
          <w:rFonts w:ascii="IRNazanin" w:hAnsi="IRNazanin" w:eastAsia="IRNazanin"/>
          <w:color w:val="111111"/>
          <w:sz w:val="28"/>
          <w:sz w:val="28"/>
          <w:szCs w:val="28"/>
          <w:rtl w:val="true"/>
          <w:lang w:bidi="fa-IR"/>
        </w:rPr>
        <w:t>و الشرائع</w:t>
      </w:r>
      <w:r>
        <w:rPr>
          <w:rStyle w:val="FootnoteAnchor"/>
          <w:rtl w:val="true"/>
        </w:rPr>
        <w:footnoteReference w:id="938"/>
      </w:r>
      <w:r>
        <w:rPr>
          <w:rFonts w:ascii="IRNazanin" w:hAnsi="IRNazanin" w:eastAsia="IRNazanin"/>
          <w:color w:val="111111"/>
          <w:sz w:val="28"/>
          <w:sz w:val="28"/>
          <w:szCs w:val="28"/>
          <w:rtl w:val="true"/>
          <w:lang w:bidi="fa-IR"/>
        </w:rPr>
        <w:t>و الغنیة</w:t>
      </w:r>
      <w:r>
        <w:rPr>
          <w:rStyle w:val="FootnoteAnchor"/>
          <w:rtl w:val="true"/>
        </w:rPr>
        <w:footnoteReference w:id="939"/>
      </w:r>
      <w:r>
        <w:rPr>
          <w:rFonts w:ascii="IRNazanin" w:hAnsi="IRNazanin" w:eastAsia="IRNazanin"/>
          <w:color w:val="111111"/>
          <w:sz w:val="28"/>
          <w:sz w:val="28"/>
          <w:szCs w:val="28"/>
          <w:rtl w:val="true"/>
          <w:lang w:bidi="fa-IR"/>
        </w:rPr>
        <w:t>و الجامع للشرائع</w:t>
      </w:r>
      <w:r>
        <w:rPr>
          <w:rStyle w:val="FootnoteAnchor"/>
          <w:rtl w:val="true"/>
        </w:rPr>
        <w:footnoteReference w:id="940"/>
      </w:r>
      <w:r>
        <w:rPr>
          <w:rFonts w:ascii="IRNazanin" w:hAnsi="IRNazanin" w:eastAsia="IRNazanin"/>
          <w:color w:val="111111"/>
          <w:sz w:val="28"/>
          <w:sz w:val="28"/>
          <w:szCs w:val="28"/>
          <w:rtl w:val="true"/>
          <w:lang w:bidi="fa-IR"/>
        </w:rPr>
        <w:t>و المهذّب البارع</w:t>
      </w:r>
      <w:r>
        <w:rPr>
          <w:rStyle w:val="FootnoteAnchor"/>
          <w:rtl w:val="true"/>
        </w:rPr>
        <w:footnoteReference w:id="9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ذلک مذهب</w:t>
      </w:r>
      <w:bookmarkStart w:id="265" w:name="pg11757_135553"/>
    </w:p>
    <w:p>
      <w:pPr>
        <w:pStyle w:val="BookText"/>
        <w:rPr/>
      </w:pPr>
      <w:bookmarkEnd w:id="265"/>
      <w:r>
        <w:rPr>
          <w:rFonts w:ascii="Amiri" w:hAnsi="Amiri" w:eastAsia="Amiri" w:cs="Amiri"/>
          <w:color w:val="111111"/>
          <w:sz w:val="28"/>
          <w:sz w:val="28"/>
          <w:szCs w:val="28"/>
          <w:rtl w:val="true"/>
          <w:lang w:bidi="ar-SA"/>
        </w:rPr>
        <w:t>الأصحاب کافّةً</w:t>
      </w:r>
      <w:r>
        <w:rPr>
          <w:rFonts w:eastAsia="Amiri" w:cs="Amiri" w:ascii="Amiri" w:hAnsi="Amiri"/>
          <w:color w:val="111111"/>
          <w:sz w:val="28"/>
          <w:szCs w:val="28"/>
          <w:rtl w:val="true"/>
          <w:lang w:bidi="ar-SA"/>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ریب فی أنّ المفهوم من کلام الأصحاب اعتبار الإکمال، و أنّه لا یکفی الدخول</w:t>
      </w:r>
      <w:r>
        <w:rPr>
          <w:rFonts w:eastAsia="IRNazanin" w:cs="IRNazanin"/>
          <w:color w:val="111111"/>
          <w:sz w:val="28"/>
          <w:szCs w:val="28"/>
          <w:rtl w:val="true"/>
          <w:lang w:bidi="fa-IR"/>
        </w:rPr>
        <w:t>»</w:t>
      </w:r>
      <w:r>
        <w:rPr>
          <w:rStyle w:val="FootnoteAnchor"/>
          <w:rtl w:val="true"/>
        </w:rPr>
        <w:footnoteReference w:id="943"/>
      </w:r>
      <w:r>
        <w:rPr>
          <w:rFonts w:ascii="IRNazanin" w:hAnsi="IRNazanin" w:eastAsia="IRNazanin"/>
          <w:color w:val="111111"/>
          <w:sz w:val="28"/>
          <w:sz w:val="28"/>
          <w:szCs w:val="28"/>
          <w:rtl w:val="true"/>
          <w:lang w:bidi="fa-IR"/>
        </w:rPr>
        <w:t>، و صرّح به أیضاً الشیخ الأعظم</w:t>
      </w:r>
      <w:r>
        <w:rPr>
          <w:rStyle w:val="FootnoteAnchor"/>
          <w:rtl w:val="true"/>
        </w:rPr>
        <w:footnoteReference w:id="944"/>
      </w:r>
      <w:r>
        <w:rPr>
          <w:rFonts w:ascii="IRNazanin" w:hAnsi="IRNazanin" w:eastAsia="IRNazanin"/>
          <w:color w:val="111111"/>
          <w:sz w:val="28"/>
          <w:sz w:val="28"/>
          <w:szCs w:val="28"/>
          <w:rtl w:val="true"/>
          <w:lang w:bidi="fa-IR"/>
        </w:rPr>
        <w:t>و بعض أعلام العصر</w:t>
      </w:r>
      <w:r>
        <w:rPr>
          <w:rStyle w:val="FootnoteAnchor"/>
          <w:rtl w:val="true"/>
        </w:rPr>
        <w:footnoteReference w:id="945"/>
      </w:r>
      <w:r>
        <w:rPr>
          <w:rFonts w:ascii="IRNazanin" w:hAnsi="IRNazanin" w:eastAsia="IRNazanin"/>
          <w:color w:val="111111"/>
          <w:sz w:val="28"/>
          <w:sz w:val="28"/>
          <w:szCs w:val="28"/>
          <w:rtl w:val="true"/>
          <w:lang w:bidi="fa-IR"/>
        </w:rPr>
        <w:t>و غیرهم</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6" w:name="__RefHeading___Toc9696709_73709187"/>
      <w:bookmarkStart w:id="267" w:name="_Toc98"/>
      <w:bookmarkEnd w:id="266"/>
      <w:r>
        <w:rPr>
          <w:rtl w:val="true"/>
        </w:rPr>
        <w:t>أدلّة عدم کفایة الدخول فی الخمس عشرة أو التسع</w:t>
      </w:r>
      <w:bookmarkEnd w:id="267"/>
    </w:p>
    <w:p>
      <w:pPr>
        <w:pStyle w:val="BookText"/>
        <w:rPr/>
      </w:pPr>
      <w:r>
        <w:rPr>
          <w:rFonts w:ascii="IRNazanin" w:hAnsi="IRNazanin" w:eastAsia="IRNazanin"/>
          <w:color w:val="111111"/>
          <w:sz w:val="28"/>
          <w:sz w:val="28"/>
          <w:szCs w:val="28"/>
          <w:rtl w:val="true"/>
          <w:lang w:bidi="fa-IR"/>
        </w:rPr>
        <w:t>و یمکن أن یستدلّ للحکم المذکور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عملاً بالاستصحاب و فتوی الأصحاب</w:t>
      </w:r>
      <w:r>
        <w:rPr>
          <w:rFonts w:eastAsia="IRNazanin" w:cs="IRNazanin"/>
          <w:color w:val="111111"/>
          <w:sz w:val="28"/>
          <w:szCs w:val="28"/>
          <w:rtl w:val="true"/>
          <w:lang w:bidi="fa-IR"/>
        </w:rPr>
        <w:t>»</w:t>
      </w:r>
      <w:r>
        <w:rPr>
          <w:rStyle w:val="FootnoteAnchor"/>
          <w:rtl w:val="true"/>
        </w:rPr>
        <w:footnoteReference w:id="947"/>
      </w:r>
      <w:r>
        <w:rPr>
          <w:rFonts w:ascii="IRNazanin" w:hAnsi="IRNazanin" w:eastAsia="IRNazanin"/>
          <w:color w:val="111111"/>
          <w:sz w:val="28"/>
          <w:sz w:val="28"/>
          <w:szCs w:val="28"/>
          <w:rtl w:val="true"/>
          <w:lang w:bidi="fa-IR"/>
        </w:rPr>
        <w:t>، أی عدم رفع الحجر قبل إکمال السنة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جامع المقاصد</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کما هو الظاهر أیضاً من التذکرة</w:t>
      </w:r>
      <w:r>
        <w:rPr>
          <w:rStyle w:val="FootnoteAnchor"/>
          <w:rtl w:val="true"/>
        </w:rPr>
        <w:footnoteReference w:id="949"/>
      </w:r>
      <w:r>
        <w:rPr>
          <w:rFonts w:ascii="IRNazanin" w:hAnsi="IRNazanin" w:eastAsia="IRNazanin"/>
          <w:color w:val="111111"/>
          <w:sz w:val="28"/>
          <w:sz w:val="28"/>
          <w:szCs w:val="28"/>
          <w:rtl w:val="true"/>
          <w:lang w:bidi="fa-IR"/>
        </w:rPr>
        <w:t>و الغنیة</w:t>
      </w:r>
      <w:r>
        <w:rPr>
          <w:rStyle w:val="FootnoteAnchor"/>
          <w:rtl w:val="true"/>
        </w:rPr>
        <w:footnoteReference w:id="950"/>
      </w:r>
      <w:r>
        <w:rPr>
          <w:rFonts w:ascii="IRNazanin" w:hAnsi="IRNazanin" w:eastAsia="IRNazanin"/>
          <w:color w:val="111111"/>
          <w:sz w:val="28"/>
          <w:sz w:val="28"/>
          <w:szCs w:val="28"/>
          <w:rtl w:val="true"/>
          <w:lang w:bidi="fa-IR"/>
        </w:rPr>
        <w:t>و الریاض</w:t>
      </w:r>
      <w:r>
        <w:rPr>
          <w:rStyle w:val="FootnoteAnchor"/>
          <w:rtl w:val="true"/>
        </w:rPr>
        <w:footnoteReference w:id="951"/>
      </w:r>
      <w:r>
        <w:rPr>
          <w:rFonts w:ascii="IRNazanin" w:hAnsi="IRNazanin" w:eastAsia="IRNazanin"/>
          <w:color w:val="111111"/>
          <w:sz w:val="28"/>
          <w:sz w:val="28"/>
          <w:szCs w:val="28"/>
          <w:rtl w:val="true"/>
          <w:lang w:bidi="fa-IR"/>
        </w:rPr>
        <w:t>و مفتاح الکرامة</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إثبات الإجماع فی المقام، و علی فرض ثبوته فهو مدرکیّ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الداخل فی السنة الأخیرة لا یسمّی ابن خمس عشرة سنة لغة</w:t>
      </w:r>
    </w:p>
    <w:p>
      <w:pPr>
        <w:pStyle w:val="BookText"/>
        <w:rPr/>
      </w:pPr>
      <w:r>
        <w:rPr>
          <w:rFonts w:ascii="IRNazanin" w:hAnsi="IRNazanin" w:eastAsia="IRNazanin"/>
          <w:color w:val="111111"/>
          <w:sz w:val="28"/>
          <w:sz w:val="28"/>
          <w:szCs w:val="28"/>
          <w:rtl w:val="true"/>
          <w:lang w:bidi="fa-IR"/>
        </w:rPr>
        <w:t>و لا عرفاً، کما فی المسالک</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بحکم التبادر و الصدق عرفاً و عادةً إنّما هو السنتان کاملةً</w:t>
      </w:r>
      <w:r>
        <w:rPr>
          <w:rFonts w:eastAsia="IRNazanin" w:cs="IRNazanin"/>
          <w:color w:val="111111"/>
          <w:sz w:val="28"/>
          <w:szCs w:val="28"/>
          <w:rtl w:val="true"/>
          <w:lang w:bidi="fa-IR"/>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الفرق بین بلوغ الشیء و بین البلوغ إلی الشیء، فإنّ المفهوم من الثانی خروج الشیء الذی جعل غایة، بخلاف الأوّل فإنّ المتبادر منه بلوغ أقصاه و الوصول إلی منتهاه، و مرجعه إلی حصول ذلک الشیء دون الوصول إلیه، کما فی المناهل</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ابن محبوب المتقدّمة،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من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یجب علی الغلام أن یؤخذ بالحدود التامّة؟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احتلم أو بلغ خمس عشرة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جواب من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الجاریة متی تجب علیها الحدود التامّة؟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الجاریة إذا تزوّجت و دخل بها و لها تسع سنین ذهب عنها الیتم</w:t>
      </w:r>
      <w:r>
        <w:rPr>
          <w:rFonts w:eastAsia="IRNazanin" w:cs="IRNazanin"/>
          <w:color w:val="111111"/>
          <w:sz w:val="28"/>
          <w:szCs w:val="28"/>
          <w:rtl w:val="true"/>
          <w:lang w:bidi="fa-IR"/>
        </w:rPr>
        <w:t>»</w:t>
      </w:r>
      <w:r>
        <w:rPr>
          <w:rStyle w:val="FootnoteAnchor"/>
          <w:rtl w:val="true"/>
        </w:rPr>
        <w:footnoteReference w:id="956"/>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الکناسیّ المتقدّمة،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دخَلت علی زوجها و لها تسع سنین ذهب عنها الیتم و دفع إلیها مالها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 و بلغ خمس عشرة سنة</w:t>
      </w:r>
      <w:r>
        <w:rPr>
          <w:rFonts w:eastAsia="IRNazanin" w:cs="IRNazanin"/>
          <w:color w:val="111111"/>
          <w:sz w:val="28"/>
          <w:szCs w:val="28"/>
          <w:rtl w:val="true"/>
          <w:lang w:bidi="fa-IR"/>
        </w:rPr>
        <w:t>»</w:t>
      </w:r>
      <w:r>
        <w:rPr>
          <w:rStyle w:val="FootnoteAnchor"/>
          <w:rtl w:val="true"/>
        </w:rPr>
        <w:footnoteReference w:id="957"/>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فإنّهما ظاهرتان فی أنّ بلوغ الذکر ببلوغ الخمس عشرة، و فی الاُنثی ببلوغ تسع سنین؛ لأنّ المتبادر منهما هو إکمالها دون الأخذ فیهما</w:t>
      </w:r>
      <w:r>
        <w:rPr>
          <w:rFonts w:eastAsia="IRNazanin" w:cs="IRNazanin"/>
          <w:color w:val="111111"/>
          <w:sz w:val="28"/>
          <w:szCs w:val="28"/>
          <w:rtl w:val="true"/>
          <w:lang w:bidi="fa-IR"/>
        </w:rPr>
        <w:t>.</w:t>
      </w:r>
      <w:bookmarkStart w:id="268" w:name="pg11757_135555"/>
    </w:p>
    <w:p>
      <w:pPr>
        <w:pStyle w:val="BookText"/>
        <w:rPr/>
      </w:pPr>
      <w:bookmarkEnd w:id="268"/>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العمومات المتقدّمة الدالّة علی عدم تحقّق البلوغ إلاّ بالاحتلام</w:t>
      </w:r>
      <w:r>
        <w:rPr>
          <w:rStyle w:val="FootnoteAnchor"/>
          <w:rtl w:val="true"/>
        </w:rPr>
        <w:footnoteReference w:id="958"/>
      </w:r>
      <w:r>
        <w:rPr>
          <w:rFonts w:ascii="IRNazanin" w:hAnsi="IRNazanin" w:eastAsia="IRNazanin"/>
          <w:color w:val="111111"/>
          <w:sz w:val="28"/>
          <w:sz w:val="28"/>
          <w:szCs w:val="28"/>
          <w:rtl w:val="true"/>
          <w:lang w:bidi="fa-IR"/>
        </w:rPr>
        <w:t>، خرج منها صورة کمال السنّ بالإجماع، و لا دلیل علی خروج غیره فیبقی مندرجاً تحتها کما فی المناهل</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الأعظم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یدلّ علی هذا القول مضافاً إلی الاُصول الکثیرة و عموم ما دلّ من الکتاب و السنة علی عدم انقطاع الصبا إلی أن یحتلم، خرج من أکمل الخمس عشرة و بقی الباقی</w:t>
      </w:r>
      <w:r>
        <w:rPr>
          <w:rFonts w:eastAsia="IRNazanin" w:cs="IRNazanin"/>
          <w:color w:val="111111"/>
          <w:sz w:val="28"/>
          <w:szCs w:val="28"/>
          <w:rtl w:val="true"/>
          <w:lang w:bidi="fa-IR"/>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استکمل المولود خمس عشرة سنة کتب ما له و ما علیه، و اقیمت علیه الحدود</w:t>
      </w:r>
      <w:r>
        <w:rPr>
          <w:rFonts w:eastAsia="IRNazanin" w:cs="IRNazanin"/>
          <w:color w:val="111111"/>
          <w:sz w:val="28"/>
          <w:szCs w:val="28"/>
          <w:rtl w:val="true"/>
          <w:lang w:bidi="fa-IR"/>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 بها الشیخ الأعظم</w:t>
      </w:r>
      <w:r>
        <w:rPr>
          <w:rStyle w:val="FootnoteAnchor"/>
          <w:rtl w:val="true"/>
        </w:rPr>
        <w:footnoteReference w:id="962"/>
      </w:r>
      <w:r>
        <w:rPr>
          <w:rFonts w:ascii="IRNazanin" w:hAnsi="IRNazanin" w:eastAsia="IRNazanin"/>
          <w:color w:val="111111"/>
          <w:sz w:val="28"/>
          <w:sz w:val="28"/>
          <w:szCs w:val="28"/>
          <w:rtl w:val="true"/>
          <w:lang w:bidi="fa-IR"/>
        </w:rPr>
        <w:t>، و کذا فی الریاض</w:t>
      </w:r>
      <w:r>
        <w:rPr>
          <w:rStyle w:val="FootnoteAnchor"/>
          <w:rtl w:val="true"/>
        </w:rPr>
        <w:footnoteReference w:id="963"/>
      </w:r>
      <w:r>
        <w:rPr>
          <w:rFonts w:ascii="IRNazanin" w:hAnsi="IRNazanin" w:eastAsia="IRNazanin"/>
          <w:color w:val="111111"/>
          <w:sz w:val="28"/>
          <w:sz w:val="28"/>
          <w:szCs w:val="28"/>
          <w:rtl w:val="true"/>
          <w:lang w:bidi="fa-IR"/>
        </w:rPr>
        <w:t>و مفتاح الکرامة</w:t>
      </w:r>
      <w:r>
        <w:rPr>
          <w:rStyle w:val="FootnoteAnchor"/>
          <w:rtl w:val="true"/>
        </w:rPr>
        <w:footnoteReference w:id="964"/>
      </w:r>
      <w:r>
        <w:rPr>
          <w:rFonts w:ascii="IRNazanin" w:hAnsi="IRNazanin" w:eastAsia="IRNazanin"/>
          <w:color w:val="111111"/>
          <w:sz w:val="28"/>
          <w:sz w:val="28"/>
          <w:szCs w:val="28"/>
          <w:rtl w:val="true"/>
          <w:lang w:bidi="fa-IR"/>
        </w:rPr>
        <w:t>، و دلالتها صریحة علی المطلوب إلاّ أنّها ضعیفة سنداً</w:t>
      </w:r>
      <w:r>
        <w:rPr>
          <w:rFonts w:eastAsia="IRNazanin" w:cs="IRNazanin"/>
          <w:color w:val="111111"/>
          <w:sz w:val="28"/>
          <w:szCs w:val="28"/>
          <w:rtl w:val="true"/>
          <w:lang w:bidi="fa-IR"/>
        </w:rPr>
        <w:t>.</w:t>
      </w:r>
    </w:p>
    <w:p>
      <w:pPr>
        <w:pStyle w:val="Heading5"/>
        <w:numPr>
          <w:ilvl w:val="4"/>
          <w:numId w:val="1"/>
        </w:numPr>
        <w:rPr/>
      </w:pPr>
      <w:bookmarkStart w:id="269" w:name="__RefHeading___Toc9696711_73709187"/>
      <w:bookmarkStart w:id="270" w:name="_Toc99"/>
      <w:bookmarkEnd w:id="269"/>
      <w:r>
        <w:rPr>
          <w:rtl w:val="true"/>
        </w:rPr>
        <w:t>القول الثانی</w:t>
      </w:r>
      <w:r>
        <w:rPr>
          <w:rtl w:val="true"/>
        </w:rPr>
        <w:t xml:space="preserve">: </w:t>
      </w:r>
      <w:r>
        <w:rPr>
          <w:rtl w:val="true"/>
        </w:rPr>
        <w:t>عدم اعتبار الإکمال</w:t>
      </w:r>
      <w:bookmarkEnd w:id="270"/>
    </w:p>
    <w:p>
      <w:pPr>
        <w:pStyle w:val="Heading6"/>
        <w:numPr>
          <w:ilvl w:val="5"/>
          <w:numId w:val="1"/>
        </w:numPr>
        <w:rPr/>
      </w:pPr>
      <w:bookmarkStart w:id="271" w:name="__RefHeading___Toc9696713_73709187"/>
      <w:bookmarkStart w:id="272" w:name="_Toc100"/>
      <w:bookmarkEnd w:id="271"/>
      <w:r>
        <w:rPr>
          <w:rtl w:val="true"/>
        </w:rPr>
        <w:t>اشارة</w:t>
      </w:r>
      <w:bookmarkEnd w:id="27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المحقّق الأردبیلی إلی أنّه لا یعتبر إکمال السنة الأخیرة، بل یکفی الدخول فیها،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أنّه لا یشترط إکمال خمس عشرة، بل</w:t>
      </w:r>
    </w:p>
    <w:p>
      <w:pPr>
        <w:pStyle w:val="BookText"/>
        <w:rPr/>
      </w:pPr>
      <w:r>
        <w:rPr>
          <w:rFonts w:ascii="IRNazanin" w:hAnsi="IRNazanin" w:eastAsia="IRNazanin"/>
          <w:color w:val="111111"/>
          <w:sz w:val="28"/>
          <w:sz w:val="28"/>
          <w:szCs w:val="28"/>
          <w:rtl w:val="true"/>
          <w:lang w:bidi="fa-IR"/>
        </w:rPr>
        <w:t>یحصل بالشروع فیه، و إکمال أربع عشرة، و بذلک یمکن الجمع</w:t>
      </w:r>
      <w:r>
        <w:rPr>
          <w:rStyle w:val="FootnoteAnchor"/>
          <w:rtl w:val="true"/>
        </w:rPr>
        <w:footnoteReference w:id="965"/>
      </w:r>
      <w:r>
        <w:rPr>
          <w:rFonts w:ascii="IRNazanin" w:hAnsi="IRNazanin" w:eastAsia="IRNazanin"/>
          <w:color w:val="111111"/>
          <w:sz w:val="28"/>
          <w:sz w:val="28"/>
          <w:szCs w:val="28"/>
          <w:rtl w:val="true"/>
          <w:lang w:bidi="fa-IR"/>
        </w:rPr>
        <w:t>بین الأخبار</w:t>
      </w:r>
      <w:r>
        <w:rPr>
          <w:rFonts w:eastAsia="IRNazanin" w:cs="IRNazanin"/>
          <w:color w:val="111111"/>
          <w:sz w:val="28"/>
          <w:szCs w:val="28"/>
          <w:rtl w:val="true"/>
          <w:lang w:bidi="fa-IR"/>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عبارات الأصحاب الاکتفاء بمجرّد الدخول، و هو ظاهر الأخبار، حیث صرّحت بأنّ بلوغ الخمس عشرة موجب للبلوغ، و ظاهره هو الاکتفاء بالدخول فیها و إن لم یتمّها</w:t>
      </w:r>
      <w:r>
        <w:rPr>
          <w:rFonts w:eastAsia="IRNazanin" w:cs="IRNazanin"/>
          <w:color w:val="111111"/>
          <w:sz w:val="28"/>
          <w:szCs w:val="28"/>
          <w:rtl w:val="true"/>
          <w:lang w:bidi="fa-IR"/>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خلاف ظاهر الأخبار و ما صرّح به الأصحاب، أو یفهم من کلماتهم بالتقریب المتقدّم، فإذا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آجر زید داره سنتین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أرضعت الاُمّ ولدها سنتین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العرف منه السنتین الکاملتین، فکذا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مناقشة بعض الأجلّة فی ذلک و احتماله الاکتفاء بالطعن عن الکمال واهیة</w:t>
      </w:r>
      <w:r>
        <w:rPr>
          <w:rFonts w:eastAsia="IRNazanin" w:cs="IRNazanin"/>
          <w:color w:val="111111"/>
          <w:sz w:val="28"/>
          <w:szCs w:val="28"/>
          <w:rtl w:val="true"/>
          <w:lang w:bidi="fa-IR"/>
        </w:rPr>
        <w:t>»</w:t>
      </w:r>
      <w:r>
        <w:rPr>
          <w:rStyle w:val="FootnoteAnchor"/>
          <w:rtl w:val="true"/>
        </w:rPr>
        <w:footnoteReference w:id="968"/>
      </w:r>
      <w:r>
        <w:rPr>
          <w:rFonts w:ascii="IRNazanin" w:hAnsi="IRNazanin" w:eastAsia="IRNazanin"/>
          <w:color w:val="111111"/>
          <w:sz w:val="28"/>
          <w:sz w:val="28"/>
          <w:szCs w:val="28"/>
          <w:rtl w:val="true"/>
          <w:lang w:bidi="fa-IR"/>
        </w:rPr>
        <w:t>، و قریب من هذا فی مفتاح الکرامة</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المختار من اعتبار الکمال فی السنّ یعتبر الکمال العرفی لا الحقیقی العقلی؛ لأنّه یصدق عرفاً أنّ الذّکر ابن خمس عشرة، و أنّ الاُنثی بنت تسع سنین مع بقاء لحظة، فیحکم بالبلوغ، لإطلاق النصوص و الفتاوی، و کون المرجع فی الکتاب و السنّة هو العرف و اللّغة، و لا دلیل علی أنّ المعتبر هو الکمال الحقیقی، سوی العمومات الدالّة علی أنّ البلوغ لا یحصل إلّا بالاحتلام، و لکن ینبغی تخصیصها بالإطلاق المذکور، کما فی المناهل</w:t>
      </w:r>
      <w:r>
        <w:rPr>
          <w:rStyle w:val="FootnoteAnchor"/>
          <w:rtl w:val="true"/>
        </w:rPr>
        <w:footnoteReference w:id="970"/>
      </w:r>
      <w:r>
        <w:rPr>
          <w:rFonts w:ascii="Amiri" w:hAnsi="Amiri" w:eastAsia="Amiri" w:cs="Amiri"/>
          <w:color w:val="111111"/>
          <w:sz w:val="28"/>
          <w:sz w:val="28"/>
          <w:szCs w:val="28"/>
          <w:rtl w:val="true"/>
          <w:lang w:bidi="ar-SA"/>
        </w:rPr>
        <w:t>، ثمّ</w:t>
      </w:r>
    </w:p>
    <w:p>
      <w:pPr>
        <w:pStyle w:val="BookText"/>
        <w:rPr/>
      </w:pPr>
      <w:r>
        <w:rPr>
          <w:rFonts w:ascii="IRNazanin" w:hAnsi="IRNazanin" w:eastAsia="IRNazanin"/>
          <w:color w:val="111111"/>
          <w:sz w:val="28"/>
          <w:sz w:val="28"/>
          <w:szCs w:val="28"/>
          <w:rtl w:val="true"/>
          <w:lang w:bidi="fa-IR"/>
        </w:rPr>
        <w:t>أمر بالتأمّل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فی القواعد</w:t>
      </w:r>
      <w:r>
        <w:rPr>
          <w:rStyle w:val="FootnoteAnchor"/>
          <w:rtl w:val="true"/>
        </w:rPr>
        <w:footnoteReference w:id="971"/>
      </w:r>
      <w:r>
        <w:rPr>
          <w:rFonts w:ascii="Amiri" w:hAnsi="Amiri" w:eastAsia="Amiri" w:cs="Amiri"/>
          <w:color w:val="111111"/>
          <w:sz w:val="28"/>
          <w:sz w:val="28"/>
          <w:szCs w:val="28"/>
          <w:rtl w:val="true"/>
          <w:lang w:bidi="ar-SA"/>
        </w:rPr>
        <w:t>و الروضة</w:t>
      </w:r>
      <w:r>
        <w:rPr>
          <w:rStyle w:val="FootnoteAnchor"/>
          <w:rtl w:val="true"/>
        </w:rPr>
        <w:footnoteReference w:id="972"/>
      </w:r>
      <w:r>
        <w:rPr>
          <w:rFonts w:ascii="IRNazanin" w:hAnsi="IRNazanin" w:eastAsia="IRNazanin"/>
          <w:color w:val="111111"/>
          <w:sz w:val="28"/>
          <w:sz w:val="28"/>
          <w:szCs w:val="28"/>
          <w:rtl w:val="true"/>
          <w:lang w:bidi="fa-IR"/>
        </w:rPr>
        <w:t>بأنّ المراد بالسنین فی تحدید البلوغ السنین القمریّة المتعلّقة بالشهور و الأهلّة، و احتجّ فی المسالک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ذلک هو المعهود فی شرعنا</w:t>
      </w:r>
      <w:r>
        <w:rPr>
          <w:rFonts w:eastAsia="IRNazanin" w:cs="IRNazanin"/>
          <w:color w:val="111111"/>
          <w:sz w:val="28"/>
          <w:szCs w:val="28"/>
          <w:rtl w:val="true"/>
          <w:lang w:bidi="fa-IR"/>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مجمع الفائدة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لأنّها المتعارف فی هذا الزمان، و هی المتبادرة</w:t>
      </w:r>
      <w:r>
        <w:rPr>
          <w:rFonts w:eastAsia="IRNazanin" w:cs="IRNazanin"/>
          <w:color w:val="111111"/>
          <w:sz w:val="28"/>
          <w:szCs w:val="28"/>
          <w:rtl w:val="true"/>
          <w:lang w:bidi="fa-IR"/>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مهذّب الأحکام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المنساق من الأدلّة الهلالیّة</w:t>
      </w:r>
      <w:r>
        <w:rPr>
          <w:rFonts w:eastAsia="IRNazanin" w:cs="IRNazanin"/>
          <w:color w:val="111111"/>
          <w:sz w:val="28"/>
          <w:szCs w:val="28"/>
          <w:rtl w:val="true"/>
          <w:lang w:bidi="fa-IR"/>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یدلّ علیه أیضاً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الشُّهُورِ عِنْدَ اللّهِ اثْنا عَشَرَ شَهْراً فِی کِتابِ اللّهِ یَوْمَ خَلَقَ السَّماواتِ وَ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عدد شهور السنة فی حکم اللّه و تقدیره اثنا عشر شهراً، و إنّما تعبّد اللّه المسلمین أن یجعلوا سنیّهم علی اثنی عشر شهراً لیوافق ذلک عدد الأهلّة و منازل القمر، کما فی مجمع البیان</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جَعَلَ الشَّمْسَ ضِیاءً وَ الْقَمَرَ نُوراً وَ قَدَّرَهُ مَنازِلَ لِتَعْلَمُوا عَدَدَ السِّنِینَ وَ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الْأَهِلَّةِ قُلْ هِیَ مَواقِیتُ لِلنّاسِ وَ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أی هی مواقیت یحتاج الناس إلی مقادیرها فی صومهم و فطرهم و عدد نسائهم و محلّ دیونهم و حجّهم</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المناهل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هذا یعتبر فی بلوغ الذکر مضیّ أربع عشرة سنة قمریّة و أحد عشر شهراً هلالیّاً فی السنة الاُولی، و یکمل الشهر الأوّل منها من السادسة عشر ثلاثین یوماً إن کان تامّاً، و إلّا ففی تکمیله ثلاثین کالأوّل أو بقدر ما فات منه تمّ أو نقص</w:t>
      </w:r>
      <w:r>
        <w:rPr>
          <w:rStyle w:val="FootnoteAnchor"/>
          <w:rtl w:val="true"/>
        </w:rPr>
        <w:footnoteReference w:id="978"/>
      </w:r>
      <w:r>
        <w:rPr>
          <w:rFonts w:ascii="IRNazanin" w:hAnsi="IRNazanin" w:eastAsia="IRNazanin"/>
          <w:color w:val="111111"/>
          <w:sz w:val="28"/>
          <w:sz w:val="28"/>
          <w:szCs w:val="28"/>
          <w:rtl w:val="true"/>
          <w:lang w:bidi="fa-IR"/>
        </w:rPr>
        <w:t>، احتمالان، أظهرهما الأوّل، و قس علی ذلک حال الاُنثی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بانکسار الشهور و السنین کلّها فیها بانکسار الشهر الأوّل، فیبطل باعتبار الأهلّة و یرجع إلی العدد فی الجمیع، و هو ضعیف، و الظاهر انتفاء القول فیها هنا</w:t>
      </w:r>
      <w:r>
        <w:rPr>
          <w:rFonts w:eastAsia="IRNazanin" w:cs="IRNazanin"/>
          <w:color w:val="111111"/>
          <w:sz w:val="28"/>
          <w:szCs w:val="28"/>
          <w:rtl w:val="true"/>
          <w:lang w:bidi="fa-IR"/>
        </w:rPr>
        <w:t>»</w:t>
      </w:r>
      <w:r>
        <w:rPr>
          <w:rStyle w:val="FootnoteAnchor"/>
          <w:rtl w:val="true"/>
        </w:rPr>
        <w:footnoteReference w:id="9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الجواهر</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الخنثی فلا نصّ فیها بالخصوص، و لکن أصالة عدم التکلیف و البلوغ یقتضی استصحاب الحال السابق إلی أن یعلم المزیل، و هو بلوغ الخمس عشرة إن لم یحصل قبله أمر آخر</w:t>
      </w:r>
      <w:r>
        <w:rPr>
          <w:rFonts w:eastAsia="IRNazanin" w:cs="IRNazanin"/>
          <w:color w:val="111111"/>
          <w:sz w:val="28"/>
          <w:szCs w:val="28"/>
          <w:rtl w:val="true"/>
          <w:lang w:bidi="fa-IR"/>
        </w:rPr>
        <w:t>»</w:t>
      </w:r>
      <w:r>
        <w:rPr>
          <w:rStyle w:val="FootnoteAnchor"/>
          <w:rtl w:val="true"/>
        </w:rPr>
        <w:footnoteReference w:id="981"/>
      </w:r>
      <w:r>
        <w:rPr>
          <w:rFonts w:ascii="IRNazanin" w:hAnsi="IRNazanin" w:eastAsia="IRNazanin"/>
          <w:color w:val="111111"/>
          <w:sz w:val="28"/>
          <w:sz w:val="28"/>
          <w:szCs w:val="28"/>
          <w:rtl w:val="true"/>
          <w:lang w:bidi="fa-IR"/>
        </w:rPr>
        <w:t>، و اختاره فی مجمع الفائدة</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المناهل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جیّد و لکنّ مراعاة الاحتیاط أولی</w:t>
      </w:r>
      <w:r>
        <w:rPr>
          <w:rFonts w:eastAsia="IRNazanin" w:cs="IRNazanin"/>
          <w:color w:val="111111"/>
          <w:sz w:val="28"/>
          <w:szCs w:val="28"/>
          <w:rtl w:val="true"/>
          <w:lang w:bidi="fa-IR"/>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الشیخ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استدلاله بالاُصول و العمومات للقول باعتبار إکمال خمس عشرة سنة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هذه الاُصول و العمومات یعلم وجوب إلحاق الخنثی بالذکر</w:t>
      </w:r>
      <w:r>
        <w:rPr>
          <w:rFonts w:eastAsia="IRNazanin" w:cs="IRNazanin"/>
          <w:color w:val="111111"/>
          <w:sz w:val="28"/>
          <w:szCs w:val="28"/>
          <w:rtl w:val="true"/>
          <w:lang w:bidi="fa-IR"/>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تحدید البلوغ بالسنّ کغیره من التحدیدات أمر واحد غیر مختلف فیه بالقیاس إلی أنواع التکالیف، لما عرفت من أنّ البلوغ مرتبة خاصّة فی جمیع أفراد 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الإنسان، لإجماع العلماء و للنصوص الکثیرة الواردة فی التحدید علی اختلافها فیه، إلاّ أنّها متّفقة فی عدم الاختلاف المزبور کما فی الجواهر</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الأعظم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التحدید بالسنّ لا یختلف فی الأحکام المنوطة بالبلوغ بالإجماع</w:t>
      </w:r>
      <w:r>
        <w:rPr>
          <w:rFonts w:eastAsia="IRNazanin" w:cs="IRNazanin"/>
          <w:color w:val="111111"/>
          <w:sz w:val="28"/>
          <w:szCs w:val="28"/>
          <w:rtl w:val="true"/>
          <w:lang w:bidi="fa-IR"/>
        </w:rPr>
        <w:t>»</w:t>
      </w:r>
      <w:r>
        <w:rPr>
          <w:rStyle w:val="FootnoteAnchor"/>
          <w:rtl w:val="true"/>
        </w:rPr>
        <w:footnoteReference w:id="9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المناهل</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ثبوت السنّ فی المقامین بالعلم مطلقاً و بشهادة العدلین، قال الشهید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یعلم السنّ بالبیّنة و الشیاع، و هل یکفی قول الأبوین أو الأب؟ احتمال</w:t>
      </w:r>
      <w:r>
        <w:rPr>
          <w:rFonts w:eastAsia="IRNazanin" w:cs="IRNazanin"/>
          <w:color w:val="111111"/>
          <w:sz w:val="28"/>
          <w:szCs w:val="28"/>
          <w:rtl w:val="true"/>
          <w:lang w:bidi="fa-IR"/>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الروضة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یعلم السنّ بالبیّنة و الشیاع، لا بدعواه و الإنبات بهما، و بالاختبار، فإنّه جائز مع الاضطرار إن جعلنا محلّه من العورة، أو بدونه علی المشهور، و الاحتلام بهما، و بقوله، و فی قبول قول الأبوین أو الأب فی السنّ</w:t>
      </w:r>
      <w:bookmarkStart w:id="273" w:name="pg11757_135560"/>
    </w:p>
    <w:p>
      <w:pPr>
        <w:pStyle w:val="BookText"/>
        <w:rPr/>
      </w:pPr>
      <w:bookmarkEnd w:id="273"/>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المناهل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الإشارة إلی ما فی الروضة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جیّد إن أراد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الشیاع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للعلم، و أمّا المفید للظّن ففیه إشکال، و هل یثبت بدعوی الصبیّ و الصبیّة أو لا؟ الأقرب الأخیر وفاقاً للروضة؛ للأصل السلیم عن المعارض</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استشکل قدس سره بثبوته بقول الأبوین، و الظاهر أنّه لعدم الدلیل علیه، و الأصل علی خلافه، کما لا یخفی</w:t>
      </w:r>
      <w:r>
        <w:rPr>
          <w:rFonts w:eastAsia="IRNazanin" w:cs="IRNazanin"/>
          <w:color w:val="111111"/>
          <w:sz w:val="28"/>
          <w:szCs w:val="28"/>
          <w:rtl w:val="true"/>
          <w:lang w:bidi="fa-IR"/>
        </w:rPr>
        <w:t>.</w:t>
      </w:r>
    </w:p>
    <w:p>
      <w:pPr>
        <w:pStyle w:val="Heading6"/>
        <w:numPr>
          <w:ilvl w:val="5"/>
          <w:numId w:val="1"/>
        </w:numPr>
        <w:rPr/>
      </w:pPr>
      <w:bookmarkStart w:id="274" w:name="__RefHeading___Toc9696715_73709187"/>
      <w:bookmarkStart w:id="275" w:name="_Toc101"/>
      <w:bookmarkEnd w:id="274"/>
      <w:r>
        <w:rPr>
          <w:rtl w:val="true"/>
        </w:rPr>
        <w:t>العلامة الرابعة و الخامسة</w:t>
      </w:r>
      <w:r>
        <w:rPr>
          <w:rtl w:val="true"/>
        </w:rPr>
        <w:t xml:space="preserve">: </w:t>
      </w:r>
      <w:r>
        <w:rPr>
          <w:rtl w:val="true"/>
        </w:rPr>
        <w:t>الحیض و الحمل</w:t>
      </w:r>
      <w:bookmarkEnd w:id="275"/>
    </w:p>
    <w:p>
      <w:pPr>
        <w:pStyle w:val="BookText"/>
        <w:rPr/>
      </w:pPr>
      <w:r>
        <w:rPr>
          <w:rFonts w:ascii="IRNazanin" w:hAnsi="IRNazanin" w:eastAsia="IRNazanin"/>
          <w:color w:val="111111"/>
          <w:sz w:val="28"/>
          <w:sz w:val="28"/>
          <w:szCs w:val="28"/>
          <w:rtl w:val="true"/>
          <w:lang w:bidi="fa-IR"/>
        </w:rPr>
        <w:t xml:space="preserve">لا خلاف فی کون الحیض و الحمل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الاُنثی علامة للبلوغ، و لکن وقع الخلاف فی أنّهما نفس البلوغ أو هما کاشفان عنه و علامة لسبقه، و یستفاد من ظاهر کلمات الأصحاب فی ذلک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نفس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البلوغ یکون بأحد خمسة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المنی و خروج الحیض و الحمل و الإنبات و السنّ</w:t>
      </w:r>
      <w:r>
        <w:rPr>
          <w:rFonts w:eastAsia="IRNazanin" w:cs="IRNazanin"/>
          <w:color w:val="111111"/>
          <w:sz w:val="28"/>
          <w:szCs w:val="28"/>
          <w:rtl w:val="true"/>
          <w:lang w:bidi="fa-IR"/>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حدّه هو الاحتلام فی الرجال، و الحیض فی النساء</w:t>
      </w:r>
      <w:r>
        <w:rPr>
          <w:rFonts w:eastAsia="IRNazanin" w:cs="IRNazanin"/>
          <w:color w:val="111111"/>
          <w:sz w:val="28"/>
          <w:szCs w:val="28"/>
          <w:rtl w:val="true"/>
          <w:lang w:bidi="fa-IR"/>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الظاهر من کلام الصدوق قدس سره فی الفقیه،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الأخبار التی تدلّ علی وجوب الصوم علی الصبیّ و الصبیّة بعد الاحتلام و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bookmarkStart w:id="276" w:name="pg11757_135561"/>
    </w:p>
    <w:p>
      <w:pPr>
        <w:pStyle w:val="BookText"/>
        <w:rPr/>
      </w:pPr>
      <w:bookmarkEnd w:id="276"/>
      <w:r>
        <w:rPr>
          <w:rFonts w:ascii="Amiri" w:hAnsi="Amiri" w:eastAsia="Amiri" w:cs="Amiri"/>
          <w:color w:val="111111"/>
          <w:sz w:val="28"/>
          <w:sz w:val="28"/>
          <w:szCs w:val="28"/>
          <w:rtl w:val="true"/>
          <w:lang w:bidi="ar-SA"/>
        </w:rPr>
        <w:t>هذا نصّه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الأخبار کلّها متّفقة المعانی، یؤخذ الصبیّ بالصیام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المرأة إلی الحیض، و وجوب الصوم علیهما بعد الاحتلام و الحیض، و ما قبل ذلک تأدیب</w:t>
      </w:r>
      <w:r>
        <w:rPr>
          <w:rFonts w:eastAsia="IRNazanin" w:cs="IRNazanin"/>
          <w:color w:val="111111"/>
          <w:sz w:val="28"/>
          <w:szCs w:val="28"/>
          <w:rtl w:val="true"/>
          <w:lang w:bidi="fa-IR"/>
        </w:rPr>
        <w:t>»</w:t>
      </w:r>
      <w:r>
        <w:rPr>
          <w:rStyle w:val="FootnoteAnchor"/>
          <w:rtl w:val="true"/>
        </w:rPr>
        <w:footnoteReference w:id="9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الغنیة</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السرائر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النساء الحیض أو الحمل</w:t>
      </w:r>
      <w:r>
        <w:rPr>
          <w:rFonts w:eastAsia="IRNazanin" w:cs="IRNazanin"/>
          <w:color w:val="111111"/>
          <w:sz w:val="28"/>
          <w:szCs w:val="28"/>
          <w:rtl w:val="true"/>
          <w:lang w:bidi="fa-IR"/>
        </w:rPr>
        <w:t>»</w:t>
      </w:r>
      <w:r>
        <w:rPr>
          <w:rStyle w:val="FootnoteAnchor"/>
          <w:rtl w:val="true"/>
        </w:rPr>
        <w:footnoteReference w:id="995"/>
      </w:r>
      <w:r>
        <w:rPr>
          <w:rFonts w:ascii="IRNazanin" w:hAnsi="IRNazanin" w:eastAsia="IRNazanin"/>
          <w:color w:val="111111"/>
          <w:sz w:val="28"/>
          <w:sz w:val="28"/>
          <w:szCs w:val="28"/>
          <w:rtl w:val="true"/>
          <w:lang w:bidi="fa-IR"/>
        </w:rPr>
        <w:t>، و به قال ابن سعید الحلّی</w:t>
      </w:r>
      <w:r>
        <w:rPr>
          <w:rStyle w:val="FootnoteAnchor"/>
          <w:rtl w:val="true"/>
        </w:rPr>
        <w:footnoteReference w:id="996"/>
      </w:r>
      <w:r>
        <w:rPr>
          <w:rFonts w:ascii="IRNazanin" w:hAnsi="IRNazanin" w:eastAsia="IRNazanin"/>
          <w:color w:val="111111"/>
          <w:sz w:val="28"/>
          <w:sz w:val="28"/>
          <w:szCs w:val="28"/>
          <w:rtl w:val="true"/>
          <w:lang w:bidi="fa-IR"/>
        </w:rPr>
        <w:t>و ابن حمزة فی الحیض خاصّة، و لکن صرّح بأنّ الحبل علامة البلوغ</w:t>
      </w:r>
      <w:r>
        <w:rPr>
          <w:rStyle w:val="FootnoteAnchor"/>
          <w:rtl w:val="true"/>
        </w:rPr>
        <w:footnoteReference w:id="997"/>
      </w:r>
      <w:r>
        <w:rPr>
          <w:rFonts w:ascii="IRNazanin" w:hAnsi="IRNazanin" w:eastAsia="IRNazanin"/>
          <w:color w:val="111111"/>
          <w:sz w:val="28"/>
          <w:sz w:val="28"/>
          <w:szCs w:val="28"/>
          <w:rtl w:val="true"/>
          <w:lang w:bidi="fa-IR"/>
        </w:rPr>
        <w:t>، و ادّعی فی المسالک عدم الخلاف فی کونهما بلوغاً بأنفسهما</w:t>
      </w:r>
      <w:r>
        <w:rPr>
          <w:rStyle w:val="FootnoteAnchor"/>
          <w:rtl w:val="true"/>
        </w:rPr>
        <w:footnoteReference w:id="9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مجمع الفائدة</w:t>
      </w:r>
      <w:r>
        <w:rPr>
          <w:rStyle w:val="FootnoteAnchor"/>
          <w:rtl w:val="true"/>
        </w:rPr>
        <w:footnoteReference w:id="999"/>
      </w:r>
      <w:r>
        <w:rPr>
          <w:rFonts w:ascii="IRNazanin" w:hAnsi="IRNazanin" w:eastAsia="IRNazanin"/>
          <w:color w:val="111111"/>
          <w:sz w:val="28"/>
          <w:sz w:val="28"/>
          <w:szCs w:val="28"/>
          <w:rtl w:val="true"/>
          <w:lang w:bidi="fa-IR"/>
        </w:rPr>
        <w:t>و الحدائق</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7" w:name="__RefHeading___Toc9696717_73709187"/>
      <w:bookmarkStart w:id="278" w:name="_Toc102"/>
      <w:bookmarkEnd w:id="277"/>
      <w:r>
        <w:rPr>
          <w:rtl w:val="true"/>
        </w:rPr>
        <w:t>أدلّة کون الحیض و الحمل بلوغاً بأنفسهما</w:t>
      </w:r>
      <w:bookmarkEnd w:id="278"/>
    </w:p>
    <w:p>
      <w:pPr>
        <w:pStyle w:val="BookText"/>
        <w:rPr/>
      </w:pPr>
      <w:r>
        <w:rPr>
          <w:rFonts w:ascii="IRNazanin" w:hAnsi="IRNazanin" w:eastAsia="IRNazanin"/>
          <w:color w:val="111111"/>
          <w:sz w:val="28"/>
          <w:sz w:val="28"/>
          <w:szCs w:val="28"/>
          <w:rtl w:val="true"/>
          <w:lang w:bidi="fa-IR"/>
        </w:rPr>
        <w:t>و استدلّ للحکم المذکور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الخلاف و الإجماع، کما یظهر من الغنیة و السرائر و مجمع الفائدة و المسالک و الحدائق</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غنائم الأیّام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الحیض و الحمل فیثبت بهما البلوغ؛ للإجماع</w:t>
      </w:r>
    </w:p>
    <w:p>
      <w:pPr>
        <w:pStyle w:val="BookText"/>
        <w:rPr/>
      </w:pPr>
      <w:r>
        <w:rPr>
          <w:rFonts w:ascii="IRNazanin" w:hAnsi="IRNazanin" w:eastAsia="IRNazanin"/>
          <w:color w:val="111111"/>
          <w:sz w:val="28"/>
          <w:sz w:val="28"/>
          <w:szCs w:val="28"/>
          <w:rtl w:val="true"/>
          <w:lang w:bidi="fa-IR"/>
        </w:rPr>
        <w:t>و الأخبار</w:t>
      </w:r>
      <w:r>
        <w:rPr>
          <w:rFonts w:eastAsia="IRNazanin" w:cs="IRNazanin"/>
          <w:color w:val="111111"/>
          <w:sz w:val="28"/>
          <w:szCs w:val="28"/>
          <w:rtl w:val="true"/>
          <w:lang w:bidi="fa-IR"/>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قباله الإجماع علی أنّهما دلیلان علی سبق البلوغ، مضافاً إلی أنّ هذا الإجماع مدرکیّ، و لا أقلّ محتمل المدرکیّة، فلا یکون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الشارع علّق أحکام المکلّف علی الحیض فی بعض الأخبار، فتدلّ علی أنّ الحیض بنفسه موضوع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وجوب الحجّ علی المرأة إذا طمثت،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ابن عشر سنین یحجّ؟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حجّة الإسلام إذا احتلم، و کذلک الجاریة علیها الحجّ إذا طمثت</w:t>
      </w:r>
      <w:r>
        <w:rPr>
          <w:rFonts w:eastAsia="IRNazanin" w:cs="IRNazanin"/>
          <w:color w:val="111111"/>
          <w:sz w:val="28"/>
          <w:szCs w:val="28"/>
          <w:rtl w:val="true"/>
          <w:lang w:bidi="fa-IR"/>
        </w:rPr>
        <w:t>»</w:t>
      </w:r>
      <w:r>
        <w:rPr>
          <w:rStyle w:val="FootnoteAnchor"/>
          <w:rtl w:val="true"/>
        </w:rPr>
        <w:footnoteReference w:id="1003"/>
      </w:r>
      <w:r>
        <w:rPr>
          <w:rFonts w:ascii="IRNazanin" w:hAnsi="IRNazanin" w:eastAsia="IRNazanin"/>
          <w:color w:val="111111"/>
          <w:sz w:val="28"/>
          <w:sz w:val="28"/>
          <w:szCs w:val="28"/>
          <w:rtl w:val="true"/>
          <w:lang w:bidi="fa-IR"/>
        </w:rPr>
        <w:t>، و مثله ما رواه فی الکافی عن شهاب عن أبی عبد اللّه علیه السلام</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تدلّ علی عدم صحّة صلاة الصبیّة إذا حاضت بغیر درع و خمار، کما فی الفقیه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یصلح للحرّة إذا حاضت إلاّ الخمار، إلّا أن لا تجده</w:t>
      </w:r>
      <w:r>
        <w:rPr>
          <w:rFonts w:eastAsia="IRNazanin" w:cs="IRNazanin"/>
          <w:color w:val="111111"/>
          <w:sz w:val="28"/>
          <w:szCs w:val="28"/>
          <w:rtl w:val="true"/>
          <w:lang w:bidi="fa-IR"/>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أبی البختریّ عن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حاضت الجاریة فلا تصلّی إلّا بخمار</w:t>
      </w:r>
      <w:r>
        <w:rPr>
          <w:rFonts w:eastAsia="IRNazanin" w:cs="IRNazanin"/>
          <w:color w:val="111111"/>
          <w:sz w:val="28"/>
          <w:szCs w:val="28"/>
          <w:rtl w:val="true"/>
          <w:lang w:bidi="fa-IR"/>
        </w:rPr>
        <w:t>»</w:t>
      </w:r>
      <w:r>
        <w:rPr>
          <w:rStyle w:val="FootnoteAnchor"/>
          <w:rtl w:val="true"/>
        </w:rPr>
        <w:footnoteReference w:id="1006"/>
      </w:r>
      <w:r>
        <w:rPr>
          <w:rFonts w:ascii="IRNazanin" w:hAnsi="IRNazanin" w:eastAsia="IRNazanin"/>
          <w:color w:val="111111"/>
          <w:sz w:val="28"/>
          <w:sz w:val="28"/>
          <w:szCs w:val="28"/>
          <w:rtl w:val="true"/>
          <w:lang w:bidi="fa-IR"/>
        </w:rPr>
        <w:t>، و استدلّ بها الشیخ فی المبسوط‌</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فی وجوب الصوم علی الصبیّة إذا حاضت،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أبو بصیر عن أبی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الصبیّ إذا احتلم الصیام، و علی الجاریة إذا حاضت الصیام</w:t>
      </w:r>
      <w:r>
        <w:rPr>
          <w:rFonts w:eastAsia="IRNazanin" w:cs="IRNazanin"/>
          <w:color w:val="111111"/>
          <w:sz w:val="28"/>
          <w:szCs w:val="28"/>
          <w:rtl w:val="true"/>
          <w:lang w:bidi="fa-IR"/>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الحمل فلا یکون موضوعاً للبلوغ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ورد فی أنّ التی لا تحمل لا عدّة لها و یکون حکمها حکم غیر البالغة</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المناهل بعد الإشارة إلی النصوص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الذی تراه المرأة قبل بلوغ التسع لیس بحیض کما عن الأصحاب، و ما تراه بعد التسع فهو مسبوق ببلوغها بالسنّ، فلا أثر للحیض فی الدلالة علی البلوغ؛ لأنّا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مدفوع بما صرّح به بعض فی الجواب عن هذا الإیراد من ظهور الفائدة فی مجهولة السنّ، فإنّ بلوغها یعرف بالحیض لدلالته عن السنّ الذی یحصل به البلوغ، لا بنفس السنّ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 کون الدّم الخارج من التی اشتبه سنّها حیضاً إلّا بعد العلم ببلوغها، فلو توقّف العلم ببلوغها علی کون ذلک حیضاً لزم الدور، و هو الباطل</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الخارج من هذه المفروضة إن کان بصفة الحیض و شرائطه یحکم علیه بالحیضیّة، و إلّا</w:t>
      </w:r>
      <w:r>
        <w:rPr>
          <w:rStyle w:val="FootnoteAnchor"/>
          <w:rtl w:val="true"/>
        </w:rPr>
        <w:footnoteReference w:id="1010"/>
      </w:r>
      <w:r>
        <w:rPr>
          <w:rFonts w:ascii="IRNazanin" w:hAnsi="IRNazanin" w:eastAsia="IRNazanin"/>
          <w:color w:val="111111"/>
          <w:sz w:val="28"/>
          <w:sz w:val="28"/>
          <w:szCs w:val="28"/>
          <w:rtl w:val="true"/>
          <w:lang w:bidi="fa-IR"/>
        </w:rPr>
        <w:t>لم یعلم سنّها، و إذا حکم علیه بالحیضیّة حکم علیها بالبلوغ باعتباره، و لکن قد ینافی هذا ما صرّح به فی التذکرة</w:t>
      </w:r>
      <w:r>
        <w:rPr>
          <w:rStyle w:val="FootnoteAnchor"/>
          <w:rtl w:val="true"/>
        </w:rPr>
        <w:footnoteReference w:id="1011"/>
      </w:r>
      <w:r>
        <w:rPr>
          <w:rFonts w:ascii="IRNazanin" w:hAnsi="IRNazanin" w:eastAsia="IRNazanin"/>
          <w:color w:val="111111"/>
          <w:sz w:val="28"/>
          <w:sz w:val="28"/>
          <w:szCs w:val="28"/>
          <w:rtl w:val="true"/>
          <w:lang w:bidi="fa-IR"/>
        </w:rPr>
        <w:t xml:space="preserve">من أنّه لو اشتبه الخارج، هل هو حیض أم لا، لم یحکم بالبلوغ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مع تیقّن أنّه 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بالاستصحاب</w:t>
      </w:r>
      <w:r>
        <w:rPr>
          <w:rFonts w:eastAsia="IRNazanin" w:cs="IRNazanin"/>
          <w:color w:val="111111"/>
          <w:sz w:val="28"/>
          <w:szCs w:val="28"/>
          <w:rtl w:val="true"/>
          <w:lang w:bidi="fa-IR"/>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bookmarkStart w:id="279" w:name="pg11757_135564"/>
    </w:p>
    <w:p>
      <w:pPr>
        <w:pStyle w:val="BookText"/>
        <w:rPr/>
      </w:pPr>
      <w:bookmarkEnd w:id="279"/>
      <w:r>
        <w:rPr>
          <w:rFonts w:ascii="IRNazanin" w:hAnsi="IRNazanin" w:eastAsia="IRNazanin"/>
          <w:color w:val="111111"/>
          <w:sz w:val="28"/>
          <w:sz w:val="28"/>
          <w:szCs w:val="28"/>
          <w:rtl w:val="true"/>
          <w:lang w:bidi="fa-IR"/>
        </w:rPr>
        <w:t>و بالجملة، یمکن الجواب بأنّ المستفاد من هذه النصوص أنّ الحائض تتعلّق بها أحکام البالغین، و هو أعمّ‌</w:t>
      </w:r>
      <w:r>
        <w:rPr>
          <w:rStyle w:val="FootnoteAnchor"/>
          <w:rtl w:val="true"/>
        </w:rPr>
        <w:footnoteReference w:id="1013"/>
      </w:r>
      <w:r>
        <w:rPr>
          <w:rFonts w:ascii="IRNazanin" w:hAnsi="IRNazanin" w:eastAsia="IRNazanin"/>
          <w:color w:val="111111"/>
          <w:sz w:val="28"/>
          <w:sz w:val="28"/>
          <w:szCs w:val="28"/>
          <w:rtl w:val="true"/>
          <w:lang w:bidi="fa-IR"/>
        </w:rPr>
        <w:t>من أن یکون الحیض بنفسه بلوغاً أو یکون دلیلاً علی سبقه</w:t>
      </w:r>
      <w:r>
        <w:rPr>
          <w:rFonts w:eastAsia="IRNazanin" w:cs="IRNazanin"/>
          <w:color w:val="111111"/>
          <w:sz w:val="28"/>
          <w:szCs w:val="28"/>
          <w:rtl w:val="true"/>
          <w:lang w:bidi="fa-IR"/>
        </w:rPr>
        <w:t>.</w:t>
      </w:r>
    </w:p>
    <w:p>
      <w:pPr>
        <w:pStyle w:val="Heading5"/>
        <w:numPr>
          <w:ilvl w:val="4"/>
          <w:numId w:val="1"/>
        </w:numPr>
        <w:rPr/>
      </w:pPr>
      <w:bookmarkStart w:id="280" w:name="__RefHeading___Toc9696719_73709187"/>
      <w:bookmarkStart w:id="281" w:name="_Toc103"/>
      <w:bookmarkEnd w:id="280"/>
      <w:r>
        <w:rPr>
          <w:rtl w:val="true"/>
        </w:rPr>
        <w:t>القول الثانی</w:t>
      </w:r>
      <w:r>
        <w:rPr>
          <w:rtl w:val="true"/>
        </w:rPr>
        <w:t xml:space="preserve">: </w:t>
      </w:r>
      <w:r>
        <w:rPr>
          <w:rtl w:val="true"/>
        </w:rPr>
        <w:t>أنّهما دلیلان علی سبق البلوغ</w:t>
      </w:r>
      <w:bookmarkEnd w:id="281"/>
    </w:p>
    <w:p>
      <w:pPr>
        <w:pStyle w:val="Heading6"/>
        <w:numPr>
          <w:ilvl w:val="5"/>
          <w:numId w:val="1"/>
        </w:numPr>
        <w:rPr/>
      </w:pPr>
      <w:bookmarkStart w:id="282" w:name="__RefHeading___Toc9696721_73709187"/>
      <w:bookmarkStart w:id="283" w:name="_Toc104"/>
      <w:bookmarkEnd w:id="282"/>
      <w:r>
        <w:rPr>
          <w:rtl w:val="true"/>
        </w:rPr>
        <w:t>اشارة</w:t>
      </w:r>
      <w:bookmarkEnd w:id="283"/>
    </w:p>
    <w:p>
      <w:pPr>
        <w:pStyle w:val="BookText"/>
        <w:rPr/>
      </w:pPr>
      <w:r>
        <w:rPr>
          <w:rFonts w:ascii="IRNazanin" w:hAnsi="IRNazanin" w:eastAsia="IRNazanin"/>
          <w:color w:val="111111"/>
          <w:sz w:val="28"/>
          <w:sz w:val="28"/>
          <w:szCs w:val="28"/>
          <w:rtl w:val="true"/>
          <w:lang w:bidi="fa-IR"/>
        </w:rPr>
        <w:t>ذهب المشهور إلی أنّ الحیض و الحمل دلیلان علی سبق البلوغ، و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الحمل و الحیض فلیسا بلوغاً فی حقّ النساء، بل قد یکونان دلیلاً علی سبق البلوغ</w:t>
      </w:r>
      <w:r>
        <w:rPr>
          <w:rFonts w:eastAsia="IRNazanin" w:cs="IRNazanin"/>
          <w:color w:val="111111"/>
          <w:sz w:val="28"/>
          <w:szCs w:val="28"/>
          <w:rtl w:val="true"/>
          <w:lang w:bidi="fa-IR"/>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نسبه یحیی بن سعید إلی القیل</w:t>
      </w:r>
      <w:r>
        <w:rPr>
          <w:rStyle w:val="FootnoteAnchor"/>
          <w:rtl w:val="true"/>
        </w:rPr>
        <w:footnoteReference w:id="10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الحمل فإنّه لیس ببلوغ حقیقة، و إنّما هو علم علی البلوغ</w:t>
      </w:r>
      <w:r>
        <w:rPr>
          <w:rFonts w:eastAsia="IRNazanin" w:cs="IRNazanin"/>
          <w:color w:val="111111"/>
          <w:sz w:val="28"/>
          <w:szCs w:val="28"/>
          <w:rtl w:val="true"/>
          <w:lang w:bidi="fa-IR"/>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 فی التحریر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الحیض دلالة علی البلوغ بلا خلاف</w:t>
      </w:r>
      <w:r>
        <w:rPr>
          <w:rFonts w:eastAsia="IRNazanin" w:cs="IRNazanin"/>
          <w:color w:val="111111"/>
          <w:sz w:val="28"/>
          <w:szCs w:val="28"/>
          <w:rtl w:val="true"/>
          <w:lang w:bidi="fa-IR"/>
        </w:rPr>
        <w:t>»</w:t>
      </w:r>
      <w:r>
        <w:rPr>
          <w:rStyle w:val="FootnoteAnchor"/>
          <w:rtl w:val="true"/>
        </w:rPr>
        <w:footnoteReference w:id="10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مجمع الفائدة</w:t>
      </w:r>
      <w:r>
        <w:rPr>
          <w:rStyle w:val="FootnoteAnchor"/>
          <w:rtl w:val="true"/>
        </w:rPr>
        <w:footnoteReference w:id="1018"/>
      </w:r>
      <w:r>
        <w:rPr>
          <w:rFonts w:ascii="IRNazanin" w:hAnsi="IRNazanin" w:eastAsia="IRNazanin"/>
          <w:color w:val="111111"/>
          <w:sz w:val="28"/>
          <w:sz w:val="28"/>
          <w:szCs w:val="28"/>
          <w:rtl w:val="true"/>
          <w:lang w:bidi="fa-IR"/>
        </w:rPr>
        <w:t>و المسالک</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معتدّ به أجده فیه</w:t>
      </w:r>
      <w:r>
        <w:rPr>
          <w:rFonts w:eastAsia="IRNazanin" w:cs="IRNazanin"/>
          <w:color w:val="111111"/>
          <w:sz w:val="28"/>
          <w:szCs w:val="28"/>
          <w:rtl w:val="true"/>
          <w:lang w:bidi="fa-IR"/>
        </w:rPr>
        <w:t>»</w:t>
      </w:r>
      <w:r>
        <w:rPr>
          <w:rStyle w:val="FootnoteAnchor"/>
          <w:rtl w:val="true"/>
        </w:rPr>
        <w:footnoteReference w:id="1020"/>
      </w:r>
      <w:r>
        <w:rPr>
          <w:rFonts w:ascii="IRNazanin" w:hAnsi="IRNazanin" w:eastAsia="IRNazanin"/>
          <w:color w:val="111111"/>
          <w:sz w:val="28"/>
          <w:sz w:val="28"/>
          <w:szCs w:val="28"/>
          <w:rtl w:val="true"/>
          <w:lang w:bidi="fa-IR"/>
        </w:rPr>
        <w:t>، و اختاره فی الإیضاح</w:t>
      </w:r>
      <w:r>
        <w:rPr>
          <w:rStyle w:val="FootnoteAnchor"/>
          <w:rtl w:val="true"/>
        </w:rPr>
        <w:footnoteReference w:id="1021"/>
      </w:r>
      <w:r>
        <w:rPr>
          <w:rFonts w:ascii="IRNazanin" w:hAnsi="IRNazanin" w:eastAsia="IRNazanin"/>
          <w:color w:val="111111"/>
          <w:sz w:val="28"/>
          <w:sz w:val="28"/>
          <w:szCs w:val="28"/>
          <w:rtl w:val="true"/>
          <w:lang w:bidi="fa-IR"/>
        </w:rPr>
        <w:t>و جامع المقاصد</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bookmarkStart w:id="284" w:name="pg11757_135565"/>
    </w:p>
    <w:p>
      <w:pPr>
        <w:pStyle w:val="BookText"/>
        <w:rPr/>
      </w:pPr>
      <w:bookmarkEnd w:id="284"/>
      <w:r>
        <w:rPr>
          <w:rFonts w:ascii="Amiri" w:hAnsi="Amiri" w:eastAsia="Amiri" w:cs="Amiri"/>
          <w:color w:val="111111"/>
          <w:sz w:val="28"/>
          <w:sz w:val="28"/>
          <w:szCs w:val="28"/>
          <w:rtl w:val="true"/>
          <w:lang w:bidi="ar-SA"/>
        </w:rPr>
        <w:t>و جاء فی الدرّة النجفیّة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الحیض و الحمل دلیلا السبق کذلک الإنبات فی الأحقّ</w:t>
      </w:r>
    </w:p>
    <w:p>
      <w:pPr>
        <w:pStyle w:val="BookText"/>
        <w:rPr/>
      </w:pPr>
      <w:r>
        <w:rPr>
          <w:rFonts w:ascii="IRNazanin" w:hAnsi="IRNazanin" w:eastAsia="IRNazanin"/>
          <w:color w:val="111111"/>
          <w:sz w:val="28"/>
          <w:sz w:val="28"/>
          <w:szCs w:val="28"/>
          <w:rtl w:val="true"/>
          <w:lang w:bidi="fa-IR"/>
        </w:rPr>
        <w:t>و السنّ فی الإناث تسع و الذکر یزداد ستّاً فی الصحیح المعتبر</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و فی غنائم الأیّام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المشهور و المعروف من الأصحاب کونهما مع ذلک علامة لسبق البلوغ</w:t>
      </w:r>
      <w:r>
        <w:rPr>
          <w:rFonts w:eastAsia="IRNazanin" w:cs="IRNazanin"/>
          <w:color w:val="111111"/>
          <w:sz w:val="28"/>
          <w:szCs w:val="28"/>
          <w:rtl w:val="true"/>
          <w:lang w:bidi="fa-IR"/>
        </w:rPr>
        <w:t>»</w:t>
      </w:r>
      <w:r>
        <w:rPr>
          <w:rStyle w:val="FootnoteAnchor"/>
          <w:rtl w:val="true"/>
        </w:rPr>
        <w:footnoteReference w:id="1024"/>
      </w:r>
      <w:r>
        <w:rPr>
          <w:rFonts w:ascii="IRNazanin" w:hAnsi="IRNazanin" w:eastAsia="IRNazanin"/>
          <w:color w:val="111111"/>
          <w:sz w:val="28"/>
          <w:sz w:val="28"/>
          <w:szCs w:val="28"/>
          <w:rtl w:val="true"/>
          <w:lang w:bidi="fa-IR"/>
        </w:rPr>
        <w:t>، و اختاره فی الروضة</w:t>
      </w:r>
      <w:r>
        <w:rPr>
          <w:rStyle w:val="FootnoteAnchor"/>
          <w:rtl w:val="true"/>
        </w:rPr>
        <w:footnoteReference w:id="1025"/>
      </w:r>
      <w:r>
        <w:rPr>
          <w:rFonts w:ascii="IRNazanin" w:hAnsi="IRNazanin" w:eastAsia="IRNazanin"/>
          <w:color w:val="111111"/>
          <w:sz w:val="28"/>
          <w:sz w:val="28"/>
          <w:szCs w:val="28"/>
          <w:rtl w:val="true"/>
          <w:lang w:bidi="fa-IR"/>
        </w:rPr>
        <w:t>و مفتاح الکرامة</w:t>
      </w:r>
      <w:r>
        <w:rPr>
          <w:rStyle w:val="FootnoteAnchor"/>
          <w:rtl w:val="true"/>
        </w:rPr>
        <w:footnoteReference w:id="1026"/>
      </w:r>
      <w:r>
        <w:rPr>
          <w:rFonts w:ascii="IRNazanin" w:hAnsi="IRNazanin" w:eastAsia="IRNazanin"/>
          <w:color w:val="111111"/>
          <w:sz w:val="28"/>
          <w:sz w:val="28"/>
          <w:szCs w:val="28"/>
          <w:rtl w:val="true"/>
          <w:lang w:bidi="fa-IR"/>
        </w:rPr>
        <w:t>و غیرهما</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5" w:name="__RefHeading___Toc9696723_73709187"/>
      <w:bookmarkStart w:id="286" w:name="_Toc105"/>
      <w:bookmarkEnd w:id="285"/>
      <w:r>
        <w:rPr>
          <w:rtl w:val="true"/>
        </w:rPr>
        <w:t>أدلّة القول الثانی</w:t>
      </w:r>
      <w:bookmarkEnd w:id="286"/>
    </w:p>
    <w:p>
      <w:pPr>
        <w:pStyle w:val="BookText"/>
        <w:rPr/>
      </w:pPr>
      <w:r>
        <w:rPr>
          <w:rFonts w:ascii="IRNazanin" w:hAnsi="IRNazanin" w:eastAsia="IRNazanin"/>
          <w:color w:val="111111"/>
          <w:sz w:val="28"/>
          <w:sz w:val="28"/>
          <w:szCs w:val="28"/>
          <w:rtl w:val="true"/>
          <w:lang w:bidi="fa-IR"/>
        </w:rPr>
        <w:t xml:space="preserve">و یدلّ علی أنّ الحیض علامة لسبق البلوغ ما تقدّم فی البحث عن أحکام الطهارة المتعلّقة بالصبیّ من الإجماع القطعی، و الأدلّة المعتبرة الاُخری علی أنّ ما تراه الصبیّة من الدّم قبل البلوغ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إکمال التسع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بحیض، بل یشترط أن یکون بعد البلوغ، فرؤیة الدّم بصفات الحیض تکون دلیلاً علی سبق البلوغ، فراجع</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فی الشرائع و 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تراه الصبیّة قبل بلوغها تسعاً فلیس بحیض</w:t>
      </w:r>
      <w:r>
        <w:rPr>
          <w:rFonts w:eastAsia="IRNazanin" w:cs="IRNazanin"/>
          <w:color w:val="111111"/>
          <w:sz w:val="28"/>
          <w:szCs w:val="28"/>
          <w:rtl w:val="true"/>
          <w:lang w:bidi="fa-IR"/>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یشترط أن یکون بعد البلوغ و قبل الیأس، فما کان قبل</w:t>
      </w:r>
    </w:p>
    <w:p>
      <w:pPr>
        <w:pStyle w:val="BookText"/>
        <w:rPr/>
      </w:pPr>
      <w:r>
        <w:rPr>
          <w:rFonts w:ascii="IRNazanin" w:hAnsi="IRNazanin" w:eastAsia="IRNazanin"/>
          <w:color w:val="111111"/>
          <w:sz w:val="28"/>
          <w:sz w:val="28"/>
          <w:szCs w:val="28"/>
          <w:rtl w:val="true"/>
          <w:lang w:bidi="fa-IR"/>
        </w:rPr>
        <w:t>البلوغ أو بعد الیأس لیس بحیض و إن کان بصفاته</w:t>
      </w:r>
      <w:r>
        <w:rPr>
          <w:rFonts w:eastAsia="IRNazanin" w:cs="IRNazanin"/>
          <w:color w:val="111111"/>
          <w:sz w:val="28"/>
          <w:szCs w:val="28"/>
          <w:rtl w:val="true"/>
          <w:lang w:bidi="fa-IR"/>
        </w:rPr>
        <w:t>»</w:t>
      </w:r>
      <w:r>
        <w:rPr>
          <w:rStyle w:val="FootnoteAnchor"/>
          <w:rtl w:val="true"/>
        </w:rPr>
        <w:footnoteReference w:id="10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تعلیقات عدّة من الفقهاء</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صحیحة ابن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 یتزوّجن علی کلّ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تبلغ تسع سنین، فإنّها لا تحیض</w:t>
      </w:r>
      <w:r>
        <w:rPr>
          <w:rFonts w:eastAsia="IRNazanin" w:cs="IRNazanin"/>
          <w:color w:val="111111"/>
          <w:sz w:val="28"/>
          <w:szCs w:val="28"/>
          <w:rtl w:val="true"/>
          <w:lang w:bidi="fa-IR"/>
        </w:rPr>
        <w:t>»</w:t>
      </w:r>
      <w:r>
        <w:rPr>
          <w:rStyle w:val="FootnoteAnchor"/>
          <w:rtl w:val="true"/>
        </w:rPr>
        <w:footnoteReference w:id="1032"/>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الصحیحة المتقدّمة و أنّها الأصل فی المسألة قبل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فالعلامة هی إکمال التسع لا غیر، إلاّ أنّه قد یعلم بالتأریخ، و قد یستکشف عنه بالحیض</w:t>
      </w:r>
      <w:r>
        <w:rPr>
          <w:rFonts w:eastAsia="IRNazanin" w:cs="IRNazanin"/>
          <w:color w:val="111111"/>
          <w:sz w:val="28"/>
          <w:szCs w:val="28"/>
          <w:rtl w:val="true"/>
          <w:lang w:bidi="fa-IR"/>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بعض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النصوص التی تدلّ بظاهرها علی أنّ الحیض بنفسه بلوغ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بدّ من الجمع بین الحکمین بالالتزام بأحد أمرین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 بحمل الدلیل الظاهر علی نفی الحیض عمّن لم تبلغ التسع علی نفیه عنها حکماً، بمعنی أنّه و إن کان حیضاً کاشفاً عن بلوغها لکنّه لا یکون محکوماً بأحکام الحیض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بالتصرّف فی خبر أبی بصیر الظاهر فی کون الحیض محقّقاً للبلوغ بحمله علی کونه أمارة علی سبق البلوغ، و لا یخفی أنّ التصرف الأوّل و إن کان ممکناً فی نفسه إلاّ أنّه یبعّده قیام الإجماع علی نفی الحیض عمّن لم تبلغ التسع، فیکون المتعیّن هو التصرّف الأخیر بجعل الحیض أمارة علی سبق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المراد من شرطیّة البلوغ</w:t>
      </w:r>
      <w:r>
        <w:rPr>
          <w:rFonts w:eastAsia="IRNazanin" w:cs="IRNazanin"/>
          <w:color w:val="111111"/>
          <w:sz w:val="28"/>
          <w:szCs w:val="28"/>
          <w:rtl w:val="true"/>
          <w:lang w:bidi="fa-IR"/>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bookmarkStart w:id="287" w:name="pg11757_135567"/>
    </w:p>
    <w:p>
      <w:pPr>
        <w:pStyle w:val="Heading6"/>
        <w:numPr>
          <w:ilvl w:val="5"/>
          <w:numId w:val="1"/>
        </w:numPr>
        <w:rPr/>
      </w:pPr>
      <w:bookmarkStart w:id="288" w:name="__RefHeading___Toc9696725_73709187"/>
      <w:bookmarkStart w:id="289" w:name="_Toc106"/>
      <w:bookmarkEnd w:id="287"/>
      <w:bookmarkEnd w:id="288"/>
      <w:r>
        <w:rPr>
          <w:rtl w:val="true"/>
        </w:rPr>
        <w:t>أدلّة کون الحمل علامة علی سبق البلوغ</w:t>
      </w:r>
      <w:bookmarkEnd w:id="289"/>
    </w:p>
    <w:p>
      <w:pPr>
        <w:pStyle w:val="BookText"/>
        <w:rPr/>
      </w:pPr>
      <w:r>
        <w:rPr>
          <w:rFonts w:ascii="Amiri" w:hAnsi="Amiri" w:eastAsia="Amiri" w:cs="Amiri"/>
          <w:color w:val="111111"/>
          <w:sz w:val="28"/>
          <w:sz w:val="28"/>
          <w:szCs w:val="28"/>
          <w:rtl w:val="true"/>
          <w:lang w:bidi="ar-SA"/>
        </w:rPr>
        <w:t>و یدلّ علی ذلک الکتاب و السنّة، أمّا الکتاب فقوله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خَلَقْنَا الْإِنْسانَ مِنْ نُطْفَةٍ أَمْشاجٍ نَبْتَلِیهِ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أمشاج، أی أخلاط من ماء الرّجل و ماء المرأة فی الرحم</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 بَیْنِ الصُّلْبِ وَ التَّرائِبِ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من ماء مهراق فی رحم المرأة، یعنی المنیّ الذی یکون منه الولد، و ارید من الصلب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الرّجل و ترائب المرأة، و الولد لا یکون إلّا من الماءین</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فالآیات تدلّ علی أنّ خلقة الإنسان مرکّبة من ماء الرجل و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المنی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اجتمع الماءان فی الرّحم خلق الإنسان، و تدلّ علی أنّ من لها الحمل بلغت قبل تحقّق الحمل، و إلّا فلا تحمل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ورد عن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سبق ماء الرجل ماء المرأة نزع الولد إلیه</w:t>
      </w:r>
      <w:r>
        <w:rPr>
          <w:rFonts w:eastAsia="IRNazanin" w:cs="IRNazanin"/>
          <w:color w:val="111111"/>
          <w:sz w:val="28"/>
          <w:szCs w:val="28"/>
          <w:rtl w:val="true"/>
          <w:lang w:bidi="fa-IR"/>
        </w:rPr>
        <w:t>»</w:t>
      </w:r>
      <w:r>
        <w:rPr>
          <w:rStyle w:val="FootnoteAnchor"/>
          <w:rtl w:val="true"/>
        </w:rPr>
        <w:footnoteReference w:id="1037"/>
      </w:r>
      <w:r>
        <w:rPr>
          <w:rFonts w:ascii="IRNazanin" w:hAnsi="IRNazanin" w:eastAsia="IRNazanin"/>
          <w:color w:val="111111"/>
          <w:sz w:val="28"/>
          <w:sz w:val="28"/>
          <w:szCs w:val="28"/>
          <w:rtl w:val="true"/>
          <w:lang w:bidi="fa-IR"/>
        </w:rPr>
        <w:t>، و ما ورد عن أمیر المؤمنین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تعتلج النطفتان فی الرّحم، فأیّتهما کانت أکثر جاءت تشبهها، فإن کانت نطفة المرأة أکثر جاءت تشبه أخواله، و إن کانت نطفة الرّجل أکثر جاءت تشبه أعمامه</w:t>
      </w:r>
      <w:r>
        <w:rPr>
          <w:rFonts w:eastAsia="IRNazanin" w:cs="IRNazanin"/>
          <w:color w:val="111111"/>
          <w:sz w:val="28"/>
          <w:szCs w:val="28"/>
          <w:rtl w:val="true"/>
          <w:lang w:bidi="fa-IR"/>
        </w:rPr>
        <w:t>»</w:t>
      </w:r>
      <w:r>
        <w:rPr>
          <w:rStyle w:val="FootnoteAnchor"/>
          <w:rtl w:val="true"/>
        </w:rPr>
        <w:footnoteReference w:id="1038"/>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أبو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ربما أشبه أخواله، و ربما أشبه أباه، و ربما أشبه عمومته،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نطفة الرجل بیضاء</w:t>
      </w:r>
    </w:p>
    <w:p>
      <w:pPr>
        <w:pStyle w:val="BookText"/>
        <w:rPr/>
      </w:pPr>
      <w:r>
        <w:rPr>
          <w:rFonts w:ascii="IRNazanin" w:hAnsi="IRNazanin" w:eastAsia="IRNazanin"/>
          <w:color w:val="111111"/>
          <w:sz w:val="28"/>
          <w:sz w:val="28"/>
          <w:szCs w:val="28"/>
          <w:rtl w:val="true"/>
          <w:lang w:bidi="fa-IR"/>
        </w:rPr>
        <w:t>غلیظة و نطفة المرأة صفراء رقیقة، فإن غلبت نطفة الرّجل نطفة المرأة أشبه الرّجل أباه و عمومته، و إن غلبت نطفة المرأة نطفة الرّجل أشبه الرجل أخواله</w:t>
      </w:r>
      <w:r>
        <w:rPr>
          <w:rFonts w:eastAsia="IRNazanin" w:cs="IRNazanin"/>
          <w:color w:val="111111"/>
          <w:sz w:val="28"/>
          <w:szCs w:val="28"/>
          <w:rtl w:val="true"/>
          <w:lang w:bidi="fa-IR"/>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فإنّها تدلّ صریحاً علی أنّ انعقاد النطفة و الحمل یکون من ماء الرّجل و المرأة، و قد عرفت أنّ من جملة علائم البلوغ خروج المنیّ الذی یکون منه الولد فی الرّجل و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الحبل دلیل البلوغ؛ لأنّه مسبوق بالإنزال؛ لأنّ اللّه تعالی أجری عادته بأنّ الولد لا یخلق إلّا من ماء الرّجل و ماء المرأة، و ذکر الآیتین المتقدّمتین،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الولد لا یتیقّن إلاّ بالوضع، فإذا وضعت حکمنا بالبلوغ قبل الوضع بستّة أشهر و شیء؛ لأنّ أقلّ الحمل ستّة أشهر</w:t>
      </w:r>
      <w:r>
        <w:rPr>
          <w:rStyle w:val="FootnoteAnchor"/>
          <w:rtl w:val="true"/>
        </w:rPr>
        <w:footnoteReference w:id="1040"/>
      </w:r>
      <w:r>
        <w:rPr>
          <w:rFonts w:ascii="IRNazanin" w:hAnsi="IRNazanin" w:eastAsia="IRNazanin"/>
          <w:color w:val="111111"/>
          <w:sz w:val="28"/>
          <w:sz w:val="28"/>
          <w:szCs w:val="28"/>
          <w:rtl w:val="true"/>
          <w:lang w:bidi="fa-IR"/>
        </w:rPr>
        <w:t>، و قریب من هذا فی المسالک</w:t>
      </w:r>
      <w:r>
        <w:rPr>
          <w:rStyle w:val="FootnoteAnchor"/>
          <w:rtl w:val="true"/>
        </w:rPr>
        <w:footnoteReference w:id="1041"/>
      </w:r>
      <w:r>
        <w:rPr>
          <w:rFonts w:ascii="IRNazanin" w:hAnsi="IRNazanin" w:eastAsia="IRNazanin"/>
          <w:color w:val="111111"/>
          <w:sz w:val="28"/>
          <w:sz w:val="28"/>
          <w:szCs w:val="28"/>
          <w:rtl w:val="true"/>
          <w:lang w:bidi="fa-IR"/>
        </w:rPr>
        <w:t>و المناهل</w:t>
      </w:r>
      <w:r>
        <w:rPr>
          <w:rStyle w:val="FootnoteAnchor"/>
          <w:rtl w:val="true"/>
        </w:rPr>
        <w:footnoteReference w:id="1042"/>
      </w:r>
      <w:r>
        <w:rPr>
          <w:rFonts w:ascii="IRNazanin" w:hAnsi="IRNazanin" w:eastAsia="IRNazanin"/>
          <w:color w:val="111111"/>
          <w:sz w:val="28"/>
          <w:sz w:val="28"/>
          <w:szCs w:val="28"/>
          <w:rtl w:val="true"/>
          <w:lang w:bidi="fa-IR"/>
        </w:rPr>
        <w:t>و الجواهر</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السنّة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الحلبیّ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ابتاع جاریة و لم تطمث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صغیرة لا یتخوّف علیها الحبل فلیس له علیها عدّة و لیطأها إن شاء، و إن کانت قد بلغت و لم تطمث فإنّ علیها العدّة</w:t>
      </w:r>
      <w:r>
        <w:rPr>
          <w:rFonts w:eastAsia="IRNazanin" w:cs="IRNazanin"/>
          <w:color w:val="111111"/>
          <w:sz w:val="28"/>
          <w:szCs w:val="28"/>
          <w:rtl w:val="true"/>
          <w:lang w:bidi="fa-IR"/>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محمّد بن مسلم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 لا تحبل مثلها لا عدّة علیها</w:t>
      </w:r>
      <w:r>
        <w:rPr>
          <w:rFonts w:eastAsia="IRNazanin" w:cs="IRNazanin"/>
          <w:color w:val="111111"/>
          <w:sz w:val="28"/>
          <w:szCs w:val="28"/>
          <w:rtl w:val="true"/>
          <w:lang w:bidi="fa-IR"/>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الحرّ العاملی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یدلّ علی حکم الصغیرة</w:t>
      </w:r>
      <w:r>
        <w:rPr>
          <w:rFonts w:eastAsia="IRNazanin" w:cs="IRNazanin"/>
          <w:color w:val="111111"/>
          <w:sz w:val="28"/>
          <w:szCs w:val="28"/>
          <w:rtl w:val="true"/>
          <w:lang w:bidi="fa-IR"/>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ابن أبی یعفور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الجاریة التی لم تطمث و لم تبلغ الحبل إذا اشتراها الرّجل؟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علیها عدّة، یقع علیها</w:t>
      </w:r>
      <w:r>
        <w:rPr>
          <w:rFonts w:eastAsia="IRNazanin" w:cs="IRNazanin"/>
          <w:color w:val="111111"/>
          <w:sz w:val="28"/>
          <w:szCs w:val="28"/>
          <w:rtl w:val="true"/>
          <w:lang w:bidi="fa-IR"/>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جمیل عن أحدهما علیهما السلام فی الرّجل یطلّق الصبیّة التی لم تبلغ و لا یحمل مثلها و قد کان دخل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علیهما عدّة و إن دخل بهما</w:t>
      </w:r>
      <w:r>
        <w:rPr>
          <w:rFonts w:eastAsia="IRNazanin" w:cs="IRNazanin"/>
          <w:color w:val="111111"/>
          <w:sz w:val="28"/>
          <w:szCs w:val="28"/>
          <w:rtl w:val="true"/>
          <w:lang w:bidi="fa-IR"/>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قد یشهد لذلک أیضاً فحوی الأخبار المستفیضة المتضمّنة لنفی العدّة عن الصغیرة، و التی لم تبلغ المحیض، ثمّ قرّر تقریب الاستدلال بهذه النصوص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الوجه فی انتفاء العدّة فی مثلها علی ما یستفاد من النصوص عدم الاسترابة بالحمل فی مثلها، و مقتضی ذلک خروجها عن حدّ الصغر بإمکان الحمل، فخروجها عنه بتحقّقه أولی</w:t>
      </w:r>
      <w:r>
        <w:rPr>
          <w:rFonts w:eastAsia="IRNazanin" w:cs="IRNazanin"/>
          <w:color w:val="111111"/>
          <w:sz w:val="28"/>
          <w:szCs w:val="28"/>
          <w:rtl w:val="true"/>
          <w:lang w:bidi="fa-IR"/>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المناهل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یدلّ علی ذلک أیضاً ظهور الاتّفاق و الإجماع</w:t>
      </w:r>
      <w:r>
        <w:rPr>
          <w:rFonts w:eastAsia="IRNazanin" w:cs="IRNazanin"/>
          <w:color w:val="111111"/>
          <w:sz w:val="28"/>
          <w:szCs w:val="28"/>
          <w:rtl w:val="true"/>
          <w:lang w:bidi="fa-IR"/>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ادّعی فی الجواهر</w:t>
      </w:r>
      <w:r>
        <w:rPr>
          <w:rStyle w:val="FootnoteAnchor"/>
          <w:rtl w:val="true"/>
        </w:rPr>
        <w:footnoteReference w:id="1051"/>
      </w:r>
      <w:r>
        <w:rPr>
          <w:rFonts w:ascii="IRNazanin" w:hAnsi="IRNazanin" w:eastAsia="IRNazanin"/>
          <w:color w:val="111111"/>
          <w:sz w:val="28"/>
          <w:sz w:val="28"/>
          <w:szCs w:val="28"/>
          <w:rtl w:val="true"/>
          <w:lang w:bidi="fa-IR"/>
        </w:rPr>
        <w:t>و الحدائق</w:t>
      </w:r>
      <w:r>
        <w:rPr>
          <w:rStyle w:val="FootnoteAnchor"/>
          <w:rtl w:val="true"/>
        </w:rPr>
        <w:footnoteReference w:id="1052"/>
      </w:r>
      <w:r>
        <w:rPr>
          <w:rFonts w:ascii="IRNazanin" w:hAnsi="IRNazanin" w:eastAsia="IRNazanin"/>
          <w:color w:val="111111"/>
          <w:sz w:val="28"/>
          <w:sz w:val="28"/>
          <w:szCs w:val="28"/>
          <w:rtl w:val="true"/>
          <w:lang w:bidi="fa-IR"/>
        </w:rPr>
        <w:t>عدم الخلاف فیه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فی الإجماع علی کون الحیض بنفسه بلوغاً، فالإجماعات</w:t>
      </w:r>
      <w:bookmarkStart w:id="290" w:name="pg11757_135570"/>
    </w:p>
    <w:p>
      <w:pPr>
        <w:pStyle w:val="BookText"/>
        <w:rPr/>
      </w:pPr>
      <w:bookmarkEnd w:id="290"/>
      <w:r>
        <w:rPr>
          <w:rFonts w:ascii="IRNazanin" w:hAnsi="IRNazanin" w:eastAsia="IRNazanin"/>
          <w:color w:val="111111"/>
          <w:sz w:val="28"/>
          <w:sz w:val="28"/>
          <w:szCs w:val="28"/>
          <w:rtl w:val="true"/>
          <w:lang w:bidi="fa-IR"/>
        </w:rPr>
        <w:t>متصادمة، کما فی مفتاح الکرامة</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1" w:name="__RefHeading___Toc9696727_73709187"/>
      <w:bookmarkStart w:id="292" w:name="_Toc107"/>
      <w:bookmarkEnd w:id="291"/>
      <w:r>
        <w:rPr>
          <w:rtl w:val="true"/>
        </w:rPr>
        <w:t>إیضاح</w:t>
      </w:r>
      <w:r>
        <w:rPr>
          <w:rtl w:val="true"/>
        </w:rPr>
        <w:t>:</w:t>
      </w:r>
      <w:bookmarkEnd w:id="292"/>
    </w:p>
    <w:p>
      <w:pPr>
        <w:pStyle w:val="BookText"/>
        <w:rPr/>
      </w:pPr>
      <w:r>
        <w:rPr>
          <w:rFonts w:ascii="IRNazanin" w:hAnsi="IRNazanin" w:eastAsia="IRNazanin"/>
          <w:color w:val="111111"/>
          <w:sz w:val="28"/>
          <w:sz w:val="28"/>
          <w:szCs w:val="28"/>
          <w:rtl w:val="true"/>
          <w:lang w:bidi="fa-IR"/>
        </w:rPr>
        <w:t>و تظهر فائدة الخلاف بین القولین فی قضاء ما یجب قضاؤه من العبادات، و فی إنفاذ إقرارها و تصرّفاتها المتقدّمة علی رؤیة الدم بزمان یعلم عدم تأخّر بلوغها عنه، کما فی الجواهر</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قال فی مجمع الفائدة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ثمرة کثیرة فی البحث أنّهما دلیلان علیه أو یحصل بهما البلوغ</w:t>
      </w:r>
      <w:r>
        <w:rPr>
          <w:rFonts w:eastAsia="IRNazanin" w:cs="IRNazanin"/>
          <w:color w:val="111111"/>
          <w:sz w:val="28"/>
          <w:szCs w:val="28"/>
          <w:rtl w:val="true"/>
          <w:lang w:bidi="fa-IR"/>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الجمع بین القولین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کونهما بلوغاً بأنفسهما تعلیق أحکام الشرع علیهما و إن کانا کاشفین عنه حقیقة و دلیلین علی سبق الإنزال و السنّ علیهما، و یرشد إلی ذلک عبارة المسالک و الحدائق حیث ادّعیا عدم الخلاف فی کلا القولین، جاء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فی کونهما دلیلین علی سبق البلوغ، کما لا خلاف فی کونهما بلوغاً بأنفسهما، أمّا الحیض فقد علّق الشارع أحکام المکلّف علیه فی عدة أخبار</w:t>
      </w:r>
      <w:r>
        <w:rPr>
          <w:rFonts w:eastAsia="IRNazanin" w:cs="IRNazanin"/>
          <w:color w:val="111111"/>
          <w:sz w:val="28"/>
          <w:szCs w:val="28"/>
          <w:rtl w:val="true"/>
          <w:lang w:bidi="fa-IR"/>
        </w:rPr>
        <w:t>»</w:t>
      </w:r>
      <w:r>
        <w:rPr>
          <w:rStyle w:val="FootnoteAnchor"/>
          <w:rtl w:val="true"/>
        </w:rPr>
        <w:footnoteReference w:id="1056"/>
      </w:r>
      <w:r>
        <w:rPr>
          <w:rFonts w:ascii="IRNazanin" w:hAnsi="IRNazanin" w:eastAsia="IRNazanin"/>
          <w:color w:val="111111"/>
          <w:sz w:val="28"/>
          <w:sz w:val="28"/>
          <w:szCs w:val="28"/>
          <w:rtl w:val="true"/>
          <w:lang w:bidi="fa-IR"/>
        </w:rPr>
        <w:t>، و کذا فی الحدائق</w:t>
      </w:r>
      <w:r>
        <w:rPr>
          <w:rStyle w:val="FootnoteAnchor"/>
          <w:rtl w:val="true"/>
        </w:rPr>
        <w:footnoteReference w:id="1057"/>
      </w:r>
      <w:r>
        <w:rPr>
          <w:rFonts w:ascii="IRNazanin" w:hAnsi="IRNazanin" w:eastAsia="IRNazanin"/>
          <w:color w:val="111111"/>
          <w:sz w:val="28"/>
          <w:sz w:val="28"/>
          <w:szCs w:val="28"/>
          <w:rtl w:val="true"/>
          <w:lang w:bidi="fa-IR"/>
        </w:rPr>
        <w:t>، و کیف یمکن ادّعاء عدم الخلاف فی القولین المختلفین؟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إلی بعض ذلک فی مفتاح الکرامة</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الشهید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قول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قد یکونان دلیلاً علی سبق</w:t>
      </w:r>
      <w:bookmarkStart w:id="293" w:name="pg11757_135571"/>
    </w:p>
    <w:p>
      <w:pPr>
        <w:pStyle w:val="BookText"/>
        <w:rPr/>
      </w:pPr>
      <w:bookmarkEnd w:id="293"/>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w:t>
      </w:r>
      <w:r>
        <w:rPr>
          <w:rStyle w:val="FootnoteAnchor"/>
          <w:rtl w:val="true"/>
        </w:rPr>
        <w:footnoteReference w:id="10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أتی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التقلیلیّة فی هذا المقام، لا لتردّده فی دلالتهما؛ لأنّهما إجماعیّة، بل لأنّهما مسبوقان غالباً بغیرهما من العلامات، خصوصاً السنّ، فدلالتهما علی البلوغ بحیث یتوقّف علمه علیهما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التعلیل فی الحیض أنّهم حکموا بکون الدّم الذی قبل التسع لا یکون حیضاً، و بعده یتحقّق البلوغ بالسنّ، فلا تظهر دلالة الحیض علی البلوغ حینئذ إلّا علی تقدیر حمله علی المجهول سنّها، فإنّها إذا رأت ما هو بصفته جامعاً لشرائطه قلّة و کثرة یحکم بکونه حیضاً، و یکون دلیلاً علی سبق البلوغ؛ نظراً إلی الغالب، و فائدة دلالتهما علی سبقه أنّهما إذا حصلا یحکم ببلوغ المرأة قبلهما، فلو أوقعت عقداً قبلهما بلا فصل یحکم بصحّته</w:t>
      </w:r>
      <w:r>
        <w:rPr>
          <w:rFonts w:eastAsia="IRNazanin" w:cs="IRNazanin"/>
          <w:color w:val="111111"/>
          <w:sz w:val="28"/>
          <w:szCs w:val="28"/>
          <w:rtl w:val="true"/>
          <w:lang w:bidi="fa-IR"/>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4" w:name="__RefHeading___Toc9696729_73709187"/>
      <w:bookmarkStart w:id="295" w:name="_Toc108"/>
      <w:bookmarkEnd w:id="294"/>
      <w:r>
        <w:rPr>
          <w:rtl w:val="true"/>
        </w:rPr>
        <w:t>علائم اخری للبلوغ</w:t>
      </w:r>
      <w:bookmarkEnd w:id="295"/>
    </w:p>
    <w:p>
      <w:pPr>
        <w:pStyle w:val="BookText"/>
        <w:rPr/>
      </w:pPr>
      <w:r>
        <w:rPr>
          <w:rFonts w:ascii="IRNazanin" w:hAnsi="IRNazanin" w:eastAsia="IRNazanin"/>
          <w:color w:val="111111"/>
          <w:sz w:val="28"/>
          <w:sz w:val="28"/>
          <w:szCs w:val="28"/>
          <w:rtl w:val="true"/>
          <w:lang w:bidi="fa-IR"/>
        </w:rPr>
        <w:t xml:space="preserve">ذکر بعض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اخری، و هی</w:t>
      </w:r>
      <w:r>
        <w:rPr>
          <w:rFonts w:eastAsia="IRNazanin" w:cs="IRNazanin"/>
          <w:color w:val="111111"/>
          <w:sz w:val="28"/>
          <w:szCs w:val="28"/>
          <w:rtl w:val="true"/>
          <w:lang w:bidi="fa-IR"/>
        </w:rPr>
        <w:t>:</w:t>
      </w:r>
    </w:p>
    <w:p>
      <w:pPr>
        <w:pStyle w:val="Heading6"/>
        <w:numPr>
          <w:ilvl w:val="5"/>
          <w:numId w:val="1"/>
        </w:numPr>
        <w:rPr/>
      </w:pPr>
      <w:bookmarkStart w:id="296" w:name="__RefHeading___Toc9696731_73709187"/>
      <w:bookmarkStart w:id="297" w:name="_Toc109"/>
      <w:bookmarkEnd w:id="296"/>
      <w:r>
        <w:rPr/>
        <w:t>1</w:t>
      </w:r>
      <w:r>
        <w:rPr>
          <w:rtl w:val="true"/>
        </w:rPr>
        <w:t xml:space="preserve"> - </w:t>
      </w:r>
      <w:r>
        <w:rPr>
          <w:rtl w:val="true"/>
        </w:rPr>
        <w:t>کمال العقل</w:t>
      </w:r>
      <w:bookmarkEnd w:id="297"/>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الشیخ فی النهایة من جملة علائم البلوغ کمال العقل،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حدّ بلوغ الصّبیّ إمّا أن یحتلم أو یشعر أو یکمل عقله، فمتی حصل فیه شیء من هذه الأوصاف فقد دخل فی حدّ الکمال</w:t>
      </w:r>
      <w:r>
        <w:rPr>
          <w:rFonts w:eastAsia="IRNazanin" w:cs="IRNazanin"/>
          <w:color w:val="111111"/>
          <w:sz w:val="28"/>
          <w:szCs w:val="28"/>
          <w:rtl w:val="true"/>
          <w:lang w:bidi="fa-IR"/>
        </w:rPr>
        <w:t>»</w:t>
      </w:r>
      <w:r>
        <w:rPr>
          <w:rStyle w:val="FootnoteAnchor"/>
          <w:rtl w:val="true"/>
        </w:rPr>
        <w:footnoteReference w:id="10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نکتها</w:t>
      </w:r>
      <w:r>
        <w:rPr>
          <w:rStyle w:val="FootnoteAnchor"/>
          <w:rtl w:val="true"/>
        </w:rPr>
        <w:footnoteReference w:id="1062"/>
      </w:r>
      <w:r>
        <w:rPr>
          <w:rFonts w:ascii="Amiri" w:hAnsi="Amiri" w:eastAsia="Amiri" w:cs="Amiri"/>
          <w:color w:val="111111"/>
          <w:sz w:val="28"/>
          <w:sz w:val="28"/>
          <w:szCs w:val="28"/>
          <w:rtl w:val="true"/>
          <w:lang w:bidi="ar-SA"/>
        </w:rPr>
        <w:t>، و صرّح به أیضاً فی المهذّب فی باب الوصیّة</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أنّه لم یکن المقصود من کمال العقل رشد الصبیّ و خروجه من السفاهة و نحوه؛ لأنّ کثیراً من الصبیان لیسوا من السفهاء و مع هذا لم یکونوا بالغین، و لو کان المقصود ذلک فاللازم اشتراط تصرّفه فی أمواله به، بل المقصود من کمال العقل هو أن یخرج من حالة الصباوة و الصغر إلی حال البلوغ، و یتحقّق فیه ما یتحقّق فی البالغین بحسب الطبیعة 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البلوغ حالة طبیعیّة تکوینیّة و لیس أمراً تعبدیّاً شرعیّاً، و قد بیّن الشارع لهذا الأمر الطبیعی علائم قطعیّة</w:t>
      </w:r>
      <w:r>
        <w:rPr>
          <w:rStyle w:val="FootnoteAnchor"/>
          <w:rtl w:val="true"/>
        </w:rPr>
        <w:footnoteReference w:id="1064"/>
      </w:r>
      <w:r>
        <w:rPr>
          <w:rFonts w:ascii="IRNazanin" w:hAnsi="IRNazanin" w:eastAsia="IRNazanin"/>
          <w:color w:val="111111"/>
          <w:sz w:val="28"/>
          <w:sz w:val="28"/>
          <w:szCs w:val="28"/>
          <w:rtl w:val="true"/>
          <w:lang w:bidi="fa-IR"/>
        </w:rPr>
        <w:t>، و هی الثلاثة التی اشتهر ذکرها فی کلمات الفقهاء، و علائم ظنیّة،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العقل، و المراد به</w:t>
      </w:r>
      <w:r>
        <w:rPr>
          <w:rStyle w:val="FootnoteAnchor"/>
          <w:rtl w:val="true"/>
        </w:rPr>
        <w:footnoteReference w:id="1065"/>
      </w:r>
      <w:r>
        <w:rPr>
          <w:rFonts w:ascii="IRNazanin" w:hAnsi="IRNazanin" w:eastAsia="IRNazanin"/>
          <w:color w:val="111111"/>
          <w:sz w:val="28"/>
          <w:sz w:val="28"/>
          <w:szCs w:val="28"/>
          <w:rtl w:val="true"/>
          <w:lang w:bidi="fa-IR"/>
        </w:rPr>
        <w:t>خروج الصبیّ من الصباوة من جمیع الجهات،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تمکنه من الوطی و خروج المنیّ، فإذا احرز ذلک بکمال عقله یحکم ببلوغه، و لعلّه یمکن استفادة هذا المعنی من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بَلَغُوا النِّکاحَ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فی الأدلّة انحصار العلائم فی أعداد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فی الأدلّة هی العلائم القطعیّة، مضافاً إلی أنّ الانحصار</w:t>
      </w:r>
      <w:r>
        <w:rPr>
          <w:rStyle w:val="FootnoteAnchor"/>
          <w:rtl w:val="true"/>
        </w:rPr>
        <w:footnoteReference w:id="1066"/>
      </w:r>
      <w:r>
        <w:rPr>
          <w:rFonts w:ascii="IRNazanin" w:hAnsi="IRNazanin" w:eastAsia="IRNazanin"/>
          <w:color w:val="111111"/>
          <w:sz w:val="28"/>
          <w:sz w:val="28"/>
          <w:szCs w:val="28"/>
          <w:rtl w:val="true"/>
          <w:lang w:bidi="fa-IR"/>
        </w:rPr>
        <w:t>فی ذلک یحتاج إلی دلیل، و ذکرها فی الروایات لا یکون دلیلاً علی عدم غیرها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الملاک فی البلوغ هو وصول الصبیّ إلی مرحلة الکمال الطبیعی،</w:t>
      </w:r>
      <w:bookmarkStart w:id="298" w:name="pg11757_135573"/>
    </w:p>
    <w:p>
      <w:pPr>
        <w:pStyle w:val="BookText"/>
        <w:rPr/>
      </w:pPr>
      <w:bookmarkEnd w:id="298"/>
      <w:r>
        <w:rPr>
          <w:rFonts w:ascii="IRNazanin" w:hAnsi="IRNazanin" w:eastAsia="IRNazanin"/>
          <w:color w:val="111111"/>
          <w:sz w:val="28"/>
          <w:sz w:val="28"/>
          <w:szCs w:val="28"/>
          <w:rtl w:val="true"/>
          <w:lang w:bidi="fa-IR"/>
        </w:rPr>
        <w:t>فإذا احرز ذلک بأیّ طریق کان کفی فی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أن یکون کمال العقل دلیلاً علی البلوغ و یحرز ذلک بالعلائم المشهورة غالباً</w:t>
      </w:r>
      <w:r>
        <w:rPr>
          <w:rFonts w:eastAsia="IRNazanin" w:cs="IRNazanin"/>
          <w:color w:val="111111"/>
          <w:sz w:val="28"/>
          <w:szCs w:val="28"/>
          <w:rtl w:val="true"/>
          <w:lang w:bidi="fa-IR"/>
        </w:rPr>
        <w:t>.</w:t>
      </w:r>
    </w:p>
    <w:p>
      <w:pPr>
        <w:pStyle w:val="Heading6"/>
        <w:numPr>
          <w:ilvl w:val="5"/>
          <w:numId w:val="1"/>
        </w:numPr>
        <w:rPr/>
      </w:pPr>
      <w:bookmarkStart w:id="299" w:name="__RefHeading___Toc9696733_73709187"/>
      <w:bookmarkStart w:id="300" w:name="_Toc110"/>
      <w:bookmarkEnd w:id="299"/>
      <w:r>
        <w:rPr/>
        <w:t>2</w:t>
      </w:r>
      <w:r>
        <w:rPr>
          <w:rtl w:val="true"/>
        </w:rPr>
        <w:t xml:space="preserve"> - </w:t>
      </w:r>
      <w:r>
        <w:rPr>
          <w:rtl w:val="true"/>
        </w:rPr>
        <w:t>ثقل الصوت و نهود الثدی</w:t>
      </w:r>
      <w:bookmarkEnd w:id="300"/>
    </w:p>
    <w:p>
      <w:pPr>
        <w:pStyle w:val="BookText"/>
        <w:rPr/>
      </w:pPr>
      <w:r>
        <w:rPr>
          <w:rStyle w:val="FootnoteAnchor"/>
          <w:rtl w:val="true"/>
        </w:rPr>
        <w:footnoteReference w:id="10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بعد البلوغ غالباً یغلظ الصوت و ینهد الثدی، فهل یکونان هذین من علائم البلوغ، أم لا؟ لم یقل أحد من الفقهاء بذلک، و لکن حیث إنّهما یکونان بعد البلوغ بحسب العادة فلا بأس بأن نقول بعلامیّتهما إن لم تتحقّق علامة غیرهما، کما صرّح بذلک العلّامة فی التذکرة،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ثقل الصوت و نهود الثدی و نتوء طرف الحلقوم و انفراق الأرنبة فلا أثر له، کما لا أثر لاخضرار الشارب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به عندی بناءً علی العادة القاضیة بتأخّر ذلک عن البلوغ</w:t>
      </w:r>
      <w:r>
        <w:rPr>
          <w:rFonts w:eastAsia="IRNazanin" w:cs="IRNazanin"/>
          <w:color w:val="111111"/>
          <w:sz w:val="28"/>
          <w:szCs w:val="28"/>
          <w:rtl w:val="true"/>
          <w:lang w:bidi="fa-IR"/>
        </w:rPr>
        <w:t>»</w:t>
      </w:r>
      <w:r>
        <w:rPr>
          <w:rStyle w:val="FootnoteAnchor"/>
          <w:rtl w:val="true"/>
        </w:rPr>
        <w:footnoteReference w:id="1068"/>
      </w:r>
      <w:r>
        <w:rPr>
          <w:rFonts w:ascii="IRNazanin" w:hAnsi="IRNazanin" w:eastAsia="IRNazanin"/>
          <w:color w:val="111111"/>
          <w:sz w:val="28"/>
          <w:sz w:val="28"/>
          <w:szCs w:val="28"/>
          <w:rtl w:val="true"/>
          <w:lang w:bidi="fa-IR"/>
        </w:rPr>
        <w:t>، و ذکره أیضاً فی غنائم الأیّام</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عدم ذکرهما فی کلمات الفقهاء لتأخّرهما عن البلوغ عادةً، و مع الشکّ فی البلوغ یحکم بعدمه بمقتضی الأصل، کما هو الظاهر</w:t>
      </w:r>
      <w:r>
        <w:rPr>
          <w:rFonts w:eastAsia="IRNazanin" w:cs="IRNazanin"/>
          <w:color w:val="111111"/>
          <w:sz w:val="28"/>
          <w:szCs w:val="28"/>
          <w:rtl w:val="true"/>
          <w:lang w:bidi="fa-IR"/>
        </w:rPr>
        <w:t>.</w:t>
      </w:r>
    </w:p>
    <w:p>
      <w:pPr>
        <w:pStyle w:val="Heading6"/>
        <w:numPr>
          <w:ilvl w:val="5"/>
          <w:numId w:val="1"/>
        </w:numPr>
        <w:rPr/>
      </w:pPr>
      <w:bookmarkStart w:id="301" w:name="__RefHeading___Toc9696735_73709187"/>
      <w:bookmarkStart w:id="302" w:name="_Toc111"/>
      <w:bookmarkEnd w:id="301"/>
      <w:r>
        <w:rPr/>
        <w:t>3</w:t>
      </w:r>
      <w:r>
        <w:rPr>
          <w:rtl w:val="true"/>
        </w:rPr>
        <w:t xml:space="preserve"> - </w:t>
      </w:r>
      <w:r>
        <w:rPr>
          <w:rtl w:val="true"/>
        </w:rPr>
        <w:t>ریح الإبط‌</w:t>
      </w:r>
      <w:bookmarkEnd w:id="30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بعض الروایات من علائم البلوغ ریح الإبط کما فی مستدرک الوسائل عن علیّ بن إبراهیم فی تفسیر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ابْتَلُوا الْیَتامی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bookmarkStart w:id="303" w:name="pg11757_135574"/>
    </w:p>
    <w:p>
      <w:pPr>
        <w:pStyle w:val="BookText"/>
        <w:rPr/>
      </w:pPr>
      <w:bookmarkEnd w:id="303"/>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کانوا لا یعلمون أنه قد بلغ فإنّه یمتحن بریح إبطه، أو نبت عانته، فإذا کان ذلک فقد بلغ</w:t>
      </w:r>
      <w:r>
        <w:rPr>
          <w:rFonts w:eastAsia="IRNazanin" w:cs="IRNazanin"/>
          <w:color w:val="111111"/>
          <w:sz w:val="28"/>
          <w:szCs w:val="28"/>
          <w:rtl w:val="true"/>
          <w:lang w:bidi="fa-IR"/>
        </w:rPr>
        <w:t>»</w:t>
      </w:r>
      <w:r>
        <w:rPr>
          <w:rStyle w:val="FootnoteAnchor"/>
          <w:rtl w:val="true"/>
        </w:rPr>
        <w:footnoteReference w:id="1071"/>
      </w:r>
      <w:r>
        <w:rPr>
          <w:rFonts w:ascii="IRNazanin" w:hAnsi="IRNazanin" w:eastAsia="IRNazanin"/>
          <w:color w:val="111111"/>
          <w:sz w:val="28"/>
          <w:sz w:val="28"/>
          <w:szCs w:val="28"/>
          <w:rtl w:val="true"/>
          <w:lang w:bidi="fa-IR"/>
        </w:rPr>
        <w:t>، الحدیث، و لکنّ الظاهر أنّه لم یکن هذا من کلام الإمام علیه السلام، بل هو رأی علیّ بن إبراهیم فی تفسیره، و لا أقلّ من الشکّ فی ذلک، مضافاً إلی أنّه معارض بما ورد عن علیّ علیه السلام من کونه مع الاحتلام دلیلاً علی البلوغ،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الغلام لا یجب علیه الحدّ کاملاً حتّی یحتلم و یسطع ریح إبطه</w:t>
      </w:r>
      <w:r>
        <w:rPr>
          <w:rFonts w:eastAsia="IRNazanin" w:cs="IRNazanin"/>
          <w:color w:val="111111"/>
          <w:sz w:val="28"/>
          <w:szCs w:val="28"/>
          <w:rtl w:val="true"/>
          <w:lang w:bidi="fa-IR"/>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فیجمع بینهما بحمل المطلق علی المقیّد، و یحکم بأنّ ریح الإبط مع الاحتلام یکون دلیلاً علی البلوغ، و أمّا منفرداً فلا</w:t>
      </w:r>
      <w:r>
        <w:rPr>
          <w:rFonts w:eastAsia="IRNazanin" w:cs="IRNazanin"/>
          <w:color w:val="111111"/>
          <w:sz w:val="28"/>
          <w:szCs w:val="28"/>
          <w:rtl w:val="true"/>
          <w:lang w:bidi="fa-IR"/>
        </w:rPr>
        <w:t>.</w:t>
      </w:r>
    </w:p>
    <w:p>
      <w:pPr>
        <w:pStyle w:val="Heading6"/>
        <w:numPr>
          <w:ilvl w:val="5"/>
          <w:numId w:val="1"/>
        </w:numPr>
        <w:rPr/>
      </w:pPr>
      <w:bookmarkStart w:id="304" w:name="__RefHeading___Toc9696737_73709187"/>
      <w:bookmarkStart w:id="305" w:name="_Toc112"/>
      <w:bookmarkEnd w:id="304"/>
      <w:r>
        <w:rPr>
          <w:rtl w:val="true"/>
        </w:rPr>
        <w:t>البلوغ عند أهل السنّة</w:t>
      </w:r>
      <w:bookmarkEnd w:id="305"/>
    </w:p>
    <w:p>
      <w:pPr>
        <w:pStyle w:val="BookText"/>
        <w:rPr/>
      </w:pPr>
      <w:r>
        <w:rPr>
          <w:rFonts w:ascii="IRNazanin" w:hAnsi="IRNazanin" w:eastAsia="IRNazanin"/>
          <w:color w:val="111111"/>
          <w:sz w:val="28"/>
          <w:sz w:val="28"/>
          <w:szCs w:val="28"/>
          <w:rtl w:val="true"/>
          <w:lang w:bidi="fa-IR"/>
        </w:rPr>
        <w:t>إنّ البلوغ یحصل بخمسة أشیاء، ثلاثة منها یشترک فیها الرجال و النساء،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الاحتلام، و الإنبات، و السنّ، و اثنان منها تختصّ بهما النساء دون الرجال، و هما الحیض و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صرّح به جمهور الفقهاء</w:t>
      </w:r>
      <w:r>
        <w:rPr>
          <w:rStyle w:val="FootnoteAnchor"/>
          <w:rtl w:val="true"/>
        </w:rPr>
        <w:footnoteReference w:id="10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الشافعیّة و المالکیّة و الحنابلة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خالف فی ذلک أبو حنیفة، فلم یر الإنبات علامة علی البلوغ</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إلیک نصّ کلماتهم علی الترتیب التالی</w:t>
      </w:r>
      <w:r>
        <w:rPr>
          <w:rFonts w:eastAsia="IRNazanin" w:cs="IRNazanin"/>
          <w:color w:val="111111"/>
          <w:sz w:val="28"/>
          <w:szCs w:val="28"/>
          <w:rtl w:val="true"/>
          <w:lang w:bidi="fa-IR"/>
        </w:rPr>
        <w:t>:</w:t>
      </w:r>
      <w:bookmarkStart w:id="306" w:name="pg11757_135575"/>
    </w:p>
    <w:p>
      <w:pPr>
        <w:pStyle w:val="Heading6"/>
        <w:numPr>
          <w:ilvl w:val="5"/>
          <w:numId w:val="1"/>
        </w:numPr>
        <w:rPr/>
      </w:pPr>
      <w:bookmarkStart w:id="307" w:name="__RefHeading___Toc9696739_73709187"/>
      <w:bookmarkStart w:id="308" w:name="_Toc113"/>
      <w:bookmarkEnd w:id="306"/>
      <w:bookmarkEnd w:id="307"/>
      <w:r>
        <w:rPr>
          <w:rtl w:val="true"/>
        </w:rPr>
        <w:t>الأوّل</w:t>
      </w:r>
      <w:r>
        <w:rPr>
          <w:rtl w:val="true"/>
        </w:rPr>
        <w:t xml:space="preserve">: </w:t>
      </w:r>
      <w:r>
        <w:rPr>
          <w:rtl w:val="true"/>
        </w:rPr>
        <w:t>الاحتلام</w:t>
      </w:r>
      <w:bookmarkEnd w:id="308"/>
    </w:p>
    <w:p>
      <w:pPr>
        <w:pStyle w:val="BookText"/>
        <w:rPr/>
      </w:pPr>
      <w:r>
        <w:rPr>
          <w:rFonts w:ascii="Amiri" w:hAnsi="Amiri" w:eastAsia="Amiri" w:cs="Amiri"/>
          <w:color w:val="111111"/>
          <w:sz w:val="28"/>
          <w:sz w:val="28"/>
          <w:szCs w:val="28"/>
          <w:rtl w:val="true"/>
          <w:lang w:bidi="ar-SA"/>
        </w:rPr>
        <w:t>جاء فی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الإنزال فهو إنزال المنیّ، فمتی أنزل صار بالغاً، و الدلیل علیه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بَلَغَ الْأَطْفالُ مِنْکُمُ الْحُلُمَ فَلْیَسْتَأْذِنُوا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فأمرهم بالاستئذان بعد الاحتلام، فدلّ علی أنّه بلوغ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عطیّة القرظی،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عرضنا علی النبیّ صلی الله علیه و آله زمن قریظة، فمن کان منّا محتلماً أو نبتت عانته قتل</w:t>
      </w:r>
      <w:r>
        <w:rPr>
          <w:rStyle w:val="FootnoteAnchor"/>
          <w:rtl w:val="true"/>
        </w:rPr>
        <w:footnoteReference w:id="1075"/>
      </w:r>
      <w:r>
        <w:rPr>
          <w:rFonts w:ascii="IRNazanin" w:hAnsi="IRNazanin" w:eastAsia="IRNazanin"/>
          <w:color w:val="111111"/>
          <w:sz w:val="28"/>
          <w:sz w:val="28"/>
          <w:szCs w:val="28"/>
          <w:rtl w:val="true"/>
          <w:lang w:bidi="fa-IR"/>
        </w:rPr>
        <w:t>، فلو لم یکن بالغاً لما قتل</w:t>
      </w:r>
      <w:r>
        <w:rPr>
          <w:rStyle w:val="FootnoteAnchor"/>
          <w:rtl w:val="true"/>
        </w:rPr>
        <w:footnoteReference w:id="10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المجموع</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فی مغنی المحتاج بما روی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القلم عن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الصبیّ حتّی یحتلم</w:t>
      </w:r>
      <w:r>
        <w:rPr>
          <w:rFonts w:eastAsia="IRNazanin" w:cs="IRNazanin"/>
          <w:color w:val="111111"/>
          <w:sz w:val="28"/>
          <w:szCs w:val="28"/>
          <w:rtl w:val="true"/>
          <w:lang w:bidi="fa-IR"/>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الاحتلام، و هو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یراه النائم، و المراد به هنا خروج المنیّ فی نوم أو یقظة بجماع أو غیره</w:t>
      </w:r>
      <w:r>
        <w:rPr>
          <w:rFonts w:eastAsia="IRNazanin" w:cs="IRNazanin"/>
          <w:color w:val="111111"/>
          <w:sz w:val="28"/>
          <w:szCs w:val="28"/>
          <w:rtl w:val="true"/>
          <w:lang w:bidi="fa-IR"/>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قرّره فی البدائع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الاحتلام غایة لارتفاع الخطاب، و الخطاب بالبلوغ دلّ علی أنّ البلوغ یثبت بالاحتلام؛ و لأنّ البلوغ و الإدراک عبارة عن بلوغ المرء کمال الحال، و ذلک بکمال القدرة و القوّة، و القدرة من حیث سلامة الأسباب و الآلات هی إمکان استعمال سائر الجوارح السلیمة، و ذلک لا یتحقّق علی الکمال إلّا عند الاحتلام</w:t>
      </w:r>
      <w:r>
        <w:rPr>
          <w:rFonts w:eastAsia="IRNazanin" w:cs="IRNazanin"/>
          <w:color w:val="111111"/>
          <w:sz w:val="28"/>
          <w:szCs w:val="28"/>
          <w:rtl w:val="true"/>
          <w:lang w:bidi="fa-IR"/>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استدلّ فی المغنی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الاستدلال بالآیة و الحدیث المتقدِّمین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بحدیث 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لمّا وجّهه إلی الیمن أمره أن یأخذ من البقر من کلّ 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کلّ حالم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محتلماً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دیناراً أو عدله من المعافر، ثیاب تکون بالیمن</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أجمعوا علی أنّ الفرائض و الأحکام تجب علی المحتلم العاقل</w:t>
      </w:r>
      <w:r>
        <w:rPr>
          <w:rFonts w:eastAsia="IRNazanin" w:cs="IRNazanin"/>
          <w:color w:val="111111"/>
          <w:sz w:val="28"/>
          <w:szCs w:val="28"/>
          <w:rtl w:val="true"/>
          <w:lang w:bidi="fa-IR"/>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عابدین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الاحتلام جعل اسماً لما یراه النائم من الجماع، فیحدث معه إنزال المنیّ غالباً، فغلب لفظ الاحتلام فی هذا دون غیره من أنواع المنام؛ لکثرة الاستعمال</w:t>
      </w:r>
      <w:r>
        <w:rPr>
          <w:rFonts w:eastAsia="IRNazanin" w:cs="IRNazanin"/>
          <w:color w:val="111111"/>
          <w:sz w:val="28"/>
          <w:szCs w:val="28"/>
          <w:rtl w:val="true"/>
          <w:lang w:bidi="fa-IR"/>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کونه یختصّ بالذکور أو یعمّ الإناث أیضاً عندهم وجهان، قال فی مغنی المحتاج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فی النساء؛ لأنّه نادر فیهنّ</w:t>
      </w:r>
      <w:r>
        <w:rPr>
          <w:rFonts w:eastAsia="IRNazanin" w:cs="IRNazanin"/>
          <w:color w:val="111111"/>
          <w:sz w:val="28"/>
          <w:szCs w:val="28"/>
          <w:rtl w:val="true"/>
          <w:lang w:bidi="fa-IR"/>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یکون الاحتلام من الصبیّة بلوغاً؟ 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بلوغاً؛ لقوله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الصبیّ حتّی یحتلم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طریقة أصحابنا البغدادیِّین أنّه بلوغ؛ لما روت امّ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امّ سلیم إلی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 اللّه لا یستحیی من الحقّ، فهل علی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غسلاً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هی رأت فی المنام مثل ما یری الرجل؟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إذا هی رأت الماء فلتغتسل</w:t>
      </w:r>
      <w:r>
        <w:rPr>
          <w:rFonts w:eastAsia="IRNazanin" w:cs="IRNazanin"/>
          <w:color w:val="111111"/>
          <w:sz w:val="28"/>
          <w:szCs w:val="28"/>
          <w:rtl w:val="true"/>
          <w:lang w:bidi="fa-IR"/>
        </w:rPr>
        <w:t>»</w:t>
      </w:r>
      <w:r>
        <w:rPr>
          <w:rStyle w:val="FootnoteAnchor"/>
          <w:rtl w:val="true"/>
        </w:rPr>
        <w:footnoteReference w:id="1085"/>
      </w:r>
      <w:r>
        <w:rPr>
          <w:rFonts w:ascii="IRNazanin" w:hAnsi="IRNazanin" w:eastAsia="IRNazanin"/>
          <w:color w:val="111111"/>
          <w:sz w:val="28"/>
          <w:sz w:val="28"/>
          <w:szCs w:val="28"/>
          <w:rtl w:val="true"/>
          <w:lang w:bidi="fa-IR"/>
        </w:rPr>
        <w:t>، فأمرها</w:t>
      </w:r>
      <w:bookmarkStart w:id="309" w:name="pg11757_135577"/>
    </w:p>
    <w:p>
      <w:pPr>
        <w:pStyle w:val="BookText"/>
        <w:rPr/>
      </w:pPr>
      <w:bookmarkEnd w:id="309"/>
      <w:r>
        <w:rPr>
          <w:rFonts w:ascii="IRNazanin" w:hAnsi="IRNazanin" w:eastAsia="IRNazanin"/>
          <w:color w:val="111111"/>
          <w:sz w:val="28"/>
          <w:sz w:val="28"/>
          <w:szCs w:val="28"/>
          <w:rtl w:val="true"/>
          <w:lang w:bidi="fa-IR"/>
        </w:rPr>
        <w:t>بالاغتسال، فثبت أنّها مکلّفة</w:t>
      </w:r>
      <w:r>
        <w:rPr>
          <w:rFonts w:eastAsia="IRNazanin" w:cs="IRNazanin"/>
          <w:color w:val="111111"/>
          <w:sz w:val="28"/>
          <w:szCs w:val="28"/>
          <w:rtl w:val="true"/>
          <w:lang w:bidi="fa-IR"/>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0" w:name="__RefHeading___Toc9696741_73709187"/>
      <w:bookmarkStart w:id="311" w:name="_Toc114"/>
      <w:bookmarkEnd w:id="310"/>
      <w:r>
        <w:rPr>
          <w:rtl w:val="true"/>
        </w:rPr>
        <w:t>الثانی</w:t>
      </w:r>
      <w:r>
        <w:rPr>
          <w:rtl w:val="true"/>
        </w:rPr>
        <w:t xml:space="preserve">: </w:t>
      </w:r>
      <w:r>
        <w:rPr>
          <w:rtl w:val="true"/>
        </w:rPr>
        <w:t>الإنبات</w:t>
      </w:r>
      <w:bookmarkEnd w:id="311"/>
    </w:p>
    <w:p>
      <w:pPr>
        <w:pStyle w:val="BookText"/>
        <w:rPr/>
      </w:pPr>
      <w:r>
        <w:rPr>
          <w:rFonts w:ascii="IRNazanin" w:hAnsi="IRNazanin" w:eastAsia="IRNazanin"/>
          <w:color w:val="111111"/>
          <w:sz w:val="28"/>
          <w:sz w:val="28"/>
          <w:szCs w:val="28"/>
          <w:rtl w:val="true"/>
          <w:lang w:bidi="fa-IR"/>
        </w:rPr>
        <w:t>قال فی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نبات الشعر القویّ الذی یحتاج إلی الموسی، لا الزّغب</w:t>
      </w:r>
      <w:r>
        <w:rPr>
          <w:rStyle w:val="FootnoteAnchor"/>
          <w:rtl w:val="true"/>
        </w:rPr>
        <w:footnoteReference w:id="1087"/>
      </w:r>
      <w:r>
        <w:rPr>
          <w:rFonts w:ascii="IRNazanin" w:hAnsi="IRNazanin" w:eastAsia="IRNazanin"/>
          <w:color w:val="111111"/>
          <w:sz w:val="28"/>
          <w:sz w:val="28"/>
          <w:szCs w:val="28"/>
          <w:rtl w:val="true"/>
          <w:lang w:bidi="fa-IR"/>
        </w:rPr>
        <w:t>الأصفر حول الذکر، و حول الفرج، و لا یختلف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نبت ذلک للکافر حکم ببلوغه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بلوغ فی حقّ الکافر، کان بلوغاً فی حقّ المسلم؛ لأنّ ما کان بلوغاً فی حقّ الکافر کان بلوغاً فی حقّ المسلم، کالاحتلام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ببلوغ فی حقّ الکافر و إنّما هو دلالة علی البلوغ، فهل یُجعل ذلک دلالة فی حقّ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دلالة علی بلوغه؛ لأنّ ما کان دلالة علی البلوغ فی حقّ الکافر کان دلالة و علماً علی البلوغ فی حقّ المسلم، کالحمل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یکون دلالة علی بلوغ المسلم؛ لأنّه یمکن الرجوع إلی معرفة سنّ المسلم؛ لأنّه مولود بین المسلمین، و لا یمکن ذلک فی سنّ الکافر، فلذلک جعل الإنبات علماً علی بلوغه</w:t>
      </w:r>
      <w:r>
        <w:rPr>
          <w:rFonts w:eastAsia="IRNazanin" w:cs="IRNazanin"/>
          <w:color w:val="111111"/>
          <w:sz w:val="28"/>
          <w:szCs w:val="28"/>
          <w:rtl w:val="true"/>
          <w:lang w:bidi="fa-IR"/>
        </w:rPr>
        <w:t>»</w:t>
      </w:r>
      <w:r>
        <w:rPr>
          <w:rStyle w:val="FootnoteAnchor"/>
          <w:rtl w:val="true"/>
        </w:rPr>
        <w:footnoteReference w:id="10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نهایة المحتاج</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مغنی المحتاج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یکون علامة علی بلوغه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لسهولة مراجعة آبائه و أقاربه من المسلمین، بخلاف الکفّار؛ و لأنّه منهم فربّما استعجل</w:t>
      </w:r>
    </w:p>
    <w:p>
      <w:pPr>
        <w:pStyle w:val="BookText"/>
        <w:rPr/>
      </w:pPr>
      <w:r>
        <w:rPr>
          <w:rFonts w:ascii="Amiri" w:hAnsi="Amiri" w:eastAsia="Amiri" w:cs="Amiri"/>
          <w:color w:val="111111"/>
          <w:sz w:val="28"/>
          <w:sz w:val="28"/>
          <w:szCs w:val="28"/>
          <w:rtl w:val="true"/>
          <w:lang w:bidi="ar-SA"/>
        </w:rPr>
        <w:t>الإنبات بالمعالجة دفعاً للحجر</w:t>
      </w:r>
      <w:r>
        <w:rPr>
          <w:rFonts w:eastAsia="Amiri" w:cs="Amiri" w:ascii="Amiri" w:hAnsi="Amiri"/>
          <w:color w:val="111111"/>
          <w:sz w:val="28"/>
          <w:szCs w:val="28"/>
          <w:rtl w:val="true"/>
          <w:lang w:bidi="ar-SA"/>
        </w:rPr>
        <w:t>»</w:t>
      </w:r>
      <w:r>
        <w:rPr>
          <w:rStyle w:val="FootnoteAnchor"/>
          <w:rtl w:val="true"/>
        </w:rPr>
        <w:footnoteReference w:id="10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روضة الطالبین</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الإنصاف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نبات الشعر الخشن حول القبل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المذهب و علیه الأصحاب، و نقله الجماعة عن الإمام أحمد</w:t>
      </w:r>
      <w:r>
        <w:rPr>
          <w:rFonts w:eastAsia="IRNazanin" w:cs="IRNazanin"/>
          <w:color w:val="111111"/>
          <w:sz w:val="28"/>
          <w:szCs w:val="28"/>
          <w:rtl w:val="true"/>
          <w:lang w:bidi="fa-IR"/>
        </w:rPr>
        <w:t>»</w:t>
      </w:r>
      <w:r>
        <w:rPr>
          <w:rStyle w:val="FootnoteAnchor"/>
          <w:rtl w:val="true"/>
        </w:rPr>
        <w:footnoteReference w:id="1092"/>
      </w:r>
      <w:r>
        <w:rPr>
          <w:rFonts w:ascii="IRNazanin" w:hAnsi="IRNazanin" w:eastAsia="IRNazanin"/>
          <w:color w:val="111111"/>
          <w:sz w:val="28"/>
          <w:sz w:val="28"/>
          <w:szCs w:val="28"/>
          <w:rtl w:val="true"/>
          <w:lang w:bidi="fa-IR"/>
        </w:rPr>
        <w:t>، و کذا فی عقد الجواهر الثمینة</w:t>
      </w:r>
      <w:r>
        <w:rPr>
          <w:rStyle w:val="FootnoteAnchor"/>
          <w:rtl w:val="true"/>
        </w:rPr>
        <w:footnoteReference w:id="1093"/>
      </w:r>
      <w:r>
        <w:rPr>
          <w:rFonts w:ascii="IRNazanin" w:hAnsi="IRNazanin" w:eastAsia="IRNazanin"/>
          <w:color w:val="111111"/>
          <w:sz w:val="28"/>
          <w:sz w:val="28"/>
          <w:szCs w:val="28"/>
          <w:rtl w:val="true"/>
          <w:lang w:bidi="fa-IR"/>
        </w:rPr>
        <w:t>و مواهب الجلیل</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فی المغنی بما روی عطیّة القرظی،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عرضت علی رسول اللّه صلی الله علیه و آله یوم قریظة، فشکّوا فیّ، فأمر النبیّ صلی الله علیه و آله أن ینظر إلیّ هل أنبتّ بعد؟ فنظروا إلیّ فلم یجدونی أنبتّ بعد، فألحقونی بالذریّة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لأنّه خارج یلازمه البلوغ غالباً، و یستوی فیه الذکر و الاُنثی، فکان علماً علی البلوغ کالاحتلام، و لأنّ الخارج ضربان، متّصل و منفصل، فلمّا کان من المنفصل ما یثبت به البلوغ کذلک المتصل، و ما کان بلوغاً فی حقّ المشرکین کان بلوغاً فی حقّ المسلمین کالاحتلام و السنّ</w:t>
      </w:r>
      <w:r>
        <w:rPr>
          <w:rFonts w:eastAsia="IRNazanin" w:cs="IRNazanin"/>
          <w:color w:val="111111"/>
          <w:sz w:val="28"/>
          <w:szCs w:val="28"/>
          <w:rtl w:val="true"/>
          <w:lang w:bidi="fa-IR"/>
        </w:rPr>
        <w:t>»</w:t>
      </w:r>
      <w:r>
        <w:rPr>
          <w:rStyle w:val="FootnoteAnchor"/>
          <w:rtl w:val="true"/>
        </w:rPr>
        <w:footnoteReference w:id="1095"/>
      </w:r>
      <w:r>
        <w:rPr>
          <w:rFonts w:ascii="IRNazanin" w:hAnsi="IRNazanin" w:eastAsia="IRNazanin"/>
          <w:color w:val="111111"/>
          <w:sz w:val="28"/>
          <w:sz w:val="28"/>
          <w:szCs w:val="28"/>
          <w:rtl w:val="true"/>
          <w:lang w:bidi="fa-IR"/>
        </w:rPr>
        <w:t>، و خالف فی ذلک الحنفیّة فلم یروه علامة علی البلوغ</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عابدین فی ذیل عبارة 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یوجد فیهما، أی فی الغلام و الجاریة، فحتّی یتمّ لکلّ منهما خمس عشرة سنة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اعتبار لنبات العانة</w:t>
      </w:r>
      <w:r>
        <w:rPr>
          <w:rFonts w:eastAsia="IRNazanin" w:cs="IRNazanin"/>
          <w:color w:val="111111"/>
          <w:sz w:val="28"/>
          <w:szCs w:val="28"/>
          <w:rtl w:val="true"/>
          <w:lang w:bidi="fa-IR"/>
        </w:rPr>
        <w:t>»</w:t>
      </w:r>
      <w:r>
        <w:rPr>
          <w:rStyle w:val="FootnoteAnchor"/>
          <w:rtl w:val="true"/>
        </w:rPr>
        <w:footnoteReference w:id="1096"/>
      </w:r>
      <w:r>
        <w:rPr>
          <w:rFonts w:ascii="IRNazanin" w:hAnsi="IRNazanin" w:eastAsia="IRNazanin"/>
          <w:color w:val="111111"/>
          <w:sz w:val="28"/>
          <w:sz w:val="28"/>
          <w:szCs w:val="28"/>
          <w:rtl w:val="true"/>
          <w:lang w:bidi="fa-IR"/>
        </w:rPr>
        <w:t>، و علّله بعضهم بأنّ شعر العانة شعر نبت علی الجسم کغیره</w:t>
      </w:r>
      <w:bookmarkStart w:id="312" w:name="pg11757_135579"/>
    </w:p>
    <w:p>
      <w:pPr>
        <w:pStyle w:val="BookText"/>
        <w:rPr/>
      </w:pPr>
      <w:bookmarkEnd w:id="312"/>
      <w:r>
        <w:rPr>
          <w:rFonts w:ascii="IRNazanin" w:hAnsi="IRNazanin" w:eastAsia="IRNazanin"/>
          <w:color w:val="111111"/>
          <w:sz w:val="28"/>
          <w:sz w:val="28"/>
          <w:szCs w:val="28"/>
          <w:rtl w:val="true"/>
          <w:lang w:bidi="fa-IR"/>
        </w:rPr>
        <w:t>من الشعور، فلا یصلح علامة علی البلوغ کغیره</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الحاوی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الإنبات فقد منع أبو حنفیة أن یکون له بالبلوغ تعلّقاً لقوله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القلم عن ثلاثة</w:t>
      </w:r>
      <w:r>
        <w:rPr>
          <w:rFonts w:eastAsia="IRNazanin" w:cs="IRNazanin"/>
          <w:color w:val="111111"/>
          <w:sz w:val="28"/>
          <w:szCs w:val="28"/>
          <w:rtl w:val="true"/>
          <w:lang w:bidi="fa-IR"/>
        </w:rPr>
        <w:t>»</w:t>
      </w:r>
      <w:r>
        <w:rPr>
          <w:rStyle w:val="FootnoteAnchor"/>
          <w:rtl w:val="true"/>
        </w:rPr>
        <w:footnoteReference w:id="1098"/>
      </w:r>
      <w:r>
        <w:rPr>
          <w:rFonts w:ascii="IRNazanin" w:hAnsi="IRNazanin" w:eastAsia="IRNazanin"/>
          <w:color w:val="111111"/>
          <w:sz w:val="28"/>
          <w:sz w:val="28"/>
          <w:szCs w:val="28"/>
          <w:rtl w:val="true"/>
          <w:lang w:bidi="fa-IR"/>
        </w:rPr>
        <w:t>، و ذکر من ذلک الصبیّ حتّی یحتلم، فجعل الاحتلام حداً لبلوغه، و لأنّه لمّا لم یکن إنبات شعر الوجه بلوغاً فأولی ألا یکون إنبات شعر العانة بلوغاً</w:t>
      </w:r>
      <w:r>
        <w:rPr>
          <w:rFonts w:eastAsia="IRNazanin" w:cs="IRNazanin"/>
          <w:color w:val="111111"/>
          <w:sz w:val="28"/>
          <w:szCs w:val="28"/>
          <w:rtl w:val="true"/>
          <w:lang w:bidi="fa-IR"/>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3" w:name="__RefHeading___Toc9696743_73709187"/>
      <w:bookmarkStart w:id="314" w:name="_Toc115"/>
      <w:bookmarkEnd w:id="313"/>
      <w:r>
        <w:rPr>
          <w:rtl w:val="true"/>
        </w:rPr>
        <w:t>الثالث</w:t>
      </w:r>
      <w:r>
        <w:rPr>
          <w:rtl w:val="true"/>
        </w:rPr>
        <w:t xml:space="preserve">: </w:t>
      </w:r>
      <w:r>
        <w:rPr>
          <w:rtl w:val="true"/>
        </w:rPr>
        <w:t>السنّ‌</w:t>
      </w:r>
      <w:bookmarkEnd w:id="314"/>
    </w:p>
    <w:p>
      <w:pPr>
        <w:pStyle w:val="BookText"/>
        <w:rPr/>
      </w:pPr>
      <w:r>
        <w:rPr>
          <w:rFonts w:ascii="IRNazanin" w:hAnsi="IRNazanin" w:eastAsia="IRNazanin"/>
          <w:color w:val="111111"/>
          <w:sz w:val="28"/>
          <w:sz w:val="28"/>
          <w:szCs w:val="28"/>
          <w:rtl w:val="true"/>
          <w:lang w:bidi="fa-IR"/>
        </w:rPr>
        <w:t>ذهب الشافعیّة و الحنابلة إلی أنّ البلوغ یکون بخمس عشرة سنة فی الغلام و الجاریة</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فی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السنّ فهو أن یستکمل الرجل أو المرأة خمس عشرة سنةً،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المسعودیّ وجهاً لبعض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البلوغ یحصل بالطّعن فی أوّل سنة الخمس عشرة سنة، و الأوّل أصحّ‌</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علیه الماوردی بحدیث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عرضه یوم احد و هو ابن أربع عشرة سنة فلم یجزنی، و عرضنی یوم الخندق و أنا ابن خمس عشرة سنة فأجازنی</w:t>
      </w:r>
      <w:r>
        <w:rPr>
          <w:rFonts w:eastAsia="IRNazanin" w:cs="IRNazanin"/>
          <w:color w:val="111111"/>
          <w:sz w:val="28"/>
          <w:szCs w:val="28"/>
          <w:rtl w:val="true"/>
          <w:lang w:bidi="fa-IR"/>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روایة اخری عنه بهذا المضمون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فالدّلالة من هذین الحدیثین</w:t>
      </w:r>
    </w:p>
    <w:p>
      <w:pPr>
        <w:pStyle w:val="BookText"/>
        <w:rPr/>
      </w:pPr>
      <w:r>
        <w:rPr>
          <w:rFonts w:ascii="IRNazanin" w:hAnsi="IRNazanin" w:eastAsia="IRNazanin"/>
          <w:color w:val="111111"/>
          <w:sz w:val="28"/>
          <w:sz w:val="28"/>
          <w:szCs w:val="28"/>
          <w:rtl w:val="true"/>
          <w:lang w:bidi="fa-IR"/>
        </w:rPr>
        <w:t>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ردّه سنة أربع عشرة لأنّه لم یبلغ علم أنَّ إجازته سنة خمس عشرة؛ لأنّه لا یجوز أن یردّه لمعنی ثمّ یجیزه مع وجود ذلک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أجازه سنة خمس عشرة فی المقاتلة، و هم البالغون</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بهذا الحدیث أیضاً فی المغنی،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حسن،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بحدیث أنس عن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استکمل المولود خمس عشرة سنة کتب ماله و ما علیه، و اقیمت علیه الحدود</w:t>
      </w:r>
      <w:r>
        <w:rPr>
          <w:rFonts w:eastAsia="IRNazanin" w:cs="IRNazanin"/>
          <w:color w:val="111111"/>
          <w:sz w:val="28"/>
          <w:szCs w:val="28"/>
          <w:rtl w:val="true"/>
          <w:lang w:bidi="fa-IR"/>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و لأنّ السنّ معنی یحصل به البلوغ یشترک فیه الغلام و الجاریة، فاستویا فیه کالإنزال</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یحصل البلوغ بثمان عشرة سنة فی الغلام و سبع عشرة سنة فی الجاریة</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فی البدائع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الشرع لمّا علّق الحکم و الخطاب بالاحتلام بالدلائل التی ذکرناها فیجب بناء الحکم علیه، و لا یرتفع الحکم عنه ما لم یتیقّن بعدمه و یقع الیأس عن وجوده، و إنّما یقع الیأس بهذه المدّة؛ لأنّ الاحتلام إلی هذه المدّة متصوّر فی الجملة، فلا یجوز إزالة الحکم الثابت بالاحتلام عنه مع الاحتمال</w:t>
      </w:r>
      <w:r>
        <w:rPr>
          <w:rFonts w:eastAsia="IRNazanin" w:cs="IRNazanin"/>
          <w:color w:val="111111"/>
          <w:sz w:val="28"/>
          <w:szCs w:val="28"/>
          <w:rtl w:val="true"/>
          <w:lang w:bidi="fa-IR"/>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اختلف المالکیّة فی السنّ التی یتحقّق بها البلوغ علی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عشرة سنة، سبع عشرة سنة، ستّ عشرة</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تبیین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بلوغ ثمان عشرة سنة علی المشهور، أی بإکمالها، و قیل بالدخول فیها</w:t>
      </w:r>
      <w:r>
        <w:rPr>
          <w:rFonts w:eastAsia="IRNazanin" w:cs="IRNazanin"/>
          <w:color w:val="111111"/>
          <w:sz w:val="28"/>
          <w:szCs w:val="28"/>
          <w:rtl w:val="true"/>
          <w:lang w:bidi="fa-IR"/>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 و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الحیض و الحمل المختصّان بالاُنثی</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الإنصاف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تزید الجاریة بالحیض و الحمل بلا نزاع علی الصحیح من المذهب</w:t>
      </w:r>
      <w:r>
        <w:rPr>
          <w:rFonts w:eastAsia="IRNazanin" w:cs="IRNazanin"/>
          <w:color w:val="111111"/>
          <w:sz w:val="28"/>
          <w:szCs w:val="28"/>
          <w:rtl w:val="true"/>
          <w:lang w:bidi="fa-IR"/>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مواهب الجلیل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خلاف فی کونهما علامات</w:t>
      </w:r>
      <w:r>
        <w:rPr>
          <w:rFonts w:eastAsia="IRNazanin" w:cs="IRNazanin"/>
          <w:color w:val="111111"/>
          <w:sz w:val="28"/>
          <w:szCs w:val="28"/>
          <w:rtl w:val="true"/>
          <w:lang w:bidi="fa-IR"/>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الماوردی بما روی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یقبل اللّه صلاة حائض إلّا بخمار</w:t>
      </w:r>
      <w:r>
        <w:rPr>
          <w:rFonts w:eastAsia="IRNazanin" w:cs="IRNazanin"/>
          <w:color w:val="111111"/>
          <w:sz w:val="28"/>
          <w:szCs w:val="28"/>
          <w:rtl w:val="true"/>
          <w:lang w:bidi="fa-IR"/>
        </w:rPr>
        <w:t>»</w:t>
      </w:r>
      <w:r>
        <w:rPr>
          <w:rStyle w:val="FootnoteAnchor"/>
          <w:rtl w:val="true"/>
        </w:rPr>
        <w:footnoteReference w:id="1113"/>
      </w:r>
      <w:r>
        <w:rPr>
          <w:rFonts w:ascii="Amiri" w:hAnsi="Amiri" w:eastAsia="Amiri" w:cs="Amiri"/>
          <w:color w:val="111111"/>
          <w:sz w:val="28"/>
          <w:sz w:val="28"/>
          <w:szCs w:val="28"/>
          <w:rtl w:val="true"/>
          <w:lang w:bidi="ar-SA"/>
        </w:rPr>
        <w:t>، یعنی بلغت وقت الحیض، لا أنّه أراد کونها فی وقت الحیض؛ لأنّ الحائض لا تصحّ منها الصلاة بحال، فأمّا الحمل فهو دلیل علی تقدّم البلوغ، و لیس ببلوغ فی نفسه کما وهم فیه بعض أصحابنا، و إنّما کان کذلک لأنّ الولد مخلوق من ماء الرجل و ماء المرأة،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فَلْیَنْظُرِ الْإِنْسانُ مِمَّ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 بَیْنِ الصُّلْبِ وَ التَّرائِبِ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أصلاب الرجال، و الترائب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خَلَقْنَا الْإِنْسانَ مِنْ نُطْفَةٍ أَمْشاجٍ نَبْتَلِیهِ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أخلاط، فإذا کان الولد مخلوقاً من مائیهما دلّ الحمل علی تقدّم إنزالها، فصار دلیلاً علی تقدّم بلوغها</w:t>
      </w:r>
      <w:r>
        <w:rPr>
          <w:rFonts w:eastAsia="Amiri" w:cs="Amiri" w:ascii="Amiri" w:hAnsi="Amiri"/>
          <w:color w:val="111111"/>
          <w:sz w:val="28"/>
          <w:szCs w:val="28"/>
          <w:rtl w:val="true"/>
          <w:lang w:bidi="ar-SA"/>
        </w:rPr>
        <w:t>»</w:t>
      </w:r>
      <w:r>
        <w:rPr>
          <w:rStyle w:val="FootnoteAnchor"/>
          <w:rtl w:val="true"/>
        </w:rPr>
        <w:footnoteReference w:id="1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البیان، و 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وضعت المرأة الحمل حکمنا بأنّها قد بلغت قبل الوضع بستّة أشهر إن کانت ذات زوج</w:t>
      </w:r>
      <w:r>
        <w:rPr>
          <w:rFonts w:eastAsia="IRNazanin" w:cs="IRNazanin"/>
          <w:color w:val="111111"/>
          <w:sz w:val="28"/>
          <w:szCs w:val="28"/>
          <w:rtl w:val="true"/>
          <w:lang w:bidi="fa-IR"/>
        </w:rPr>
        <w:t>»</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الشرح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الحیض علم علی البلوغ فی حقّ الجاریة لا نعلم فیه خلافاً، و استدلّ بالحدیث المتقدّم آنفاً،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تعالی أجری العادة أنّ الولد إنّما یخلق من ماء الرجل و ماء المرأة، 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الْإِنْسانُ مِمَّ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و أخبر النبیّ صلی الله علیه و آله بذلک فی الأحادیث، فعلی هذا یحکم ببلوغها فی الوقت الذی حملت فیه</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روضة الطالبین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ثقل الصوت و نهود الثدی و نتوء طرف الحلقوم و انفراق الأرنبة، فلا أثرلها علی المذهب</w:t>
      </w:r>
      <w:r>
        <w:rPr>
          <w:rFonts w:eastAsia="IRNazanin" w:cs="IRNazanin"/>
          <w:color w:val="111111"/>
          <w:sz w:val="28"/>
          <w:szCs w:val="28"/>
          <w:rtl w:val="true"/>
          <w:lang w:bidi="fa-IR"/>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bookmarkStart w:id="315" w:name="pg11757_135586"/>
    </w:p>
    <w:p>
      <w:pPr>
        <w:pStyle w:val="Heading3"/>
        <w:numPr>
          <w:ilvl w:val="2"/>
          <w:numId w:val="1"/>
        </w:numPr>
        <w:rPr/>
      </w:pPr>
      <w:bookmarkStart w:id="316" w:name="__RefHeading___Toc9696745_73709187"/>
      <w:bookmarkStart w:id="317" w:name="_Toc116"/>
      <w:bookmarkEnd w:id="315"/>
      <w:bookmarkEnd w:id="316"/>
      <w:r>
        <w:rPr>
          <w:rtl w:val="true"/>
        </w:rPr>
        <w:t>الفصل السادس</w:t>
      </w:r>
      <w:r>
        <w:rPr>
          <w:rtl w:val="true"/>
        </w:rPr>
        <w:t xml:space="preserve">: </w:t>
      </w:r>
      <w:r>
        <w:rPr>
          <w:rtl w:val="true"/>
        </w:rPr>
        <w:t>رشد الصبیّ</w:t>
      </w:r>
      <w:bookmarkEnd w:id="317"/>
    </w:p>
    <w:p>
      <w:pPr>
        <w:pStyle w:val="Heading4"/>
        <w:numPr>
          <w:ilvl w:val="3"/>
          <w:numId w:val="1"/>
        </w:numPr>
        <w:rPr/>
      </w:pPr>
      <w:bookmarkStart w:id="318" w:name="__RefHeading___Toc9696747_73709187"/>
      <w:bookmarkStart w:id="319" w:name="_Toc117"/>
      <w:bookmarkEnd w:id="318"/>
      <w:r>
        <w:rPr>
          <w:rtl w:val="true"/>
        </w:rPr>
        <w:t>اشارة</w:t>
      </w:r>
      <w:bookmarkEnd w:id="319"/>
    </w:p>
    <w:p>
      <w:pPr>
        <w:pStyle w:val="BookText"/>
        <w:rPr/>
      </w:pPr>
      <w:r>
        <w:rPr>
          <w:rFonts w:ascii="IRNazanin" w:hAnsi="IRNazanin" w:eastAsia="IRNazanin"/>
          <w:color w:val="111111"/>
          <w:sz w:val="28"/>
          <w:sz w:val="28"/>
          <w:szCs w:val="28"/>
          <w:rtl w:val="true"/>
          <w:lang w:bidi="fa-IR"/>
        </w:rPr>
        <w:t>و فیه مطالب</w:t>
      </w:r>
    </w:p>
    <w:p>
      <w:pPr>
        <w:pStyle w:val="Heading4"/>
        <w:numPr>
          <w:ilvl w:val="3"/>
          <w:numId w:val="1"/>
        </w:numPr>
        <w:rPr/>
      </w:pPr>
      <w:bookmarkStart w:id="320" w:name="__RefHeading___Toc9696749_73709187"/>
      <w:bookmarkStart w:id="321" w:name="_Toc118"/>
      <w:bookmarkEnd w:id="320"/>
      <w:r>
        <w:rPr>
          <w:rtl w:val="true"/>
        </w:rPr>
        <w:t>المطلب الأوّل</w:t>
      </w:r>
      <w:r>
        <w:rPr>
          <w:rtl w:val="true"/>
        </w:rPr>
        <w:t xml:space="preserve">: </w:t>
      </w:r>
      <w:r>
        <w:rPr>
          <w:rtl w:val="true"/>
        </w:rPr>
        <w:t>معنی الرشد</w:t>
      </w:r>
      <w:bookmarkEnd w:id="321"/>
    </w:p>
    <w:p>
      <w:pPr>
        <w:pStyle w:val="Heading5"/>
        <w:numPr>
          <w:ilvl w:val="4"/>
          <w:numId w:val="1"/>
        </w:numPr>
        <w:rPr/>
      </w:pPr>
      <w:bookmarkStart w:id="322" w:name="__RefHeading___Toc9696751_73709187"/>
      <w:bookmarkStart w:id="323" w:name="_Toc119"/>
      <w:bookmarkEnd w:id="322"/>
      <w:r>
        <w:rPr>
          <w:rtl w:val="true"/>
        </w:rPr>
        <w:t>اشارة</w:t>
      </w:r>
      <w:bookmarkEnd w:id="323"/>
    </w:p>
    <w:p>
      <w:pPr>
        <w:pStyle w:val="BookText"/>
        <w:rPr/>
      </w:pPr>
      <w:r>
        <w:rPr>
          <w:rFonts w:ascii="IRNazanin" w:hAnsi="IRNazanin" w:eastAsia="IRNazanin"/>
          <w:color w:val="111111"/>
          <w:sz w:val="28"/>
          <w:sz w:val="28"/>
          <w:szCs w:val="28"/>
          <w:rtl w:val="true"/>
          <w:lang w:bidi="fa-IR"/>
        </w:rPr>
        <w:t>لا خلاف فی أنّه یعتبر فی رفع الحجر عن الصبیّ رشده، بل اتّفق الفقهاء فی ذلک و إن اختلفوا فی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کشف الرموز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یزول حجر الصغیر إلّا بوصفین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عدم الوصفین أو أحدهما یستمرّ الحجر</w:t>
      </w:r>
      <w:r>
        <w:rPr>
          <w:rFonts w:eastAsia="IRNazanin" w:cs="IRNazanin"/>
          <w:color w:val="111111"/>
          <w:sz w:val="28"/>
          <w:szCs w:val="28"/>
          <w:rtl w:val="true"/>
          <w:lang w:bidi="fa-IR"/>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کنز العرفان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 مع البلوغ من إیناس الرشد، و هو عندنا عقله للمعاش</w:t>
      </w:r>
      <w:r>
        <w:rPr>
          <w:rFonts w:eastAsia="IRNazanin" w:cs="IRNazanin"/>
          <w:color w:val="111111"/>
          <w:sz w:val="28"/>
          <w:szCs w:val="28"/>
          <w:rtl w:val="true"/>
          <w:lang w:bidi="fa-IR"/>
        </w:rPr>
        <w:t>»</w:t>
      </w:r>
      <w:r>
        <w:rPr>
          <w:rStyle w:val="FootnoteAnchor"/>
          <w:rtl w:val="true"/>
        </w:rPr>
        <w:footnoteReference w:id="1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التحریر</w:t>
      </w:r>
      <w:r>
        <w:rPr>
          <w:rStyle w:val="FootnoteAnchor"/>
          <w:rtl w:val="true"/>
        </w:rPr>
        <w:footnoteReference w:id="1120"/>
      </w:r>
      <w:r>
        <w:rPr>
          <w:rFonts w:ascii="IRNazanin" w:hAnsi="IRNazanin" w:eastAsia="IRNazanin"/>
          <w:color w:val="111111"/>
          <w:sz w:val="28"/>
          <w:sz w:val="28"/>
          <w:szCs w:val="28"/>
          <w:rtl w:val="true"/>
          <w:lang w:bidi="fa-IR"/>
        </w:rPr>
        <w:t>و المؤتلف</w:t>
      </w:r>
      <w:r>
        <w:rPr>
          <w:rStyle w:val="FootnoteAnchor"/>
          <w:rtl w:val="true"/>
        </w:rPr>
        <w:footnoteReference w:id="1121"/>
      </w:r>
      <w:r>
        <w:rPr>
          <w:rFonts w:ascii="IRNazanin" w:hAnsi="IRNazanin" w:eastAsia="IRNazanin"/>
          <w:color w:val="111111"/>
          <w:sz w:val="28"/>
          <w:sz w:val="28"/>
          <w:szCs w:val="28"/>
          <w:rtl w:val="true"/>
          <w:lang w:bidi="fa-IR"/>
        </w:rPr>
        <w:t>و الشرائع</w:t>
      </w:r>
      <w:r>
        <w:rPr>
          <w:rStyle w:val="FootnoteAnchor"/>
          <w:rtl w:val="true"/>
        </w:rPr>
        <w:footnoteReference w:id="1122"/>
      </w:r>
      <w:r>
        <w:rPr>
          <w:rFonts w:ascii="IRNazanin" w:hAnsi="IRNazanin" w:eastAsia="IRNazanin"/>
          <w:color w:val="111111"/>
          <w:sz w:val="28"/>
          <w:sz w:val="28"/>
          <w:szCs w:val="28"/>
          <w:rtl w:val="true"/>
          <w:lang w:bidi="fa-IR"/>
        </w:rPr>
        <w:t>و الشرح الصغیر</w:t>
      </w:r>
      <w:r>
        <w:rPr>
          <w:rStyle w:val="FootnoteAnchor"/>
          <w:rtl w:val="true"/>
        </w:rPr>
        <w:footnoteReference w:id="1123"/>
      </w:r>
      <w:r>
        <w:rPr>
          <w:rFonts w:ascii="IRNazanin" w:hAnsi="IRNazanin" w:eastAsia="IRNazanin"/>
          <w:color w:val="111111"/>
          <w:sz w:val="28"/>
          <w:sz w:val="28"/>
          <w:szCs w:val="28"/>
          <w:rtl w:val="true"/>
          <w:lang w:bidi="fa-IR"/>
        </w:rPr>
        <w:t>،</w:t>
      </w:r>
      <w:bookmarkStart w:id="324" w:name="pg11757_135587"/>
    </w:p>
    <w:p>
      <w:pPr>
        <w:pStyle w:val="BookText"/>
        <w:rPr/>
      </w:pPr>
      <w:bookmarkEnd w:id="324"/>
      <w:r>
        <w:rPr>
          <w:rFonts w:ascii="IRNazanin" w:hAnsi="IRNazanin" w:eastAsia="IRNazanin"/>
          <w:color w:val="111111"/>
          <w:sz w:val="28"/>
          <w:sz w:val="28"/>
          <w:szCs w:val="28"/>
          <w:rtl w:val="true"/>
          <w:lang w:bidi="fa-IR"/>
        </w:rPr>
        <w:t>و ادّعی علیه الإجماع فی الغنیة</w:t>
      </w:r>
      <w:r>
        <w:rPr>
          <w:rStyle w:val="FootnoteAnchor"/>
          <w:rtl w:val="true"/>
        </w:rPr>
        <w:footnoteReference w:id="1124"/>
      </w:r>
      <w:r>
        <w:rPr>
          <w:rFonts w:ascii="IRNazanin" w:hAnsi="IRNazanin" w:eastAsia="IRNazanin"/>
          <w:color w:val="111111"/>
          <w:sz w:val="28"/>
          <w:sz w:val="28"/>
          <w:szCs w:val="28"/>
          <w:rtl w:val="true"/>
          <w:lang w:bidi="fa-IR"/>
        </w:rPr>
        <w:t>، و فی المناهل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الاتّفاق علیه</w:t>
      </w:r>
      <w:r>
        <w:rPr>
          <w:rFonts w:eastAsia="IRNazanin" w:cs="IRNazanin"/>
          <w:color w:val="111111"/>
          <w:sz w:val="28"/>
          <w:szCs w:val="28"/>
          <w:rtl w:val="true"/>
          <w:lang w:bidi="fa-IR"/>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الوصف الثانی الذی یتوقّف علیه رفع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الرشد فی المال بلا خلاف أجده فیه، بل الإجماع بقسمیه علیه، بل الکتاب و السنّة دالّة علیه أیضاً</w:t>
      </w:r>
      <w:r>
        <w:rPr>
          <w:rFonts w:eastAsia="IRNazanin" w:cs="IRNazanin"/>
          <w:color w:val="111111"/>
          <w:sz w:val="28"/>
          <w:szCs w:val="28"/>
          <w:rtl w:val="true"/>
          <w:lang w:bidi="fa-IR"/>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یکفی البلوغ فی زوال الحجر عن الصبیّ، بل لا بدّ معه من الرشد</w:t>
      </w:r>
      <w:r>
        <w:rPr>
          <w:rFonts w:eastAsia="IRNazanin" w:cs="IRNazanin"/>
          <w:color w:val="111111"/>
          <w:sz w:val="28"/>
          <w:szCs w:val="28"/>
          <w:rtl w:val="true"/>
          <w:lang w:bidi="fa-IR"/>
        </w:rPr>
        <w:t>»</w:t>
      </w:r>
      <w:r>
        <w:rPr>
          <w:rStyle w:val="FootnoteAnchor"/>
          <w:rtl w:val="true"/>
        </w:rPr>
        <w:footnoteReference w:id="1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تفصیل الشریعة</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5" w:name="__RefHeading___Toc9696753_73709187"/>
      <w:bookmarkStart w:id="326" w:name="_Toc120"/>
      <w:bookmarkEnd w:id="325"/>
      <w:r>
        <w:rPr>
          <w:rtl w:val="true"/>
        </w:rPr>
        <w:t>الرشد فی اللغة</w:t>
      </w:r>
      <w:bookmarkEnd w:id="326"/>
    </w:p>
    <w:p>
      <w:pPr>
        <w:pStyle w:val="BookText"/>
        <w:rPr/>
      </w:pPr>
      <w:r>
        <w:rPr>
          <w:rFonts w:ascii="Amiri" w:hAnsi="Amiri" w:eastAsia="Amiri" w:cs="Amiri"/>
          <w:color w:val="111111"/>
          <w:sz w:val="28"/>
          <w:sz w:val="28"/>
          <w:szCs w:val="28"/>
          <w:rtl w:val="true"/>
          <w:lang w:bidi="ar-SA"/>
        </w:rPr>
        <w:t>معنی الرشد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الغیّ، ففی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الرُّشْد، الرَّشَد و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نقیض الغیّ، رشَد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یَرْشُد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نقیض الضلال إذا أصاب وجه الأمر</w:t>
      </w:r>
      <w:r>
        <w:rPr>
          <w:rFonts w:eastAsia="Amiri" w:cs="Amiri" w:ascii="Amiri" w:hAnsi="Amiri"/>
          <w:color w:val="111111"/>
          <w:sz w:val="28"/>
          <w:szCs w:val="28"/>
          <w:rtl w:val="true"/>
          <w:lang w:bidi="ar-SA"/>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المصباح المنیر</w:t>
      </w:r>
      <w:r>
        <w:rPr>
          <w:rStyle w:val="FootnoteAnchor"/>
          <w:rtl w:val="true"/>
        </w:rPr>
        <w:footnoteReference w:id="1130"/>
      </w:r>
      <w:r>
        <w:rPr>
          <w:rFonts w:ascii="IRNazanin" w:hAnsi="IRNazanin" w:eastAsia="IRNazanin"/>
          <w:color w:val="111111"/>
          <w:sz w:val="28"/>
          <w:sz w:val="28"/>
          <w:szCs w:val="28"/>
          <w:rtl w:val="true"/>
          <w:lang w:bidi="fa-IR"/>
        </w:rPr>
        <w:t>و المفردات</w:t>
      </w:r>
      <w:r>
        <w:rPr>
          <w:rStyle w:val="FootnoteAnchor"/>
          <w:rtl w:val="true"/>
        </w:rPr>
        <w:footnoteReference w:id="1131"/>
      </w:r>
      <w:r>
        <w:rPr>
          <w:rFonts w:ascii="IRNazanin" w:hAnsi="IRNazanin" w:eastAsia="IRNazanin"/>
          <w:color w:val="111111"/>
          <w:sz w:val="28"/>
          <w:sz w:val="28"/>
          <w:szCs w:val="28"/>
          <w:rtl w:val="true"/>
          <w:lang w:bidi="fa-IR"/>
        </w:rPr>
        <w:t>و غیرها</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مجمع البحرین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خلاف العمهِ و الضلال، و فُسّر بإصابة الحقّ</w:t>
      </w:r>
      <w:r>
        <w:rPr>
          <w:rFonts w:eastAsia="IRNazanin" w:cs="IRNazanin"/>
          <w:color w:val="111111"/>
          <w:sz w:val="28"/>
          <w:szCs w:val="28"/>
          <w:rtl w:val="true"/>
          <w:lang w:bidi="fa-IR"/>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bookmarkStart w:id="327" w:name="pg11757_135588"/>
    </w:p>
    <w:p>
      <w:pPr>
        <w:pStyle w:val="BookText"/>
        <w:rPr/>
      </w:pPr>
      <w:bookmarkEnd w:id="327"/>
      <w:r>
        <w:rPr>
          <w:rFonts w:ascii="IRNazanin" w:hAnsi="IRNazanin" w:eastAsia="IRNazanin"/>
          <w:color w:val="111111"/>
          <w:sz w:val="28"/>
          <w:sz w:val="28"/>
          <w:szCs w:val="28"/>
          <w:rtl w:val="true"/>
          <w:lang w:bidi="fa-IR"/>
        </w:rPr>
        <w:t>و فی تاج العروس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الرشد یستعمل فی کلّ ما یحمد، و الغیّ فی کلّ ما یذمّ، و جماعة فرّقوا بین المضموم و المحرّک،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الرُّشد بالضمّ یکون فی الاُمور الدنیویّة و الاُخرویّة، و بالتحریک إنّما یکون فی الاُخرویّة خاصّة</w:t>
      </w:r>
      <w:r>
        <w:rPr>
          <w:rFonts w:eastAsia="IRNazanin" w:cs="IRNazanin"/>
          <w:color w:val="111111"/>
          <w:sz w:val="28"/>
          <w:szCs w:val="28"/>
          <w:rtl w:val="true"/>
          <w:lang w:bidi="fa-IR"/>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8" w:name="__RefHeading___Toc9696755_73709187"/>
      <w:bookmarkStart w:id="329" w:name="_Toc121"/>
      <w:bookmarkEnd w:id="328"/>
      <w:r>
        <w:rPr>
          <w:rtl w:val="true"/>
        </w:rPr>
        <w:t>الرشد فی الاصطلاح</w:t>
      </w:r>
      <w:bookmarkEnd w:id="329"/>
    </w:p>
    <w:p>
      <w:pPr>
        <w:pStyle w:val="BookText"/>
        <w:rPr/>
      </w:pPr>
      <w:r>
        <w:rPr>
          <w:rFonts w:ascii="IRNazanin" w:hAnsi="IRNazanin" w:eastAsia="IRNazanin"/>
          <w:color w:val="111111"/>
          <w:sz w:val="28"/>
          <w:sz w:val="28"/>
          <w:szCs w:val="28"/>
          <w:rtl w:val="true"/>
          <w:lang w:bidi="fa-IR"/>
        </w:rPr>
        <w:t xml:space="preserve">ذهب المشهور إلی أنّ المقصود من الرشد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یتوقّف علیه رفع الحجر عن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یکون مصلحاً لماله، و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الوصف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یکون مصلحاً لماله</w:t>
      </w:r>
      <w:r>
        <w:rPr>
          <w:rFonts w:eastAsia="IRNazanin" w:cs="IRNazanin"/>
          <w:color w:val="111111"/>
          <w:sz w:val="28"/>
          <w:szCs w:val="28"/>
          <w:rtl w:val="true"/>
          <w:lang w:bidi="fa-IR"/>
        </w:rPr>
        <w:t>»</w:t>
      </w:r>
      <w:r>
        <w:rPr>
          <w:rStyle w:val="FootnoteAnchor"/>
          <w:rtl w:val="true"/>
        </w:rPr>
        <w:footnoteReference w:id="1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المختصر النافع</w:t>
      </w:r>
      <w:r>
        <w:rPr>
          <w:rStyle w:val="FootnoteAnchor"/>
          <w:rtl w:val="true"/>
        </w:rPr>
        <w:footnoteReference w:id="1136"/>
      </w:r>
      <w:r>
        <w:rPr>
          <w:rFonts w:ascii="IRNazanin" w:hAnsi="IRNazanin" w:eastAsia="IRNazanin"/>
          <w:color w:val="111111"/>
          <w:sz w:val="28"/>
          <w:sz w:val="28"/>
          <w:szCs w:val="28"/>
          <w:rtl w:val="true"/>
          <w:lang w:bidi="fa-IR"/>
        </w:rPr>
        <w:t>، و اختاره ابن سعید</w:t>
      </w:r>
      <w:r>
        <w:rPr>
          <w:rStyle w:val="FootnoteAnchor"/>
          <w:rtl w:val="true"/>
        </w:rPr>
        <w:footnoteReference w:id="1137"/>
      </w:r>
      <w:r>
        <w:rPr>
          <w:rFonts w:ascii="IRNazanin" w:hAnsi="IRNazanin" w:eastAsia="IRNazanin"/>
          <w:color w:val="111111"/>
          <w:sz w:val="28"/>
          <w:sz w:val="28"/>
          <w:szCs w:val="28"/>
          <w:rtl w:val="true"/>
          <w:lang w:bidi="fa-IR"/>
        </w:rPr>
        <w:t>الحلّی و العلّامة فی التحریر</w:t>
      </w:r>
      <w:r>
        <w:rPr>
          <w:rStyle w:val="FootnoteAnchor"/>
          <w:rtl w:val="true"/>
        </w:rPr>
        <w:footnoteReference w:id="1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مجمع الفائدة و البرهان</w:t>
      </w:r>
      <w:r>
        <w:rPr>
          <w:rStyle w:val="FootnoteAnchor"/>
          <w:rtl w:val="true"/>
        </w:rPr>
        <w:footnoteReference w:id="1139"/>
      </w:r>
      <w:r>
        <w:rPr>
          <w:rFonts w:ascii="IRNazanin" w:hAnsi="IRNazanin" w:eastAsia="IRNazanin"/>
          <w:color w:val="111111"/>
          <w:sz w:val="28"/>
          <w:sz w:val="28"/>
          <w:szCs w:val="28"/>
          <w:rtl w:val="true"/>
          <w:lang w:bidi="fa-IR"/>
        </w:rPr>
        <w:t>و التنقیح الرائع</w:t>
      </w:r>
      <w:r>
        <w:rPr>
          <w:rStyle w:val="FootnoteAnchor"/>
          <w:rtl w:val="true"/>
        </w:rPr>
        <w:footnoteReference w:id="1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طفحت به عباراتهم</w:t>
      </w:r>
      <w:r>
        <w:rPr>
          <w:rFonts w:eastAsia="IRNazanin" w:cs="IRNazanin"/>
          <w:color w:val="111111"/>
          <w:sz w:val="28"/>
          <w:szCs w:val="28"/>
          <w:rtl w:val="true"/>
          <w:lang w:bidi="fa-IR"/>
        </w:rPr>
        <w:t>»</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0" w:name="__RefHeading___Toc9696757_73709187"/>
      <w:bookmarkStart w:id="331" w:name="_Toc122"/>
      <w:bookmarkEnd w:id="330"/>
      <w:r>
        <w:rPr>
          <w:rtl w:val="true"/>
        </w:rPr>
        <w:t>أدلّة کون الرشد إصلاحاً للمال</w:t>
      </w:r>
      <w:bookmarkEnd w:id="331"/>
    </w:p>
    <w:p>
      <w:pPr>
        <w:pStyle w:val="BookText"/>
        <w:rPr/>
      </w:pPr>
      <w:r>
        <w:rPr>
          <w:rFonts w:ascii="IRNazanin" w:hAnsi="IRNazanin" w:eastAsia="IRNazanin"/>
          <w:color w:val="111111"/>
          <w:sz w:val="28"/>
          <w:sz w:val="28"/>
          <w:szCs w:val="28"/>
          <w:rtl w:val="true"/>
          <w:lang w:bidi="fa-IR"/>
        </w:rPr>
        <w:t>و یمکن أن یستدلّ لذلک باُمور</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آنَسْتُمْ مِنْهُمْ رُشْداً فَادْفَعُوا إِلَیْهِمْ أَمْوالَهُمْ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مجمع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وجدتم منه رشداً أو عرفتموه، و اختلف فی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و دیناً و صلاحاً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 أن یحمل علی أنّ المراد به العقل و إصلاح المال علی ما قاله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المرویّ عن الباقر علیه السلام؛ للإجماع علی أنّ من یکون کذلک لا یجوز علیه الحجر فی ماله و إن کان فاجراً فی دینه، فکذلک إذا بلغ و هو بهذه الصفة وجب تسلیم ماله إلیه</w:t>
      </w:r>
      <w:r>
        <w:rPr>
          <w:rFonts w:eastAsia="IRNazanin" w:cs="IRNazanin"/>
          <w:color w:val="111111"/>
          <w:sz w:val="28"/>
          <w:szCs w:val="28"/>
          <w:rtl w:val="true"/>
          <w:lang w:bidi="fa-IR"/>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کنز الدقائق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آنَسْتُمْ مِنْهُمْ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أبصرتم منهم رشداً و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أحسستم</w:t>
      </w:r>
      <w:r>
        <w:rPr>
          <w:rFonts w:eastAsia="Amiri" w:cs="Amiri" w:ascii="Amiri" w:hAnsi="Amiri"/>
          <w:color w:val="111111"/>
          <w:sz w:val="28"/>
          <w:szCs w:val="28"/>
          <w:rtl w:val="true"/>
          <w:lang w:bidi="ar-SA"/>
        </w:rPr>
        <w:t>»</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القرطبی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صلاحاً فی العقل و حفظ المال</w:t>
      </w:r>
      <w:r>
        <w:rPr>
          <w:rFonts w:eastAsia="IRNazanin" w:cs="IRNazanin"/>
          <w:color w:val="111111"/>
          <w:sz w:val="28"/>
          <w:szCs w:val="28"/>
          <w:rtl w:val="true"/>
          <w:lang w:bidi="fa-IR"/>
        </w:rPr>
        <w:t>»</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فقه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آنَسْتُمْ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علمتم، فوضع الإیناس موضع العلم، و هو إجماع لا خلاف فیه</w:t>
      </w:r>
      <w:r>
        <w:rPr>
          <w:rFonts w:eastAsia="IRNazanin" w:cs="IRNazanin"/>
          <w:color w:val="111111"/>
          <w:sz w:val="28"/>
          <w:szCs w:val="28"/>
          <w:rtl w:val="true"/>
          <w:lang w:bidi="fa-IR"/>
        </w:rPr>
        <w:t>»</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تفصیل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دخالة الشرطین</w:t>
      </w:r>
      <w:r>
        <w:rPr>
          <w:rStyle w:val="FootnoteAnchor"/>
          <w:rtl w:val="true"/>
        </w:rPr>
        <w:footnoteReference w:id="1146"/>
      </w:r>
      <w:r>
        <w:rPr>
          <w:rFonts w:ascii="IRNazanin" w:hAnsi="IRNazanin" w:eastAsia="IRNazanin"/>
          <w:color w:val="111111"/>
          <w:sz w:val="28"/>
          <w:sz w:val="28"/>
          <w:szCs w:val="28"/>
          <w:rtl w:val="true"/>
          <w:lang w:bidi="fa-IR"/>
        </w:rPr>
        <w:t xml:space="preserve">فی وجوب دفع الأموال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إلی الأیتام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لکنّهما لیسا فی عرض واحد، بل شرطیّتهما طولیّة، بمعنی أنّ الشرط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بلوغ النکاح، و قد عرفت أنّ التعبیر بالبلوغ قد وقع فی هذه الآیة، و 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إیناس الرشد بعد تحقّق البلوغ، فإیناسه قبله لا یؤثر فی وجوب الدفع، و خلاصة المعنی ترجع إلی أنّه</w:t>
      </w:r>
    </w:p>
    <w:p>
      <w:pPr>
        <w:pStyle w:val="BookText"/>
        <w:rPr/>
      </w:pPr>
      <w:r>
        <w:rPr>
          <w:rFonts w:ascii="IRNazanin" w:hAnsi="IRNazanin" w:eastAsia="IRNazanin"/>
          <w:color w:val="111111"/>
          <w:sz w:val="28"/>
          <w:sz w:val="28"/>
          <w:szCs w:val="28"/>
          <w:rtl w:val="true"/>
          <w:lang w:bidi="fa-IR"/>
        </w:rPr>
        <w:t>بعد إحراز البلوغ إن تحقّق إیناس الرشد فالواجب الدفع إلیهم، و إلّا فلا، و لا یکون الاستدلال بالآیة مبتنیاً علی مفهوم الشرط الذی أنکرناه فی الاُصول مطلقاً، حتّی بالإضافة إلی مفهوم الشرط الذی هو فی رأس القضایا المفهومیّة، بل الآیة واقعة فی مقام شبه التحدید، و الأمر دائر بین حرمة الإیتاء و وجوب الدفع، و لیس لهما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بالتأمّل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تحتاج إلی تأمّل أزید و تدبّر أکثر کما لا یخفی‌</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الفقیه عن الصادق علیه السلام أنّه سئل عن قوله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آنَسْتُمْ مِنْهُمْ رُشْداً فَادْفَعُوا إِلَیْهِمْ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إیناس الرشد حفظ المال</w:t>
      </w:r>
      <w:r>
        <w:rPr>
          <w:rFonts w:eastAsia="Amiri" w:cs="Amiri" w:ascii="Amiri" w:hAnsi="Amiri"/>
          <w:color w:val="111111"/>
          <w:sz w:val="28"/>
          <w:szCs w:val="28"/>
          <w:rtl w:val="true"/>
          <w:lang w:bidi="ar-SA"/>
        </w:rPr>
        <w:t>»</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تفسیر العیّاشی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آنَسْتُمْ مِنْهُمْ رُشْداً فَادْفَعُوا إِلَیْهِمْ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الرشد الذی یؤنس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 ماله</w:t>
      </w:r>
      <w:r>
        <w:rPr>
          <w:rFonts w:eastAsia="Amiri" w:cs="Amiri" w:ascii="Amiri" w:hAnsi="Amiri"/>
          <w:color w:val="111111"/>
          <w:sz w:val="28"/>
          <w:szCs w:val="28"/>
          <w:rtl w:val="true"/>
          <w:lang w:bidi="ar-SA"/>
        </w:rPr>
        <w:t>»</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الفقیه، عن عیص بن القاسم،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الیتیمة متی یدفع إلیها مالها؟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علمت أنّها لا تفسد و لا تضیّع</w:t>
      </w:r>
      <w:r>
        <w:rPr>
          <w:rFonts w:eastAsia="IRNazanin" w:cs="IRNazanin"/>
          <w:color w:val="111111"/>
          <w:sz w:val="28"/>
          <w:szCs w:val="28"/>
          <w:rtl w:val="true"/>
          <w:lang w:bidi="fa-IR"/>
        </w:rPr>
        <w:t>»</w:t>
      </w:r>
      <w:r>
        <w:rPr>
          <w:rStyle w:val="FootnoteAnchor"/>
          <w:rtl w:val="true"/>
        </w:rPr>
        <w:footnoteReference w:id="1150"/>
      </w:r>
      <w:r>
        <w:rPr>
          <w:rFonts w:ascii="IRNazanin" w:hAnsi="IRNazanin" w:eastAsia="IRNazanin"/>
          <w:color w:val="111111"/>
          <w:sz w:val="28"/>
          <w:sz w:val="28"/>
          <w:szCs w:val="28"/>
          <w:rtl w:val="true"/>
          <w:lang w:bidi="fa-IR"/>
        </w:rPr>
        <w:t>، فالمستفاد منه أنّ معنی الرشد هو عدم الإفساد و الضیاع للمال، و هو المطلوب</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المستدرک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ولیّ الیتیم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قرأ القرآن و احتلم و أُونس منه الرشد دفع إلیه ماله، و إن احتلم و لم یکن له عقل یوثق به لم یدفع إلیه</w:t>
      </w:r>
      <w:r>
        <w:rPr>
          <w:rFonts w:eastAsia="IRNazanin" w:cs="IRNazanin"/>
          <w:color w:val="111111"/>
          <w:sz w:val="28"/>
          <w:szCs w:val="28"/>
          <w:rtl w:val="true"/>
          <w:lang w:bidi="fa-IR"/>
        </w:rPr>
        <w:t>»</w:t>
      </w:r>
      <w:r>
        <w:rPr>
          <w:rStyle w:val="FootnoteAnchor"/>
          <w:rtl w:val="true"/>
        </w:rPr>
        <w:footnoteReference w:id="1151"/>
      </w:r>
      <w:r>
        <w:rPr>
          <w:rFonts w:ascii="IRNazanin" w:hAnsi="IRNazanin" w:eastAsia="IRNazanin"/>
          <w:color w:val="111111"/>
          <w:sz w:val="28"/>
          <w:sz w:val="28"/>
          <w:szCs w:val="28"/>
          <w:rtl w:val="true"/>
          <w:lang w:bidi="fa-IR"/>
        </w:rPr>
        <w:t>، یستفاد منه أنّ الیتیم إذا کان له عقل یوثق به و یصلح لماله یکون رشیداً، و یدفع إلیه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المفهوم من الرشد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إصلاح المال و عدم الانخداع فی المعاملات، و لم یرد عن الشارع فی تحدید الرشد زائد علی ذلک فیحمل علیه، کما فی التنقیح الرائع</w:t>
      </w:r>
      <w:r>
        <w:rPr>
          <w:rStyle w:val="FootnoteAnchor"/>
          <w:rtl w:val="true"/>
        </w:rPr>
        <w:footnoteReference w:id="1152"/>
      </w:r>
      <w:r>
        <w:rPr>
          <w:rFonts w:ascii="IRNazanin" w:hAnsi="IRNazanin" w:eastAsia="IRNazanin"/>
          <w:color w:val="111111"/>
          <w:sz w:val="28"/>
          <w:sz w:val="28"/>
          <w:szCs w:val="28"/>
          <w:rtl w:val="true"/>
          <w:lang w:bidi="fa-IR"/>
        </w:rPr>
        <w:t>، و کذا فی الروضة</w:t>
      </w:r>
      <w:r>
        <w:rPr>
          <w:rStyle w:val="FootnoteAnchor"/>
          <w:rtl w:val="true"/>
        </w:rPr>
        <w:footnoteReference w:id="1153"/>
      </w:r>
      <w:r>
        <w:rPr>
          <w:rFonts w:ascii="IRNazanin" w:hAnsi="IRNazanin" w:eastAsia="IRNazanin"/>
          <w:color w:val="111111"/>
          <w:sz w:val="28"/>
          <w:sz w:val="28"/>
          <w:szCs w:val="28"/>
          <w:rtl w:val="true"/>
          <w:lang w:bidi="fa-IR"/>
        </w:rPr>
        <w:t>و المختلف،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عدم التغییر</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مجمع الفائدة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حقیقة الرشد فالظاهر و المتبادر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ذکره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إصلاح المال و عدم صرفه فی وجه غیر لائق بحاله فی نظر العقلاء، و یناسبه معناه اللّغوی، و هو الاهتداء</w:t>
      </w:r>
      <w:r>
        <w:rPr>
          <w:rFonts w:eastAsia="IRNazanin" w:cs="IRNazanin"/>
          <w:color w:val="111111"/>
          <w:sz w:val="28"/>
          <w:szCs w:val="28"/>
          <w:rtl w:val="true"/>
          <w:lang w:bidi="fa-IR"/>
        </w:rPr>
        <w:t>»</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الاتّفاق</w:t>
      </w:r>
      <w:r>
        <w:rPr>
          <w:rStyle w:val="FootnoteAnchor"/>
          <w:rtl w:val="true"/>
        </w:rPr>
        <w:footnoteReference w:id="1156"/>
      </w:r>
      <w:r>
        <w:rPr>
          <w:rFonts w:ascii="IRNazanin" w:hAnsi="IRNazanin" w:eastAsia="IRNazanin"/>
          <w:color w:val="111111"/>
          <w:sz w:val="28"/>
          <w:sz w:val="28"/>
          <w:szCs w:val="28"/>
          <w:rtl w:val="true"/>
          <w:lang w:bidi="fa-IR"/>
        </w:rPr>
        <w:t>کما یظهر من المبسوط‌</w:t>
      </w:r>
      <w:r>
        <w:rPr>
          <w:rStyle w:val="FootnoteAnchor"/>
          <w:rtl w:val="true"/>
        </w:rPr>
        <w:footnoteReference w:id="1157"/>
      </w:r>
      <w:r>
        <w:rPr>
          <w:rFonts w:ascii="IRNazanin" w:hAnsi="IRNazanin" w:eastAsia="IRNazanin"/>
          <w:color w:val="111111"/>
          <w:sz w:val="28"/>
          <w:sz w:val="28"/>
          <w:szCs w:val="28"/>
          <w:rtl w:val="true"/>
          <w:lang w:bidi="fa-IR"/>
        </w:rPr>
        <w:t>و الغنیة</w:t>
      </w:r>
      <w:r>
        <w:rPr>
          <w:rStyle w:val="FootnoteAnchor"/>
          <w:rtl w:val="true"/>
        </w:rPr>
        <w:footnoteReference w:id="1158"/>
      </w:r>
      <w:r>
        <w:rPr>
          <w:rFonts w:ascii="Amiri" w:hAnsi="Amiri" w:eastAsia="Amiri" w:cs="Amiri"/>
          <w:color w:val="111111"/>
          <w:sz w:val="28"/>
          <w:sz w:val="28"/>
          <w:szCs w:val="28"/>
          <w:rtl w:val="true"/>
          <w:lang w:bidi="ar-SA"/>
        </w:rPr>
        <w:t>و مجمع الفائدة</w:t>
      </w:r>
      <w:r>
        <w:rPr>
          <w:rStyle w:val="FootnoteAnchor"/>
          <w:rtl w:val="true"/>
        </w:rPr>
        <w:footnoteReference w:id="1159"/>
      </w:r>
      <w:r>
        <w:rPr>
          <w:rFonts w:ascii="IRNazanin" w:hAnsi="IRNazanin" w:eastAsia="IRNazanin"/>
          <w:color w:val="111111"/>
          <w:sz w:val="28"/>
          <w:sz w:val="28"/>
          <w:szCs w:val="28"/>
          <w:rtl w:val="true"/>
          <w:lang w:bidi="fa-IR"/>
        </w:rPr>
        <w:t>و الریاض</w:t>
      </w:r>
      <w:r>
        <w:rPr>
          <w:rStyle w:val="FootnoteAnchor"/>
          <w:rtl w:val="true"/>
        </w:rPr>
        <w:footnoteReference w:id="1160"/>
      </w:r>
      <w:r>
        <w:rPr>
          <w:rFonts w:ascii="IRNazanin" w:hAnsi="IRNazanin" w:eastAsia="IRNazanin"/>
          <w:color w:val="111111"/>
          <w:sz w:val="28"/>
          <w:sz w:val="28"/>
          <w:szCs w:val="28"/>
          <w:rtl w:val="true"/>
          <w:lang w:bidi="fa-IR"/>
        </w:rPr>
        <w:t>و المناهل</w:t>
      </w:r>
      <w:r>
        <w:rPr>
          <w:rStyle w:val="FootnoteAnchor"/>
          <w:rtl w:val="true"/>
        </w:rPr>
        <w:footnoteReference w:id="1161"/>
      </w:r>
      <w:r>
        <w:rPr>
          <w:rFonts w:ascii="IRNazanin" w:hAnsi="IRNazanin" w:eastAsia="IRNazanin"/>
          <w:color w:val="111111"/>
          <w:sz w:val="28"/>
          <w:sz w:val="28"/>
          <w:szCs w:val="28"/>
          <w:rtl w:val="true"/>
          <w:lang w:bidi="fa-IR"/>
        </w:rPr>
        <w:t>و الجواهر</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bookmarkStart w:id="332" w:name="pg11757_135592"/>
    </w:p>
    <w:p>
      <w:pPr>
        <w:pStyle w:val="Heading5"/>
        <w:numPr>
          <w:ilvl w:val="4"/>
          <w:numId w:val="1"/>
        </w:numPr>
        <w:rPr/>
      </w:pPr>
      <w:bookmarkStart w:id="333" w:name="__RefHeading___Toc9696759_73709187"/>
      <w:bookmarkStart w:id="334" w:name="_Toc123"/>
      <w:bookmarkEnd w:id="332"/>
      <w:bookmarkEnd w:id="333"/>
      <w:r>
        <w:rPr>
          <w:rtl w:val="true"/>
        </w:rPr>
        <w:t>اعتبار العدالة فی الرشید</w:t>
      </w:r>
      <w:bookmarkEnd w:id="334"/>
    </w:p>
    <w:p>
      <w:pPr>
        <w:pStyle w:val="BookText"/>
        <w:rPr/>
      </w:pPr>
      <w:r>
        <w:rPr>
          <w:rFonts w:ascii="IRNazanin" w:hAnsi="IRNazanin" w:eastAsia="IRNazanin"/>
          <w:color w:val="111111"/>
          <w:sz w:val="28"/>
          <w:sz w:val="28"/>
          <w:szCs w:val="28"/>
          <w:rtl w:val="true"/>
          <w:lang w:bidi="fa-IR"/>
        </w:rPr>
        <w:t>اختلف الأصحاب فی اعتبار أن یکون الرشید عدلاً فی دینه و عدمه علی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الاعتبار، فقد ذهب الشیخ فی المبسوط إلی أنّه یعتبر فی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تقدّم من کونه مصلحاً لماله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عدلاً فی دینه،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إیناس الرشد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مصلحاً لماله عدلاً فی دینه، فأمّا إذا کان مصلحاً لماله غیر عدل فی دینه أو کان عدلاً فی دینه غیر مصلح لماله، فإنّه لا یدفع إلیه ماله، و متی کان غیر رشید لا یفکّ حجره و إن بلغ و صار شیخاً</w:t>
      </w:r>
      <w:r>
        <w:rPr>
          <w:rFonts w:eastAsia="IRNazanin" w:cs="IRNazanin"/>
          <w:color w:val="111111"/>
          <w:sz w:val="28"/>
          <w:szCs w:val="28"/>
          <w:rtl w:val="true"/>
          <w:lang w:bidi="fa-IR"/>
        </w:rPr>
        <w:t>»</w:t>
      </w:r>
      <w:r>
        <w:rPr>
          <w:rStyle w:val="FootnoteAnchor"/>
          <w:rtl w:val="true"/>
        </w:rPr>
        <w:footnoteReference w:id="1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الخلاف</w:t>
      </w:r>
      <w:r>
        <w:rPr>
          <w:rStyle w:val="FootnoteAnchor"/>
          <w:rtl w:val="true"/>
        </w:rPr>
        <w:footnoteReference w:id="1164"/>
      </w:r>
      <w:r>
        <w:rPr>
          <w:rFonts w:ascii="IRNazanin" w:hAnsi="IRNazanin" w:eastAsia="IRNazanin"/>
          <w:color w:val="111111"/>
          <w:sz w:val="28"/>
          <w:sz w:val="28"/>
          <w:szCs w:val="28"/>
          <w:rtl w:val="true"/>
          <w:lang w:bidi="fa-IR"/>
        </w:rPr>
        <w:t>، و تبعه ابن زهره</w:t>
      </w:r>
      <w:r>
        <w:rPr>
          <w:rStyle w:val="FootnoteAnchor"/>
          <w:rtl w:val="true"/>
        </w:rPr>
        <w:footnoteReference w:id="1165"/>
      </w:r>
      <w:r>
        <w:rPr>
          <w:rFonts w:ascii="IRNazanin" w:hAnsi="IRNazanin" w:eastAsia="IRNazanin"/>
          <w:color w:val="111111"/>
          <w:sz w:val="28"/>
          <w:sz w:val="28"/>
          <w:szCs w:val="28"/>
          <w:rtl w:val="true"/>
          <w:lang w:bidi="fa-IR"/>
        </w:rPr>
        <w:t>و الکیدری</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فقه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إیناس الرشد منه مجموع أمرین</w:t>
      </w:r>
      <w:r>
        <w:rPr>
          <w:rStyle w:val="FootnoteAnchor"/>
          <w:rtl w:val="true"/>
        </w:rPr>
        <w:footnoteReference w:id="1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مصلحاً لماله، عدلاً فی دینه</w:t>
      </w:r>
      <w:r>
        <w:rPr>
          <w:rFonts w:eastAsia="IRNazanin" w:cs="IRNazanin"/>
          <w:color w:val="111111"/>
          <w:sz w:val="28"/>
          <w:szCs w:val="28"/>
          <w:rtl w:val="true"/>
          <w:lang w:bidi="fa-IR"/>
        </w:rPr>
        <w:t>»</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5" w:name="__RefHeading___Toc9696761_73709187"/>
      <w:bookmarkStart w:id="336" w:name="_Toc124"/>
      <w:bookmarkEnd w:id="335"/>
      <w:r>
        <w:rPr>
          <w:rtl w:val="true"/>
        </w:rPr>
        <w:t>أدلّة اعتبار العدالة فی الرشید</w:t>
      </w:r>
      <w:bookmarkEnd w:id="336"/>
    </w:p>
    <w:p>
      <w:pPr>
        <w:pStyle w:val="BookText"/>
        <w:rPr/>
      </w:pPr>
      <w:r>
        <w:rPr>
          <w:rFonts w:ascii="IRNazanin" w:hAnsi="IRNazanin" w:eastAsia="IRNazanin"/>
          <w:color w:val="111111"/>
          <w:sz w:val="28"/>
          <w:sz w:val="28"/>
          <w:szCs w:val="28"/>
          <w:rtl w:val="true"/>
          <w:lang w:bidi="fa-IR"/>
        </w:rPr>
        <w:t>و استدلّ لهذا القول باُمور</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تُؤْتُوا السُّفَهاءَ أَمْوالَکُمُ الَّتِی جَعَلَ اللّهُ لَکُمْ</w:t>
      </w:r>
    </w:p>
    <w:p>
      <w:pPr>
        <w:pStyle w:val="BookText"/>
        <w:rPr/>
      </w:pPr>
      <w:r>
        <w:rPr>
          <w:rFonts w:ascii="IRNazanin" w:hAnsi="IRNazanin" w:eastAsia="IRNazanin"/>
          <w:color w:val="111111"/>
          <w:sz w:val="28"/>
          <w:sz w:val="28"/>
          <w:szCs w:val="28"/>
          <w:rtl w:val="true"/>
          <w:lang w:bidi="fa-IR"/>
        </w:rPr>
        <w:t>قِیاماً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بضمیمة ما رواه العیّاشی فی تفسیره عن إبراهیم بن عبد الحمید قال</w:t>
      </w:r>
      <w:r>
        <w:rPr>
          <w:rFonts w:eastAsia="IRNazanin" w:cs="IRNazanin"/>
          <w:color w:val="111111"/>
          <w:sz w:val="28"/>
          <w:szCs w:val="28"/>
          <w:rtl w:val="true"/>
          <w:lang w:bidi="fa-IR"/>
        </w:rPr>
        <w:t>:</w:t>
      </w:r>
      <w:r>
        <w:rPr>
          <w:rStyle w:val="FootnoteAnchor"/>
          <w:rtl w:val="true"/>
        </w:rPr>
        <w:footnoteReference w:id="1169"/>
      </w:r>
      <w:r>
        <w:rPr>
          <w:rFonts w:ascii="Amiri" w:hAnsi="Amiri" w:eastAsia="Amiri" w:cs="Amiri"/>
          <w:color w:val="111111"/>
          <w:sz w:val="28"/>
          <w:sz w:val="28"/>
          <w:szCs w:val="28"/>
          <w:rtl w:val="true"/>
          <w:lang w:bidi="ar-SA"/>
        </w:rPr>
        <w:t>سألت أبا جعفر علیه السلام عن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تُؤْتُوا السُّفَهاءَ أَمْوالَکُمُ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من شرب الخمر فهو سفیه</w:t>
      </w:r>
      <w:r>
        <w:rPr>
          <w:rFonts w:eastAsia="Amiri" w:cs="Amiri" w:ascii="Amiri" w:hAnsi="Amiri"/>
          <w:color w:val="111111"/>
          <w:sz w:val="28"/>
          <w:szCs w:val="28"/>
          <w:rtl w:val="true"/>
          <w:lang w:bidi="ar-SA"/>
        </w:rPr>
        <w:t>»</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ضعف 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السفیه علی شارب الخمر مجاز؛ لأنّه لا یتبادر من السفیه إلاّ المفسد لماله و المبذّر، و لأنّ الفاسق الشارب الخمر المصلح لماله یصحّ سلب اسم السفاهة عنه،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لیس بسفیه، و صحّة السلب من أقوی أمارات المجاز</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إطلاق السفیه علی الشارب فی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الإغماض عن سندها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کونه علی الحقیقة التی علیها المدار فی جمیع الألفاظ الواردة فی الکتاب و السنّة، و المحاورات اللغویّة و العرفیّة، فیحتمل المجاز، بل و یتعیّن</w:t>
      </w:r>
      <w:r>
        <w:rPr>
          <w:rStyle w:val="FootnoteAnchor"/>
          <w:rtl w:val="true"/>
        </w:rPr>
        <w:footnoteReference w:id="1172"/>
      </w:r>
      <w:r>
        <w:rPr>
          <w:rFonts w:ascii="IRNazanin" w:hAnsi="IRNazanin" w:eastAsia="IRNazanin"/>
          <w:color w:val="111111"/>
          <w:sz w:val="28"/>
          <w:sz w:val="28"/>
          <w:szCs w:val="28"/>
          <w:rtl w:val="true"/>
          <w:lang w:bidi="fa-IR"/>
        </w:rPr>
        <w:t>؛ لعدم التبادر، و صحّة السلب عنه فی العادة بعد استجماعه شرائط الرشد ما عدا العدالة</w:t>
      </w:r>
      <w:r>
        <w:rPr>
          <w:rStyle w:val="FootnoteAnchor"/>
          <w:rtl w:val="true"/>
        </w:rPr>
        <w:footnoteReference w:id="1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منها بقرینة نصوص معتبرة اخری، هو عدم الاعتماد فی الأموال، فقد روی فی قرب الإسناد، عن مسعدة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أبه، إنّ فلاناً یرید الیمن أ فلا ازوّده بمال لیشتری لی به عصب الیمن؟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لا تفعل،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إن ذهبت لم توجر علیها، و لم تخلف علیک؛ لأنّ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تُؤْتُوا السُّفَهاءَ أَمْوالَکُمُ الَّتِی جَعَلَ اللّهُ لَکُمْ قِیاماً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سفیه أسفه بعد النساء</w:t>
      </w:r>
      <w:r>
        <w:rPr>
          <w:rStyle w:val="FootnoteAnchor"/>
          <w:rtl w:val="true"/>
        </w:rPr>
        <w:footnoteReference w:id="1174"/>
      </w:r>
      <w:r>
        <w:rPr>
          <w:rFonts w:ascii="IRNazanin" w:hAnsi="IRNazanin" w:eastAsia="IRNazanin"/>
          <w:color w:val="111111"/>
          <w:sz w:val="28"/>
          <w:sz w:val="28"/>
          <w:szCs w:val="28"/>
          <w:rtl w:val="true"/>
          <w:lang w:bidi="fa-IR"/>
        </w:rPr>
        <w:t>من شارب الخمر؟ یا بنیّ، إنّ أبی حدّثنی عن آبائه علیهم السلام 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ائتمن غیر أمین فلیس له علی اللّه ضمان؛ لأنّه قد نهاه اللّه عزّ و جلّ أن یأتمنه</w:t>
      </w:r>
      <w:r>
        <w:rPr>
          <w:rFonts w:eastAsia="IRNazanin" w:cs="IRNazanin"/>
          <w:color w:val="111111"/>
          <w:sz w:val="28"/>
          <w:szCs w:val="28"/>
          <w:rtl w:val="true"/>
          <w:lang w:bidi="fa-IR"/>
        </w:rPr>
        <w:t>»</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صحیحة حریز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تأتمن شارب الخمر، إنّ اللّه عزّ و جلّ یقول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تُؤْتُوا السُّفَهاءَ أَمْوالَکُمُ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سفیه أسفه من شارب الخمر؟ إنّ شارب الخمر لا یزوّج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یؤتمن علی أمانة، فمن ائتمنه علی أمانة فاستهلکها لم یکن للذی ائتمنه علی اللّه أن یأجره و لا یحلف علیه</w:t>
      </w:r>
      <w:r>
        <w:rPr>
          <w:rFonts w:eastAsia="IRNazanin" w:cs="IRNazanin"/>
          <w:color w:val="111111"/>
          <w:sz w:val="28"/>
          <w:szCs w:val="28"/>
          <w:rtl w:val="true"/>
          <w:lang w:bidi="fa-IR"/>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آنَسْتُمْ مِنْهُمْ رُشْداً فَادْفَعُوا إِلَیْهِمْ أَمْوالَهُمْ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کان فاسقاً فی دینه کان موصوفاً بالغیّ، و من وصف بالغیّ لا یوصف بالرشد، لأنّ الغیّ و الرشد صفتان متنافیتان لا یجوز اجتماعهما</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اتّصاف الفاسق بالغیّ و عدم اتّصافه بالرشد خلاف المتبادر من الرشد عند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موصوف بالغیّ فی الاُمور الدینیّة لا الاُمور</w:t>
      </w:r>
    </w:p>
    <w:p>
      <w:pPr>
        <w:pStyle w:val="BookText"/>
        <w:rPr/>
      </w:pPr>
      <w:r>
        <w:rPr>
          <w:rFonts w:ascii="IRNazanin" w:hAnsi="IRNazanin" w:eastAsia="IRNazanin"/>
          <w:color w:val="111111"/>
          <w:sz w:val="28"/>
          <w:sz w:val="28"/>
          <w:szCs w:val="28"/>
          <w:rtl w:val="true"/>
          <w:lang w:bidi="fa-IR"/>
        </w:rPr>
        <w:t>الدنیویّة،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علیّ بن أبی طالب علیه السلام رکن للإیمان و سلامة من الغیّ و أمن و شفاء، هو علیّ العلیّ الشأن عند العلیّ الشأن، حسبی بذلک و کفی</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قبول تنافی الوصفین یجوز أن یکون تنافیهما من قبیل تنافی العلم و الجهل، و القدرة و العجز، و الاُبوّة و البنوّة، و غیر ذلک من الاُمور الإضافیّة المتنافیة التی یمکن اتّصاف شخص واحد بهما فی آن واحد لکن بالاعتبارات المختلفة و الجهات المتغایرة لا باعتبار واحد، 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عالم بالنحو و جاهل بالاُصول، و أب لزید و ابن لعمرو، و رشید فی امور الدنیا و سفیه فی امور الآخرة، کما فی المناهل</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روی عن ابن عبّاس أنّه قال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آنَسْتُمْ مِنْهُمْ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یبلغ ذا وقار و حلم و عقل</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الروایة غیر ثابتةٍ، و علی تقدیر ثبوتها فهی غیر صالحة للحجّیّة، کما فی الریاض</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لا تثبت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من صلاحیّة هذه الروایة، لمعارضتها مع ما دلّ علی عدم اشتراط العدالة</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جواز دفع المال إلیه مع اجتماع العدالة و إصلاح المال،</w:t>
      </w:r>
      <w:bookmarkStart w:id="337" w:name="pg11757_135596"/>
    </w:p>
    <w:p>
      <w:pPr>
        <w:pStyle w:val="BookText"/>
        <w:rPr/>
      </w:pPr>
      <w:bookmarkEnd w:id="337"/>
      <w:r>
        <w:rPr>
          <w:rFonts w:ascii="IRNazanin" w:hAnsi="IRNazanin" w:eastAsia="IRNazanin"/>
          <w:color w:val="111111"/>
          <w:sz w:val="28"/>
          <w:sz w:val="28"/>
          <w:szCs w:val="28"/>
          <w:rtl w:val="true"/>
          <w:lang w:bidi="fa-IR"/>
        </w:rPr>
        <w:t>و لیس علی جواز دفعه إذا انفرد أحد الأمرین دلیل</w:t>
      </w:r>
      <w:r>
        <w:rPr>
          <w:rStyle w:val="FootnoteAnchor"/>
          <w:rtl w:val="true"/>
        </w:rPr>
        <w:footnoteReference w:id="1183"/>
      </w:r>
      <w:r>
        <w:rPr>
          <w:rFonts w:ascii="IRNazanin" w:hAnsi="IRNazanin" w:eastAsia="IRNazanin"/>
          <w:color w:val="111111"/>
          <w:sz w:val="28"/>
          <w:sz w:val="28"/>
          <w:szCs w:val="28"/>
          <w:rtl w:val="true"/>
          <w:lang w:bidi="fa-IR"/>
        </w:rPr>
        <w:t>، فیستصحب عدم جواز الدفع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إطلاقات الأدلّة دالّة علی أنّ إصلاح المال یکفی فی جواز دفع المال، و مع وجود الدلیل لا یجری الاستصحاب کما لا یخفی، أو فقل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الاستصحاب مندفع بالإطلاقات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الذی ادّعاه فی الغنیة</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مخدوش صغرویّاً و کبرویّاً، أمّا الصغری فلمصیر المعظم إلی خلافه، بل الظاهر حصول الاتّفاق بعد الشیخ و ابن زهرة علی عدم اشتراط العدالة، و لذا قال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عدم اعتبار العدالة فی الرشد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من 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صرّح فیه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لوهنه فی المسألة بمصیر الأکثر إلی خلافه، مع عدم ظهور مخالف سوی الطوسی</w:t>
      </w:r>
      <w:r>
        <w:rPr>
          <w:rFonts w:eastAsia="IRNazanin" w:cs="IRNazanin"/>
          <w:color w:val="111111"/>
          <w:sz w:val="28"/>
          <w:szCs w:val="28"/>
          <w:rtl w:val="true"/>
          <w:lang w:bidi="fa-IR"/>
        </w:rPr>
        <w:t>»</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مدرکیّ أو محتمل المدرکیّة؛ لوجود الأدلّة فی المسألة</w:t>
      </w:r>
      <w:r>
        <w:rPr>
          <w:rFonts w:eastAsia="IRNazanin" w:cs="IRNazanin"/>
          <w:color w:val="111111"/>
          <w:sz w:val="28"/>
          <w:szCs w:val="28"/>
          <w:rtl w:val="true"/>
          <w:lang w:bidi="fa-IR"/>
        </w:rPr>
        <w:t>.</w:t>
      </w:r>
    </w:p>
    <w:p>
      <w:pPr>
        <w:pStyle w:val="Heading5"/>
        <w:numPr>
          <w:ilvl w:val="4"/>
          <w:numId w:val="1"/>
        </w:numPr>
        <w:rPr/>
      </w:pPr>
      <w:bookmarkStart w:id="338" w:name="__RefHeading___Toc9696763_73709187"/>
      <w:bookmarkStart w:id="339" w:name="_Toc125"/>
      <w:bookmarkEnd w:id="338"/>
      <w:r>
        <w:rPr>
          <w:rtl w:val="true"/>
        </w:rPr>
        <w:t>القول الثانی</w:t>
      </w:r>
      <w:r>
        <w:rPr>
          <w:rtl w:val="true"/>
        </w:rPr>
        <w:t xml:space="preserve">: </w:t>
      </w:r>
      <w:r>
        <w:rPr>
          <w:rtl w:val="true"/>
        </w:rPr>
        <w:t>عدم اعتبار العدالة</w:t>
      </w:r>
      <w:bookmarkEnd w:id="339"/>
    </w:p>
    <w:p>
      <w:pPr>
        <w:pStyle w:val="BookText"/>
        <w:rPr/>
      </w:pPr>
      <w:r>
        <w:rPr>
          <w:rFonts w:ascii="IRNazanin" w:hAnsi="IRNazanin" w:eastAsia="IRNazanin"/>
          <w:color w:val="111111"/>
          <w:sz w:val="28"/>
          <w:sz w:val="28"/>
          <w:szCs w:val="28"/>
          <w:rtl w:val="true"/>
          <w:lang w:bidi="fa-IR"/>
        </w:rPr>
        <w:t>ذهب المشهور إلی أنّه لا تعتبر العدالة فی الرشد، بل یصدق علی من کان مصلحاً لماله أنّه رشید و إن کان فاسقاً فی دینه، و هو الأقوی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أکثر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الصلاح فی المال خاصّة، سواء کان صالحاً فی دینه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المعتمد عندی</w:t>
      </w:r>
      <w:r>
        <w:rPr>
          <w:rFonts w:eastAsia="IRNazanin" w:cs="IRNazanin"/>
          <w:color w:val="111111"/>
          <w:sz w:val="28"/>
          <w:szCs w:val="28"/>
          <w:rtl w:val="true"/>
          <w:lang w:bidi="fa-IR"/>
        </w:rPr>
        <w:t>»</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bookmarkStart w:id="340" w:name="pg11757_135597"/>
    </w:p>
    <w:p>
      <w:pPr>
        <w:pStyle w:val="BookText"/>
        <w:rPr/>
      </w:pPr>
      <w:bookmarkEnd w:id="340"/>
      <w:r>
        <w:rPr>
          <w:rFonts w:ascii="IRNazanin" w:hAnsi="IRNazanin" w:eastAsia="IRNazanin"/>
          <w:color w:val="111111"/>
          <w:sz w:val="28"/>
          <w:sz w:val="28"/>
          <w:szCs w:val="28"/>
          <w:rtl w:val="true"/>
          <w:lang w:bidi="fa-IR"/>
        </w:rPr>
        <w:t>و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تعتبر العدالة</w:t>
      </w:r>
      <w:r>
        <w:rPr>
          <w:rFonts w:eastAsia="IRNazanin" w:cs="IRNazanin"/>
          <w:color w:val="111111"/>
          <w:sz w:val="28"/>
          <w:szCs w:val="28"/>
          <w:rtl w:val="true"/>
          <w:lang w:bidi="fa-IR"/>
        </w:rPr>
        <w:t>»</w:t>
      </w:r>
      <w:r>
        <w:rPr>
          <w:rStyle w:val="FootnoteAnchor"/>
          <w:rtl w:val="true"/>
        </w:rPr>
        <w:footnoteReference w:id="1187"/>
      </w:r>
      <w:r>
        <w:rPr>
          <w:rFonts w:ascii="IRNazanin" w:hAnsi="IRNazanin" w:eastAsia="IRNazanin"/>
          <w:color w:val="111111"/>
          <w:sz w:val="28"/>
          <w:sz w:val="28"/>
          <w:szCs w:val="28"/>
          <w:rtl w:val="true"/>
          <w:lang w:bidi="fa-IR"/>
        </w:rPr>
        <w:t>، و کذا فی التحریر</w:t>
      </w:r>
      <w:r>
        <w:rPr>
          <w:rStyle w:val="FootnoteAnchor"/>
          <w:rtl w:val="true"/>
        </w:rPr>
        <w:footnoteReference w:id="1188"/>
      </w:r>
      <w:r>
        <w:rPr>
          <w:rFonts w:ascii="Amiri" w:hAnsi="Amiri" w:eastAsia="Amiri" w:cs="Amiri"/>
          <w:color w:val="111111"/>
          <w:sz w:val="28"/>
          <w:sz w:val="28"/>
          <w:szCs w:val="28"/>
          <w:rtl w:val="true"/>
          <w:lang w:bidi="ar-SA"/>
        </w:rPr>
        <w:t>و مجمع الفائدة</w:t>
      </w:r>
      <w:r>
        <w:rPr>
          <w:rStyle w:val="FootnoteAnchor"/>
          <w:rtl w:val="true"/>
        </w:rPr>
        <w:footnoteReference w:id="1189"/>
      </w:r>
      <w:r>
        <w:rPr>
          <w:rFonts w:ascii="IRNazanin" w:hAnsi="IRNazanin" w:eastAsia="IRNazanin"/>
          <w:color w:val="111111"/>
          <w:sz w:val="28"/>
          <w:sz w:val="28"/>
          <w:szCs w:val="28"/>
          <w:rtl w:val="true"/>
          <w:lang w:bidi="fa-IR"/>
        </w:rPr>
        <w:t>، و فی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فالمشهور العدم</w:t>
      </w:r>
      <w:r>
        <w:rPr>
          <w:rFonts w:eastAsia="IRNazanin" w:cs="IRNazanin"/>
          <w:color w:val="111111"/>
          <w:sz w:val="28"/>
          <w:szCs w:val="28"/>
          <w:rtl w:val="true"/>
          <w:lang w:bidi="fa-IR"/>
        </w:rPr>
        <w:t>»</w:t>
      </w:r>
      <w:r>
        <w:rPr>
          <w:rStyle w:val="FootnoteAnchor"/>
          <w:rtl w:val="true"/>
        </w:rPr>
        <w:footnoteReference w:id="1190"/>
      </w:r>
      <w:r>
        <w:rPr>
          <w:rFonts w:ascii="IRNazanin" w:hAnsi="IRNazanin" w:eastAsia="IRNazanin"/>
          <w:color w:val="111111"/>
          <w:sz w:val="28"/>
          <w:sz w:val="28"/>
          <w:szCs w:val="28"/>
          <w:rtl w:val="true"/>
          <w:lang w:bidi="fa-IR"/>
        </w:rPr>
        <w:t>، و اختاره فی الریاض</w:t>
      </w:r>
      <w:r>
        <w:rPr>
          <w:rStyle w:val="FootnoteAnchor"/>
          <w:rtl w:val="true"/>
        </w:rPr>
        <w:footnoteReference w:id="1191"/>
      </w:r>
      <w:r>
        <w:rPr>
          <w:rFonts w:ascii="IRNazanin" w:hAnsi="IRNazanin" w:eastAsia="IRNazanin"/>
          <w:color w:val="111111"/>
          <w:sz w:val="28"/>
          <w:sz w:val="28"/>
          <w:szCs w:val="28"/>
          <w:rtl w:val="true"/>
          <w:lang w:bidi="fa-IR"/>
        </w:rPr>
        <w:t>و الجواهر</w:t>
      </w:r>
      <w:r>
        <w:rPr>
          <w:rStyle w:val="FootnoteAnchor"/>
          <w:rtl w:val="true"/>
        </w:rPr>
        <w:footnoteReference w:id="1192"/>
      </w:r>
      <w:r>
        <w:rPr>
          <w:rFonts w:ascii="IRNazanin" w:hAnsi="IRNazanin" w:eastAsia="IRNazanin"/>
          <w:color w:val="111111"/>
          <w:sz w:val="28"/>
          <w:sz w:val="28"/>
          <w:szCs w:val="28"/>
          <w:rtl w:val="true"/>
          <w:lang w:bidi="fa-IR"/>
        </w:rPr>
        <w:t>و جامع المدارک</w:t>
      </w:r>
      <w:r>
        <w:rPr>
          <w:rStyle w:val="FootnoteAnchor"/>
          <w:rtl w:val="true"/>
        </w:rPr>
        <w:footnoteReference w:id="1193"/>
      </w:r>
      <w:r>
        <w:rPr>
          <w:rFonts w:ascii="IRNazanin" w:hAnsi="IRNazanin" w:eastAsia="IRNazanin"/>
          <w:color w:val="111111"/>
          <w:sz w:val="28"/>
          <w:sz w:val="28"/>
          <w:szCs w:val="28"/>
          <w:rtl w:val="true"/>
          <w:lang w:bidi="fa-IR"/>
        </w:rPr>
        <w:t>و غیرها</w:t>
      </w:r>
      <w:r>
        <w:rPr>
          <w:rStyle w:val="FootnoteAnchor"/>
          <w:rtl w:val="true"/>
        </w:rPr>
        <w:footnoteReference w:id="1194"/>
      </w:r>
      <w:r>
        <w:rPr>
          <w:rFonts w:ascii="IRNazanin" w:hAnsi="IRNazanin" w:eastAsia="IRNazanin"/>
          <w:color w:val="111111"/>
          <w:sz w:val="28"/>
          <w:sz w:val="28"/>
          <w:szCs w:val="28"/>
          <w:rtl w:val="true"/>
          <w:lang w:bidi="fa-IR"/>
        </w:rPr>
        <w:t>، و تردّد فی الشرائع</w:t>
      </w:r>
      <w:r>
        <w:rPr>
          <w:rStyle w:val="FootnoteAnchor"/>
          <w:rtl w:val="true"/>
        </w:rPr>
        <w:footnoteReference w:id="1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المختصر النافع</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1" w:name="__RefHeading___Toc9696765_73709187"/>
      <w:bookmarkStart w:id="342" w:name="_Toc126"/>
      <w:bookmarkEnd w:id="341"/>
      <w:r>
        <w:rPr>
          <w:rtl w:val="true"/>
        </w:rPr>
        <w:t>الأدلّة علی عدم اعتبار العدالة فی الرشید</w:t>
      </w:r>
      <w:bookmarkEnd w:id="342"/>
    </w:p>
    <w:p>
      <w:pPr>
        <w:pStyle w:val="BookText"/>
        <w:rPr/>
      </w:pPr>
      <w:r>
        <w:rPr>
          <w:rFonts w:ascii="IRNazanin" w:hAnsi="IRNazanin" w:eastAsia="IRNazanin"/>
          <w:color w:val="111111"/>
          <w:sz w:val="28"/>
          <w:sz w:val="28"/>
          <w:szCs w:val="28"/>
          <w:rtl w:val="true"/>
          <w:lang w:bidi="fa-IR"/>
        </w:rPr>
        <w:t>و یمکن أن یستدلّ للحکم المذکور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مجمع الفائدة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الأصل عدم المنع و جواز تصرّف الملّاک فی أملاکهم، و عدم جواز منعهم عنه، و یدلّ علیه العقل و النقل، کتاباً و سنّةً و إجماعاً، و یخرج منه غیر البالغ، و غیر الرشید بالمعنی المتّفق بالإجماع و النصّ، و بقی الباقی</w:t>
      </w:r>
      <w:r>
        <w:rPr>
          <w:rFonts w:eastAsia="IRNazanin" w:cs="IRNazanin"/>
          <w:color w:val="111111"/>
          <w:sz w:val="28"/>
          <w:szCs w:val="28"/>
          <w:rtl w:val="true"/>
          <w:lang w:bidi="fa-IR"/>
        </w:rPr>
        <w:t>»</w:t>
      </w:r>
      <w:r>
        <w:rPr>
          <w:rStyle w:val="FootnoteAnchor"/>
          <w:rtl w:val="true"/>
        </w:rPr>
        <w:footnoteReference w:id="1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یقرب من هذا فی الحدائق</w:t>
      </w:r>
      <w:r>
        <w:rPr>
          <w:rStyle w:val="FootnoteAnchor"/>
          <w:rtl w:val="true"/>
        </w:rPr>
        <w:footnoteReference w:id="1198"/>
      </w:r>
      <w:r>
        <w:rPr>
          <w:rFonts w:ascii="IRNazanin" w:hAnsi="IRNazanin" w:eastAsia="IRNazanin"/>
          <w:color w:val="111111"/>
          <w:sz w:val="28"/>
          <w:sz w:val="28"/>
          <w:szCs w:val="28"/>
          <w:rtl w:val="true"/>
          <w:lang w:bidi="fa-IR"/>
        </w:rPr>
        <w:t>، و کذا فی الریاض</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تمسّک به فی التذکرة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لأنّ هذا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آنَسْتُمْ مِنْهُمْ رُشْداً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نکرة مثبتة یصدق فی صورة ما</w:t>
      </w:r>
      <w:r>
        <w:rPr>
          <w:rStyle w:val="FootnoteAnchor"/>
          <w:rtl w:val="true"/>
        </w:rPr>
        <w:footnoteReference w:id="1200"/>
      </w:r>
      <w:r>
        <w:rPr>
          <w:rFonts w:ascii="IRNazanin" w:hAnsi="IRNazanin" w:eastAsia="IRNazanin"/>
          <w:color w:val="111111"/>
          <w:sz w:val="28"/>
          <w:sz w:val="28"/>
          <w:szCs w:val="28"/>
          <w:rtl w:val="true"/>
          <w:lang w:bidi="fa-IR"/>
        </w:rPr>
        <w:t>، و لا ریب فی ثبوت الرشد للمصلح لماله، و إن کان فاسقاً؛ لأنّه قد وُجد منه رشد</w:t>
      </w:r>
      <w:r>
        <w:rPr>
          <w:rFonts w:eastAsia="IRNazanin" w:cs="IRNazanin"/>
          <w:color w:val="111111"/>
          <w:sz w:val="28"/>
          <w:szCs w:val="28"/>
          <w:rtl w:val="true"/>
          <w:lang w:bidi="fa-IR"/>
        </w:rPr>
        <w:t>»</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الأدلّة کتاباً و سنّة بدفع أموال الیتامی بإیناس الرشد من غیر اعتبار أمر آخر، و المفهوم من الرشد فی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مجرّد إصلاح المال و إن کان فاسقاً، کما فی الریاض</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التنقیح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المفهوم من الرشد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إصلاح المال و عدم الانخداع فی المعاملات، و لم یرد عن الشارع فی تحدید الرشد زائد علی ذلک، فیحمل علیه</w:t>
      </w:r>
      <w:r>
        <w:rPr>
          <w:rFonts w:eastAsia="IRNazanin" w:cs="IRNazanin"/>
          <w:color w:val="111111"/>
          <w:sz w:val="28"/>
          <w:szCs w:val="28"/>
          <w:rtl w:val="true"/>
          <w:lang w:bidi="fa-IR"/>
        </w:rPr>
        <w:t>»</w:t>
      </w:r>
      <w:r>
        <w:rPr>
          <w:rStyle w:val="FootnoteAnchor"/>
          <w:rtl w:val="true"/>
        </w:rPr>
        <w:footnoteReference w:id="1203"/>
      </w:r>
      <w:r>
        <w:rPr>
          <w:rFonts w:ascii="IRNazanin" w:hAnsi="IRNazanin" w:eastAsia="IRNazanin"/>
          <w:color w:val="111111"/>
          <w:sz w:val="28"/>
          <w:sz w:val="28"/>
          <w:szCs w:val="28"/>
          <w:rtl w:val="true"/>
          <w:lang w:bidi="fa-IR"/>
        </w:rPr>
        <w:t>، فقد روی العیّاشی فی تفسیره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یدفع إلی الغلام ماله؟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و أُونس منه رشد و لم یکن سفیهاً و لا ضعیفاً</w:t>
      </w:r>
      <w:r>
        <w:rPr>
          <w:rFonts w:eastAsia="IRNazanin" w:cs="IRNazanin"/>
          <w:color w:val="111111"/>
          <w:sz w:val="28"/>
          <w:szCs w:val="28"/>
          <w:rtl w:val="true"/>
          <w:lang w:bidi="fa-IR"/>
        </w:rPr>
        <w:t>»</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البحار نقلاً عن تفسیر القمّی فی روایة أبی الجارود، عن أبی جعفر علیه السلام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ابْتَلُوا الْیَتامی حَتّی إِذا بَلَغُوا النِّکاحَ فَإِنْ آنَسْتُمْ مِنْهُمْ رُشْداً فَادْفَعُوا إِلَیْهِمْ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کان فی یده مال بعض الیتامی فلا یجوز له أن یؤتیه حتّی یبلغ النکاح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آنس منه الرشد دفع إلیه المال</w:t>
      </w:r>
    </w:p>
    <w:p>
      <w:pPr>
        <w:pStyle w:val="BookText"/>
        <w:rPr/>
      </w:pPr>
      <w:r>
        <w:rPr>
          <w:rFonts w:ascii="IRNazanin" w:hAnsi="IRNazanin" w:eastAsia="IRNazanin"/>
          <w:color w:val="111111"/>
          <w:sz w:val="28"/>
          <w:sz w:val="28"/>
          <w:szCs w:val="28"/>
          <w:rtl w:val="true"/>
          <w:lang w:bidi="fa-IR"/>
        </w:rPr>
        <w:t>و أشهد علیه</w:t>
      </w:r>
      <w:r>
        <w:rPr>
          <w:rFonts w:eastAsia="IRNazanin" w:cs="IRNazanin"/>
          <w:color w:val="111111"/>
          <w:sz w:val="28"/>
          <w:szCs w:val="28"/>
          <w:rtl w:val="true"/>
          <w:lang w:bidi="fa-IR"/>
        </w:rPr>
        <w:t>»</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فالظاهر أنّ المقصود من الرشد فی هذه النصوص و غیرها ما هو عند العرف، أی إصلاح المال و عدم الانخداع فی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العدالة معتبرة فی الابتداء لاعتبرت فی الاستدامة، و هو معلوم الفساد بالسیرة القطعیّة فی معاملة المخالفین و أهل الذمّة و الفسقة و غیرهم، و لذا حکی الإجماع علی عدم التحجیر بطروّ الفسق الّذی لم یستلزم تبذیراً، بل یمکن دعوی کونه ضروریّاً یشکّ فی إسلام منکره، و قد صرّح الأصحاب بجواز بیع الخشب لمن یعمل الأصنام، و التمر و الزبیب لمن یصنع الخمر، کما فی الجواهر</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الکافر لا یحجر علیه بکفره، فالفاسق أولی، کما فی المسالک</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غالب الناس علی غیر العدالة، فیلزم الحرج و الضرر فی الجملة، کما فی مجمع الفائدة</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اعتبرت العدالة فی الثبوت لم تقم للمسلمین سوق، و لم ینتظم للعالم حال؛ لأنّ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النادر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فاسق أو مجهول الحال، و الجهل بالشرط یقتضی الجهل بالمشروط، و یؤیّده ورود الأوامر بالمعاملة و المناکحة مطلقاً من غیر تقیید بالعدالة</w:t>
      </w:r>
      <w:r>
        <w:rPr>
          <w:rFonts w:eastAsia="IRNazanin" w:cs="IRNazanin"/>
          <w:color w:val="111111"/>
          <w:sz w:val="28"/>
          <w:szCs w:val="28"/>
          <w:rtl w:val="true"/>
          <w:lang w:bidi="fa-IR"/>
        </w:rPr>
        <w:t>»</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bookmarkStart w:id="343" w:name="pg11757_135600"/>
    </w:p>
    <w:p>
      <w:pPr>
        <w:pStyle w:val="Heading5"/>
        <w:numPr>
          <w:ilvl w:val="4"/>
          <w:numId w:val="1"/>
        </w:numPr>
        <w:rPr/>
      </w:pPr>
      <w:bookmarkStart w:id="344" w:name="__RefHeading___Toc9696767_73709187"/>
      <w:bookmarkStart w:id="345" w:name="_Toc127"/>
      <w:bookmarkEnd w:id="343"/>
      <w:bookmarkEnd w:id="344"/>
      <w:r>
        <w:rPr>
          <w:rtl w:val="true"/>
        </w:rPr>
        <w:t>اعتبار الملکة النفسانیّة فی الرشد</w:t>
      </w:r>
      <w:bookmarkEnd w:id="345"/>
    </w:p>
    <w:p>
      <w:pPr>
        <w:pStyle w:val="BookText"/>
        <w:rPr/>
      </w:pPr>
      <w:r>
        <w:rPr>
          <w:rFonts w:ascii="IRNazanin" w:hAnsi="IRNazanin" w:eastAsia="IRNazanin"/>
          <w:color w:val="111111"/>
          <w:sz w:val="28"/>
          <w:sz w:val="28"/>
          <w:szCs w:val="28"/>
          <w:rtl w:val="true"/>
          <w:lang w:bidi="fa-IR"/>
        </w:rPr>
        <w:t>هل یشترط أن یکون المعنی المتقدّم لأجل ملکة نفسانیّة</w:t>
      </w:r>
      <w:r>
        <w:rPr>
          <w:rStyle w:val="FootnoteAnchor"/>
          <w:rtl w:val="true"/>
        </w:rPr>
        <w:footnoteReference w:id="1210"/>
      </w:r>
      <w:r>
        <w:rPr>
          <w:rFonts w:ascii="IRNazanin" w:hAnsi="IRNazanin" w:eastAsia="IRNazanin"/>
          <w:color w:val="111111"/>
          <w:sz w:val="28"/>
          <w:sz w:val="28"/>
          <w:szCs w:val="28"/>
          <w:rtl w:val="true"/>
          <w:lang w:bidi="fa-IR"/>
        </w:rPr>
        <w:t xml:space="preserve">یعسر زوالها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کالشجاعة و السخاوة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یکفی مطلق الإصلاح؟ أطلقه فی الخلاف</w:t>
      </w:r>
      <w:r>
        <w:rPr>
          <w:rStyle w:val="FootnoteAnchor"/>
          <w:rtl w:val="true"/>
        </w:rPr>
        <w:footnoteReference w:id="1211"/>
      </w:r>
      <w:r>
        <w:rPr>
          <w:rFonts w:ascii="IRNazanin" w:hAnsi="IRNazanin" w:eastAsia="IRNazanin"/>
          <w:color w:val="111111"/>
          <w:sz w:val="28"/>
          <w:sz w:val="28"/>
          <w:szCs w:val="28"/>
          <w:rtl w:val="true"/>
          <w:lang w:bidi="fa-IR"/>
        </w:rPr>
        <w:t>و الغنیة</w:t>
      </w:r>
      <w:r>
        <w:rPr>
          <w:rStyle w:val="FootnoteAnchor"/>
          <w:rtl w:val="true"/>
        </w:rPr>
        <w:footnoteReference w:id="1212"/>
      </w:r>
      <w:r>
        <w:rPr>
          <w:rFonts w:ascii="IRNazanin" w:hAnsi="IRNazanin" w:eastAsia="IRNazanin"/>
          <w:color w:val="111111"/>
          <w:sz w:val="28"/>
          <w:sz w:val="28"/>
          <w:szCs w:val="28"/>
          <w:rtl w:val="true"/>
          <w:lang w:bidi="fa-IR"/>
        </w:rPr>
        <w:t>و المختصر النافع</w:t>
      </w:r>
      <w:r>
        <w:rPr>
          <w:rStyle w:val="FootnoteAnchor"/>
          <w:rtl w:val="true"/>
        </w:rPr>
        <w:footnoteReference w:id="1213"/>
      </w:r>
      <w:r>
        <w:rPr>
          <w:rFonts w:ascii="IRNazanin" w:hAnsi="IRNazanin" w:eastAsia="IRNazanin"/>
          <w:color w:val="111111"/>
          <w:sz w:val="28"/>
          <w:sz w:val="28"/>
          <w:szCs w:val="28"/>
          <w:rtl w:val="true"/>
          <w:lang w:bidi="fa-IR"/>
        </w:rPr>
        <w:t>و الشرائع</w:t>
      </w:r>
      <w:r>
        <w:rPr>
          <w:rStyle w:val="FootnoteAnchor"/>
          <w:rtl w:val="true"/>
        </w:rPr>
        <w:footnoteReference w:id="1214"/>
      </w:r>
      <w:r>
        <w:rPr>
          <w:rFonts w:ascii="IRNazanin" w:hAnsi="IRNazanin" w:eastAsia="IRNazanin"/>
          <w:color w:val="111111"/>
          <w:sz w:val="28"/>
          <w:sz w:val="28"/>
          <w:szCs w:val="28"/>
          <w:rtl w:val="true"/>
          <w:lang w:bidi="fa-IR"/>
        </w:rPr>
        <w:t>و الجامع للشرائع</w:t>
      </w:r>
      <w:r>
        <w:rPr>
          <w:rStyle w:val="FootnoteAnchor"/>
          <w:rtl w:val="true"/>
        </w:rPr>
        <w:footnoteReference w:id="1215"/>
      </w:r>
      <w:r>
        <w:rPr>
          <w:rFonts w:ascii="IRNazanin" w:hAnsi="IRNazanin" w:eastAsia="IRNazanin"/>
          <w:color w:val="111111"/>
          <w:sz w:val="28"/>
          <w:sz w:val="28"/>
          <w:szCs w:val="28"/>
          <w:rtl w:val="true"/>
          <w:lang w:bidi="fa-IR"/>
        </w:rPr>
        <w:t>، و صرّح باعتبارها فی القواعد</w:t>
      </w:r>
      <w:r>
        <w:rPr>
          <w:rStyle w:val="FootnoteAnchor"/>
          <w:rtl w:val="true"/>
        </w:rPr>
        <w:footnoteReference w:id="1216"/>
      </w:r>
      <w:r>
        <w:rPr>
          <w:rFonts w:ascii="IRNazanin" w:hAnsi="IRNazanin" w:eastAsia="IRNazanin"/>
          <w:color w:val="111111"/>
          <w:sz w:val="28"/>
          <w:sz w:val="28"/>
          <w:szCs w:val="28"/>
          <w:rtl w:val="true"/>
          <w:lang w:bidi="fa-IR"/>
        </w:rPr>
        <w:t>و جامع المقاصد</w:t>
      </w:r>
      <w:r>
        <w:rPr>
          <w:rStyle w:val="FootnoteAnchor"/>
          <w:rtl w:val="true"/>
        </w:rPr>
        <w:footnoteReference w:id="1217"/>
      </w:r>
      <w:r>
        <w:rPr>
          <w:rFonts w:ascii="IRNazanin" w:hAnsi="IRNazanin" w:eastAsia="IRNazanin"/>
          <w:color w:val="111111"/>
          <w:sz w:val="28"/>
          <w:sz w:val="28"/>
          <w:szCs w:val="28"/>
          <w:rtl w:val="true"/>
          <w:lang w:bidi="fa-IR"/>
        </w:rPr>
        <w:t>و المهذّب البارع</w:t>
      </w:r>
      <w:r>
        <w:rPr>
          <w:rStyle w:val="FootnoteAnchor"/>
          <w:rtl w:val="true"/>
        </w:rPr>
        <w:footnoteReference w:id="1218"/>
      </w:r>
      <w:r>
        <w:rPr>
          <w:rFonts w:ascii="Amiri" w:hAnsi="Amiri" w:eastAsia="Amiri" w:cs="Amiri"/>
          <w:color w:val="111111"/>
          <w:sz w:val="28"/>
          <w:sz w:val="28"/>
          <w:szCs w:val="28"/>
          <w:rtl w:val="true"/>
          <w:lang w:bidi="ar-SA"/>
        </w:rPr>
        <w:t>و الروضة</w:t>
      </w:r>
      <w:r>
        <w:rPr>
          <w:rStyle w:val="FootnoteAnchor"/>
          <w:rtl w:val="true"/>
        </w:rPr>
        <w:footnoteReference w:id="1219"/>
      </w:r>
      <w:r>
        <w:rPr>
          <w:rFonts w:ascii="IRNazanin" w:hAnsi="IRNazanin" w:eastAsia="IRNazanin"/>
          <w:color w:val="111111"/>
          <w:sz w:val="28"/>
          <w:sz w:val="28"/>
          <w:szCs w:val="28"/>
          <w:rtl w:val="true"/>
          <w:lang w:bidi="fa-IR"/>
        </w:rPr>
        <w:t>و الحدائق</w:t>
      </w:r>
      <w:r>
        <w:rPr>
          <w:rStyle w:val="FootnoteAnchor"/>
          <w:rtl w:val="true"/>
        </w:rPr>
        <w:footnoteReference w:id="1220"/>
      </w:r>
      <w:r>
        <w:rPr>
          <w:rFonts w:ascii="IRNazanin" w:hAnsi="IRNazanin" w:eastAsia="IRNazanin"/>
          <w:color w:val="111111"/>
          <w:sz w:val="28"/>
          <w:sz w:val="28"/>
          <w:szCs w:val="28"/>
          <w:rtl w:val="true"/>
          <w:lang w:bidi="fa-IR"/>
        </w:rPr>
        <w:t>و فی المناهل</w:t>
      </w:r>
      <w:r>
        <w:rPr>
          <w:rStyle w:val="FootnoteAnchor"/>
          <w:rtl w:val="true"/>
        </w:rPr>
        <w:footnoteReference w:id="1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جیّد</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المشهور أن الرشد یعتبر فیه ثلاثة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غیر مفسد للمال بالتضییع، و کونه مصلحاً له علی الوجه اللائق بحاله ممّا یعتبر عند العقلاء بالتنمیة مثلاً، و أن لا یصرفه فی المصارف التی لا تلیق بحاله، و یعتبر کون تلک الاُمور ملکة له راسخة</w:t>
      </w:r>
      <w:r>
        <w:rPr>
          <w:rFonts w:eastAsia="IRNazanin" w:cs="IRNazanin"/>
          <w:color w:val="111111"/>
          <w:sz w:val="28"/>
          <w:szCs w:val="28"/>
          <w:rtl w:val="true"/>
          <w:lang w:bidi="fa-IR"/>
        </w:rPr>
        <w:t>»</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مجمع الفائدة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بمعنی أن یکون له ملکة یقدر بها علی حفظه و صرفه فی الأغراض الصحیحة لا غیر، لا بمعنی أنّه قد فعل مرّة اتّفاقاً، بل یکون ذلک فی عقله و معرفته للاُمور</w:t>
      </w:r>
      <w:r>
        <w:rPr>
          <w:rFonts w:eastAsia="IRNazanin" w:cs="IRNazanin"/>
          <w:color w:val="111111"/>
          <w:sz w:val="28"/>
          <w:szCs w:val="28"/>
          <w:rtl w:val="true"/>
          <w:lang w:bidi="fa-IR"/>
        </w:rPr>
        <w:t>»</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علّله الشهید قدس سره فی المسالک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احترزنا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مطلق الکیفیّة، فإنّها لیست کافیة، بل لا بدّ فیها من أن تصیر ملکة یعسر زوالها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اقتضائها إصلاح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لو کان غیر مفسد له، و لکن لا رغبة له</w:t>
      </w:r>
      <w:r>
        <w:rPr>
          <w:rStyle w:val="FootnoteAnchor"/>
          <w:rtl w:val="true"/>
        </w:rPr>
        <w:footnoteReference w:id="1224"/>
      </w:r>
      <w:r>
        <w:rPr>
          <w:rFonts w:ascii="IRNazanin" w:hAnsi="IRNazanin" w:eastAsia="IRNazanin"/>
          <w:color w:val="111111"/>
          <w:sz w:val="28"/>
          <w:sz w:val="28"/>
          <w:szCs w:val="28"/>
          <w:rtl w:val="true"/>
          <w:lang w:bidi="fa-IR"/>
        </w:rPr>
        <w:t>فی إصلاحه علی الوجه المعتبر عند العقلاء، فإنّ ذلک غیر کافٍ فی تحقّق الرشد</w:t>
      </w:r>
      <w:r>
        <w:rPr>
          <w:rFonts w:eastAsia="IRNazanin" w:cs="IRNazanin"/>
          <w:color w:val="111111"/>
          <w:sz w:val="28"/>
          <w:szCs w:val="28"/>
          <w:rtl w:val="true"/>
          <w:lang w:bidi="fa-IR"/>
        </w:rPr>
        <w:t>»</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أورد علیه فی الجواهر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من المعلوم إرادة الصفة اللّازمة؛ ضرورة عدم صدق الرشید عرفاً علی من حصل منه ذلک علی وجه الاتّفاق، و مرجع الملکة إلی ذلک، فهی مرادة للجمیع بهذا المعنی قطعاً، و المراد بإصلاح المال حفظه و الاعتناء بحاله و عدم تبذیره و المبالاة و نحو ذلک ممّا ینافیه العرف بالأعمال التی لا تلیق بحاله، و أمّا تنمیته و التکسب به فقد یمنع اعتباره فی الرشد عرفاً</w:t>
      </w:r>
      <w:r>
        <w:rPr>
          <w:rFonts w:eastAsia="IRNazanin" w:cs="IRNazanin"/>
          <w:color w:val="111111"/>
          <w:sz w:val="28"/>
          <w:szCs w:val="28"/>
          <w:rtl w:val="true"/>
          <w:lang w:bidi="fa-IR"/>
        </w:rPr>
        <w:t>»</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أجاد فی جامع المدارک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w:t>
      </w:r>
      <w:r>
        <w:rPr>
          <w:rStyle w:val="FootnoteAnchor"/>
          <w:rtl w:val="true"/>
        </w:rPr>
        <w:footnoteReference w:id="1227"/>
      </w:r>
      <w:r>
        <w:rPr>
          <w:rFonts w:ascii="IRNazanin" w:hAnsi="IRNazanin" w:eastAsia="IRNazanin"/>
          <w:color w:val="111111"/>
          <w:sz w:val="28"/>
          <w:sz w:val="28"/>
          <w:szCs w:val="28"/>
          <w:rtl w:val="true"/>
          <w:lang w:bidi="fa-IR"/>
        </w:rPr>
        <w:t>بین الرشد و سائر الکمالات الحاصلة بالممارسة و التمرین، حیث إنّ الرشد ضدّه</w:t>
      </w:r>
      <w:bookmarkStart w:id="346" w:name="pg11757_135602"/>
    </w:p>
    <w:p>
      <w:pPr>
        <w:pStyle w:val="BookText"/>
        <w:rPr/>
      </w:pPr>
      <w:bookmarkEnd w:id="346"/>
      <w:r>
        <w:rPr>
          <w:rFonts w:ascii="IRNazanin" w:hAnsi="IRNazanin" w:eastAsia="IRNazanin"/>
          <w:color w:val="111111"/>
          <w:sz w:val="28"/>
          <w:sz w:val="28"/>
          <w:szCs w:val="28"/>
          <w:rtl w:val="true"/>
          <w:lang w:bidi="fa-IR"/>
        </w:rPr>
        <w:t>السفة، و هی ترجع إلی سخافة العقل و نقصانه، و السخافة فی العقل علی خلاف الطبیعة کالجنون، فلا حاجة فی الرشد إلی الممارسة، و لعلّ الأمر بالابتلاء</w:t>
      </w:r>
      <w:r>
        <w:rPr>
          <w:rStyle w:val="FootnoteAnchor"/>
          <w:rtl w:val="true"/>
        </w:rPr>
        <w:footnoteReference w:id="1228"/>
      </w:r>
      <w:r>
        <w:rPr>
          <w:rFonts w:ascii="IRNazanin" w:hAnsi="IRNazanin" w:eastAsia="IRNazanin"/>
          <w:color w:val="111111"/>
          <w:sz w:val="28"/>
          <w:sz w:val="28"/>
          <w:szCs w:val="28"/>
          <w:rtl w:val="true"/>
          <w:lang w:bidi="fa-IR"/>
        </w:rPr>
        <w:t>و الامتحان من جهة أنّ الصبیّ غالباً ناقص العقل، و یصل إلی الکمال العقلی بالتدریج، و بمجرّد البلوغ لم یحرز کماله العقلی المقتضی لإصلاح المال و التجنّب عمّا لا یلیق بأفعال العقلاء، و بعد التجاوز عن حدّ البلوغ یعامل معه معاملة الرشید من جهة أصالة السلامة</w:t>
      </w:r>
      <w:r>
        <w:rPr>
          <w:rStyle w:val="FootnoteAnchor"/>
          <w:rtl w:val="true"/>
        </w:rPr>
        <w:footnoteReference w:id="1229"/>
      </w:r>
      <w:r>
        <w:rPr>
          <w:rFonts w:ascii="IRNazanin" w:hAnsi="IRNazanin" w:eastAsia="IRNazanin"/>
          <w:color w:val="111111"/>
          <w:sz w:val="28"/>
          <w:sz w:val="28"/>
          <w:szCs w:val="28"/>
          <w:rtl w:val="true"/>
          <w:lang w:bidi="fa-IR"/>
        </w:rPr>
        <w:t>کما یعامل معه معاملة العاقل یؤخذ بإقراره علی نفسه و یقام علیه الحدّ، و لعلّه لهذا جرت السیرة علی المعاملة مع مجهول الحال معاملة الرشید</w:t>
      </w:r>
      <w:r>
        <w:rPr>
          <w:rFonts w:eastAsia="IRNazanin" w:cs="IRNazanin"/>
          <w:color w:val="111111"/>
          <w:sz w:val="28"/>
          <w:szCs w:val="28"/>
          <w:rtl w:val="true"/>
          <w:lang w:bidi="fa-IR"/>
        </w:rPr>
        <w:t>»</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7" w:name="__RefHeading___Toc9696769_73709187"/>
      <w:bookmarkStart w:id="348" w:name="_Toc128"/>
      <w:bookmarkEnd w:id="347"/>
      <w:r>
        <w:rPr>
          <w:rtl w:val="true"/>
        </w:rPr>
        <w:t>معنی السفیه لغةً و اصطلاحاً</w:t>
      </w:r>
      <w:bookmarkEnd w:id="348"/>
    </w:p>
    <w:p>
      <w:pPr>
        <w:pStyle w:val="BookText"/>
        <w:rPr/>
      </w:pPr>
      <w:r>
        <w:rPr>
          <w:rFonts w:ascii="IRNazanin" w:hAnsi="IRNazanin" w:eastAsia="IRNazanin"/>
          <w:color w:val="111111"/>
          <w:sz w:val="28"/>
          <w:sz w:val="28"/>
          <w:szCs w:val="28"/>
          <w:rtl w:val="true"/>
          <w:lang w:bidi="fa-IR"/>
        </w:rPr>
        <w:t>لمّا کان المقصود من السفیه بالنسبة إلی المال فی اصطلاح الفقهاء هو المقابل للرشید؛ لما عرفت أنّ 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إصلاح المال، و تحقّقه لا یحصل إلّا بعدم الصرف فی الأغراض غیر الصحیحة، لزم التحقیق فی معنی السفیه،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السفة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الخفّة، و السفیه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الخفیف العقل</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تاج العروس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الجاهل و الضّعیف الأحمق، قال ابن 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الجاهل هنا هو الجاهل بالأحکام</w:t>
      </w:r>
      <w:r>
        <w:rPr>
          <w:rFonts w:eastAsia="IRNazanin" w:cs="IRNazanin"/>
          <w:color w:val="111111"/>
          <w:sz w:val="28"/>
          <w:szCs w:val="28"/>
          <w:rtl w:val="true"/>
          <w:lang w:bidi="fa-IR"/>
        </w:rPr>
        <w:t>»</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مجمع البحرین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السفیه المبذّر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یصرف أمواله فی غیر الأغراض الصحیحة، أو ینخدع فی المعاملة، و لو فسّر السفیه بالّذی لا یبالی بما قال و لا ما قیل فیه لم یکن بعیداً</w:t>
      </w:r>
      <w:r>
        <w:rPr>
          <w:rFonts w:eastAsia="IRNazanin" w:cs="IRNazanin"/>
          <w:color w:val="111111"/>
          <w:sz w:val="28"/>
          <w:szCs w:val="28"/>
          <w:rtl w:val="true"/>
          <w:lang w:bidi="fa-IR"/>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فی الاصطلاح ففی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یکون مصلحاً لماله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الذی یصرف أمواله فی غیر الأغراض الصحیحة</w:t>
      </w:r>
      <w:r>
        <w:rPr>
          <w:rFonts w:eastAsia="IRNazanin" w:cs="IRNazanin"/>
          <w:color w:val="111111"/>
          <w:sz w:val="28"/>
          <w:szCs w:val="28"/>
          <w:rtl w:val="true"/>
          <w:lang w:bidi="fa-IR"/>
        </w:rPr>
        <w:t>»</w:t>
      </w:r>
      <w:r>
        <w:rPr>
          <w:rStyle w:val="FootnoteAnchor"/>
          <w:rtl w:val="true"/>
        </w:rPr>
        <w:footnoteReference w:id="1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إرشاد الأذهان</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إیضاح الفوائد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الذی یصرف أمواله علی غیر الوجه الملائم لأفعال العقلاء</w:t>
      </w:r>
      <w:r>
        <w:rPr>
          <w:rFonts w:eastAsia="IRNazanin" w:cs="IRNazanin"/>
          <w:color w:val="111111"/>
          <w:sz w:val="28"/>
          <w:szCs w:val="28"/>
          <w:rtl w:val="true"/>
          <w:lang w:bidi="fa-IR"/>
        </w:rPr>
        <w:t>»</w:t>
      </w:r>
      <w:r>
        <w:rPr>
          <w:rStyle w:val="FootnoteAnchor"/>
          <w:rtl w:val="true"/>
        </w:rPr>
        <w:footnoteReference w:id="1236"/>
      </w:r>
      <w:r>
        <w:rPr>
          <w:rFonts w:ascii="IRNazanin" w:hAnsi="IRNazanin" w:eastAsia="IRNazanin"/>
          <w:color w:val="111111"/>
          <w:sz w:val="28"/>
          <w:sz w:val="28"/>
          <w:szCs w:val="28"/>
          <w:rtl w:val="true"/>
          <w:lang w:bidi="fa-IR"/>
        </w:rPr>
        <w:t>، و به قال فی التنقیح الرائع</w:t>
      </w:r>
      <w:r>
        <w:rPr>
          <w:rStyle w:val="FootnoteAnchor"/>
          <w:rtl w:val="true"/>
        </w:rPr>
        <w:footnoteReference w:id="1237"/>
      </w:r>
      <w:r>
        <w:rPr>
          <w:rFonts w:ascii="IRNazanin" w:hAnsi="IRNazanin" w:eastAsia="IRNazanin"/>
          <w:color w:val="111111"/>
          <w:sz w:val="28"/>
          <w:sz w:val="28"/>
          <w:szCs w:val="28"/>
          <w:rtl w:val="true"/>
          <w:lang w:bidi="fa-IR"/>
        </w:rPr>
        <w:t>و جامع المقاصد</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بتعریف الرشد المتقدّم یعرف السفیه المتّصف بضدّه، و هو الذی یصرف أمواله فی غیر الأغراض الصحیحة، و یفسدها و لا یصلحها</w:t>
      </w:r>
      <w:r>
        <w:rPr>
          <w:rFonts w:eastAsia="IRNazanin" w:cs="IRNazanin"/>
          <w:color w:val="111111"/>
          <w:sz w:val="28"/>
          <w:szCs w:val="28"/>
          <w:rtl w:val="true"/>
          <w:lang w:bidi="fa-IR"/>
        </w:rPr>
        <w:t>»</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تمام الکلام فیه یعرف ممّا قدّمناه فی الرشد</w:t>
      </w:r>
      <w:r>
        <w:rPr>
          <w:rFonts w:eastAsia="IRNazanin" w:cs="IRNazanin"/>
          <w:color w:val="111111"/>
          <w:sz w:val="28"/>
          <w:szCs w:val="28"/>
          <w:rtl w:val="true"/>
          <w:lang w:bidi="fa-IR"/>
        </w:rPr>
        <w:t>»</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الظاهر أنّ السفیه لا یکون له معنی شرعی، بل استعمل فی</w:t>
      </w:r>
    </w:p>
    <w:p>
      <w:pPr>
        <w:pStyle w:val="BookText"/>
        <w:rPr/>
      </w:pPr>
      <w:r>
        <w:rPr>
          <w:rFonts w:ascii="IRNazanin" w:hAnsi="IRNazanin" w:eastAsia="IRNazanin"/>
          <w:color w:val="111111"/>
          <w:sz w:val="28"/>
          <w:sz w:val="28"/>
          <w:szCs w:val="28"/>
          <w:rtl w:val="true"/>
          <w:lang w:bidi="fa-IR"/>
        </w:rPr>
        <w:t>الکتاب و السنّة بالمعنی الذی یقول به العرف و العقلاء، و 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السفیه هو الذی لیس له حالة باعثة و ملکة راسخة علی حفظ المال، و لا تکون معاملاته بنحو یجریها العقلاء من المکایسة و التحفّظ عن المغابنة و عدم الانخداع فی المعاملة، و مصادیقه واضحة عند العرف، ظاهرة لدیهم، کما فی تفصیل الشریعة</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حجر السفیه ما تقدّم من الأدلّة عند البحث عن حجر الصغیر فراجع</w:t>
      </w:r>
      <w:r>
        <w:rPr>
          <w:rStyle w:val="FootnoteAnchor"/>
          <w:rtl w:val="true"/>
        </w:rPr>
        <w:footnoteReference w:id="1242"/>
      </w:r>
      <w:r>
        <w:rPr>
          <w:rFonts w:ascii="Amiri" w:hAnsi="Amiri" w:eastAsia="Amiri" w:cs="Amiri"/>
          <w:color w:val="111111"/>
          <w:sz w:val="28"/>
          <w:sz w:val="28"/>
          <w:szCs w:val="28"/>
          <w:rtl w:val="true"/>
          <w:lang w:bidi="ar-SA"/>
        </w:rPr>
        <w:t>،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تُؤْتُوا السُّفَهاءَ أَمْوالَکُمُ الَّتِی جَعَلَ اللّهُ لَکُمْ قِیاماً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الشیخ فی تفسیره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الأولی حمل الآیة علی عمومها فی المنع من إعطاء المال السفیه، سواء کان رجلاً أو امرأة، بالغاً</w:t>
      </w:r>
      <w:r>
        <w:rPr>
          <w:rStyle w:val="FootnoteAnchor"/>
          <w:rtl w:val="true"/>
        </w:rPr>
        <w:footnoteReference w:id="1243"/>
      </w:r>
      <w:r>
        <w:rPr>
          <w:rFonts w:ascii="IRNazanin" w:hAnsi="IRNazanin" w:eastAsia="IRNazanin"/>
          <w:color w:val="111111"/>
          <w:sz w:val="28"/>
          <w:sz w:val="28"/>
          <w:szCs w:val="28"/>
          <w:rtl w:val="true"/>
          <w:lang w:bidi="fa-IR"/>
        </w:rPr>
        <w:t>أو غیر 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مجمع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 عام فی کلّ سفیه من صبیّ أو مجنون أو محجور علیه</w:t>
      </w:r>
      <w:r>
        <w:rPr>
          <w:rFonts w:eastAsia="IRNazanin" w:cs="IRNazanin"/>
          <w:color w:val="111111"/>
          <w:sz w:val="28"/>
          <w:szCs w:val="28"/>
          <w:rtl w:val="true"/>
          <w:lang w:bidi="fa-IR"/>
        </w:rPr>
        <w:t>»</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أجاد فی الریاض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 تقدّم من الإجماع و غیره یظهر وجه منعه عن التصرّفات المالیّة و إن حدث سفهه بعد رشده، مضافاً إلی النصوص المستفیضة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علیّ بن إبراهیم فی تفسیره عن أبی جعفر علیه السلام فی قوله تعالی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تُؤْتُوا السُّفَهاءَ أَمْوالَکُمُ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فالسفهاء النساء و الولد، إذا علم الرجل</w:t>
      </w:r>
      <w:bookmarkStart w:id="349" w:name="pg11757_135605"/>
    </w:p>
    <w:p>
      <w:pPr>
        <w:pStyle w:val="BookText"/>
        <w:rPr/>
      </w:pPr>
      <w:bookmarkEnd w:id="349"/>
      <w:r>
        <w:rPr>
          <w:rFonts w:ascii="IRNazanin" w:hAnsi="IRNazanin" w:eastAsia="IRNazanin"/>
          <w:color w:val="111111"/>
          <w:sz w:val="28"/>
          <w:sz w:val="28"/>
          <w:szCs w:val="28"/>
          <w:rtl w:val="true"/>
          <w:lang w:bidi="fa-IR"/>
        </w:rPr>
        <w:t>أنّ امرأته سفیهة مفسدة و ولده سفیه مفسد لم ینبغ له أن یسلّط واحداً منهما علی ماله الذی جعله اللّه له قیاماً</w:t>
      </w:r>
      <w:r>
        <w:rPr>
          <w:rFonts w:eastAsia="IRNazanin" w:cs="IRNazanin"/>
          <w:color w:val="111111"/>
          <w:sz w:val="28"/>
          <w:szCs w:val="28"/>
          <w:rtl w:val="true"/>
          <w:lang w:bidi="fa-IR"/>
        </w:rPr>
        <w:t>»</w:t>
      </w:r>
      <w:r>
        <w:rPr>
          <w:rStyle w:val="FootnoteAnchor"/>
          <w:rtl w:val="true"/>
        </w:rPr>
        <w:footnoteReference w:id="1245"/>
      </w:r>
      <w:r>
        <w:rPr>
          <w:rFonts w:ascii="IRNazanin" w:hAnsi="IRNazanin" w:eastAsia="IRNazanin"/>
          <w:color w:val="111111"/>
          <w:sz w:val="28"/>
          <w:sz w:val="28"/>
          <w:szCs w:val="28"/>
          <w:rtl w:val="true"/>
          <w:lang w:bidi="fa-IR"/>
        </w:rPr>
        <w:t xml:space="preserve">و مقتضاه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کالأصل، و عموم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عن تمکین السفیه من المال</w:t>
      </w:r>
      <w:r>
        <w:rPr>
          <w:rStyle w:val="FootnoteAnchor"/>
          <w:rtl w:val="true"/>
        </w:rPr>
        <w:footnoteReference w:id="1246"/>
      </w:r>
      <w:r>
        <w:rPr>
          <w:rFonts w:ascii="Amiri" w:hAnsi="Amiri" w:eastAsia="Amiri" w:cs="Amiri"/>
          <w:color w:val="111111"/>
          <w:sz w:val="28"/>
          <w:sz w:val="28"/>
          <w:szCs w:val="28"/>
          <w:rtl w:val="true"/>
          <w:lang w:bidi="ar-SA"/>
        </w:rPr>
        <w:t>، و 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آنَسْتُمْ مِنْهُمْ رُشْداً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منطوق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 الَّذِی عَلَیْهِ الْحَقُّ سَفِیهاً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الدالّین علی الحجر بمجرد السّفه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توقّفه علی حکم الحاکم، و کذا زواله؛ لظاهر الآیة الاُولی، و هو أحد القولین المشهورین فی المسألة و أصحّهما، وفاقاً</w:t>
      </w:r>
      <w:r>
        <w:rPr>
          <w:rStyle w:val="FootnoteAnchor"/>
          <w:rtl w:val="true"/>
        </w:rPr>
        <w:footnoteReference w:id="1247"/>
      </w:r>
      <w:r>
        <w:rPr>
          <w:rFonts w:ascii="Amiri" w:hAnsi="Amiri" w:eastAsia="Amiri" w:cs="Amiri"/>
          <w:color w:val="111111"/>
          <w:sz w:val="28"/>
          <w:sz w:val="28"/>
          <w:szCs w:val="28"/>
          <w:rtl w:val="true"/>
          <w:lang w:bidi="ar-SA"/>
        </w:rPr>
        <w:t>لجماعة</w:t>
      </w:r>
      <w:r>
        <w:rPr>
          <w:rFonts w:eastAsia="Amiri" w:cs="Amiri" w:ascii="Amiri" w:hAnsi="Amiri"/>
          <w:color w:val="111111"/>
          <w:sz w:val="28"/>
          <w:szCs w:val="28"/>
          <w:rtl w:val="true"/>
          <w:lang w:bidi="ar-SA"/>
        </w:rPr>
        <w:t>»</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0" w:name="__RefHeading___Toc9696771_73709187"/>
      <w:bookmarkStart w:id="351" w:name="_Toc129"/>
      <w:bookmarkEnd w:id="350"/>
      <w:r>
        <w:rPr>
          <w:rtl w:val="true"/>
        </w:rPr>
        <w:t>فرعان</w:t>
      </w:r>
      <w:bookmarkEnd w:id="35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الصبیّ سفیهاً و غیر رشید لم یدفع إلیه ماله و لم یزل عنه الحجر و إن صار شیخاً کبیراً، کما هو الظاهر من الشرائع</w:t>
      </w:r>
      <w:r>
        <w:rPr>
          <w:rStyle w:val="FootnoteAnchor"/>
          <w:rtl w:val="true"/>
        </w:rPr>
        <w:footnoteReference w:id="1249"/>
      </w:r>
      <w:r>
        <w:rPr>
          <w:rFonts w:ascii="IRNazanin" w:hAnsi="IRNazanin" w:eastAsia="IRNazanin"/>
          <w:color w:val="111111"/>
          <w:sz w:val="28"/>
          <w:sz w:val="28"/>
          <w:szCs w:val="28"/>
          <w:rtl w:val="true"/>
          <w:lang w:bidi="fa-IR"/>
        </w:rPr>
        <w:t>و المختصر النافع</w:t>
      </w:r>
      <w:r>
        <w:rPr>
          <w:rStyle w:val="FootnoteAnchor"/>
          <w:rtl w:val="true"/>
        </w:rPr>
        <w:footnoteReference w:id="1250"/>
      </w:r>
      <w:r>
        <w:rPr>
          <w:rFonts w:ascii="IRNazanin" w:hAnsi="IRNazanin" w:eastAsia="IRNazanin"/>
          <w:color w:val="111111"/>
          <w:sz w:val="28"/>
          <w:sz w:val="28"/>
          <w:szCs w:val="28"/>
          <w:rtl w:val="true"/>
          <w:lang w:bidi="fa-IR"/>
        </w:rPr>
        <w:t>و الإرشاد</w:t>
      </w:r>
      <w:r>
        <w:rPr>
          <w:rStyle w:val="FootnoteAnchor"/>
          <w:rtl w:val="true"/>
        </w:rPr>
        <w:footnoteReference w:id="1251"/>
      </w:r>
      <w:r>
        <w:rPr>
          <w:rFonts w:ascii="IRNazanin" w:hAnsi="IRNazanin" w:eastAsia="IRNazanin"/>
          <w:color w:val="111111"/>
          <w:sz w:val="28"/>
          <w:sz w:val="28"/>
          <w:szCs w:val="28"/>
          <w:rtl w:val="true"/>
          <w:lang w:bidi="fa-IR"/>
        </w:rPr>
        <w:t>و القواعد</w:t>
      </w:r>
      <w:r>
        <w:rPr>
          <w:rStyle w:val="FootnoteAnchor"/>
          <w:rtl w:val="true"/>
        </w:rPr>
        <w:footnoteReference w:id="1252"/>
      </w:r>
      <w:r>
        <w:rPr>
          <w:rFonts w:ascii="IRNazanin" w:hAnsi="IRNazanin" w:eastAsia="IRNazanin"/>
          <w:color w:val="111111"/>
          <w:sz w:val="28"/>
          <w:sz w:val="28"/>
          <w:szCs w:val="28"/>
          <w:rtl w:val="true"/>
          <w:lang w:bidi="fa-IR"/>
        </w:rPr>
        <w:t>و صریح التذکرة،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بلغ الصبیّ غیر رشید لم یدفع إلیه ماله و إن صار شیخاً و طعن فی السنّ، و هذا قول أکثر علماء الأمصار من أهل الحجاز و العراق و الشام و مصر، فإنّهم یرون الحجر علی کلّ</w:t>
      </w:r>
    </w:p>
    <w:p>
      <w:pPr>
        <w:pStyle w:val="BookText"/>
        <w:rPr/>
      </w:pPr>
      <w:r>
        <w:rPr>
          <w:rFonts w:ascii="Amiri" w:hAnsi="Amiri" w:eastAsia="Amiri" w:cs="Amiri"/>
          <w:color w:val="111111"/>
          <w:sz w:val="28"/>
          <w:sz w:val="28"/>
          <w:szCs w:val="28"/>
          <w:rtl w:val="true"/>
          <w:lang w:bidi="ar-SA"/>
        </w:rPr>
        <w:t>مضیّع لماله، صغیراً کان أو کبیراً</w:t>
      </w:r>
      <w:r>
        <w:rPr>
          <w:rFonts w:eastAsia="Amiri" w:cs="Amiri" w:ascii="Amiri" w:hAnsi="Amiri"/>
          <w:color w:val="111111"/>
          <w:sz w:val="28"/>
          <w:szCs w:val="28"/>
          <w:rtl w:val="true"/>
          <w:lang w:bidi="ar-SA"/>
        </w:rPr>
        <w:t>»</w:t>
      </w:r>
      <w:r>
        <w:rPr>
          <w:rStyle w:val="FootnoteAnchor"/>
          <w:rtl w:val="true"/>
        </w:rPr>
        <w:footnoteReference w:id="1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الروضة</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عندنا موضع وفاق</w:t>
      </w:r>
      <w:r>
        <w:rPr>
          <w:rFonts w:eastAsia="IRNazanin" w:cs="IRNazanin"/>
          <w:color w:val="111111"/>
          <w:sz w:val="28"/>
          <w:szCs w:val="28"/>
          <w:rtl w:val="true"/>
          <w:lang w:bidi="fa-IR"/>
        </w:rPr>
        <w:t>»</w:t>
      </w:r>
      <w:r>
        <w:rPr>
          <w:rStyle w:val="FootnoteAnchor"/>
          <w:rtl w:val="true"/>
        </w:rPr>
        <w:footnoteReference w:id="1255"/>
      </w:r>
      <w:r>
        <w:rPr>
          <w:rFonts w:ascii="IRNazanin" w:hAnsi="IRNazanin" w:eastAsia="IRNazanin"/>
          <w:color w:val="111111"/>
          <w:sz w:val="28"/>
          <w:sz w:val="28"/>
          <w:szCs w:val="28"/>
          <w:rtl w:val="true"/>
          <w:lang w:bidi="fa-IR"/>
        </w:rPr>
        <w:t>، و به قال فی الجواهر</w:t>
      </w:r>
      <w:r>
        <w:rPr>
          <w:rStyle w:val="FootnoteAnchor"/>
          <w:rtl w:val="true"/>
        </w:rPr>
        <w:footnoteReference w:id="1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تحریر الوسیلة</w:t>
      </w:r>
      <w:r>
        <w:rPr>
          <w:rStyle w:val="FootnoteAnchor"/>
          <w:rtl w:val="true"/>
        </w:rPr>
        <w:footnoteReference w:id="1257"/>
      </w:r>
      <w:r>
        <w:rPr>
          <w:rFonts w:ascii="IRNazanin" w:hAnsi="IRNazanin" w:eastAsia="IRNazanin"/>
          <w:color w:val="111111"/>
          <w:sz w:val="28"/>
          <w:sz w:val="28"/>
          <w:szCs w:val="28"/>
          <w:rtl w:val="true"/>
          <w:lang w:bidi="fa-IR"/>
        </w:rPr>
        <w:t>و تفصیل الشریعة</w:t>
      </w:r>
      <w:r>
        <w:rPr>
          <w:rStyle w:val="FootnoteAnchor"/>
          <w:rtl w:val="true"/>
        </w:rPr>
        <w:footnoteReference w:id="1258"/>
      </w:r>
      <w:r>
        <w:rPr>
          <w:rFonts w:ascii="IRNazanin" w:hAnsi="IRNazanin" w:eastAsia="IRNazanin"/>
          <w:color w:val="111111"/>
          <w:sz w:val="28"/>
          <w:sz w:val="28"/>
          <w:szCs w:val="28"/>
          <w:rtl w:val="true"/>
          <w:lang w:bidi="fa-IR"/>
        </w:rPr>
        <w:t>و غیرها</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یدلّ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الأصل و الإجماع و الاتّفاق، کما تقدّم عن المسالک، و کذا فی الروضة</w:t>
      </w:r>
      <w:r>
        <w:rPr>
          <w:rStyle w:val="FootnoteAnchor"/>
          <w:rtl w:val="true"/>
        </w:rPr>
        <w:footnoteReference w:id="1260"/>
      </w:r>
      <w:r>
        <w:rPr>
          <w:rFonts w:ascii="IRNazanin" w:hAnsi="IRNazanin" w:eastAsia="IRNazanin"/>
          <w:color w:val="111111"/>
          <w:sz w:val="28"/>
          <w:sz w:val="28"/>
          <w:szCs w:val="28"/>
          <w:rtl w:val="true"/>
          <w:lang w:bidi="fa-IR"/>
        </w:rPr>
        <w:t>و المناهل</w:t>
      </w:r>
      <w:r>
        <w:rPr>
          <w:rStyle w:val="FootnoteAnchor"/>
          <w:rtl w:val="true"/>
        </w:rPr>
        <w:footnoteReference w:id="1261"/>
      </w:r>
      <w:r>
        <w:rPr>
          <w:rFonts w:ascii="IRNazanin" w:hAnsi="IRNazanin" w:eastAsia="IRNazanin"/>
          <w:color w:val="111111"/>
          <w:sz w:val="28"/>
          <w:sz w:val="28"/>
          <w:szCs w:val="28"/>
          <w:rtl w:val="true"/>
          <w:lang w:bidi="fa-IR"/>
        </w:rPr>
        <w:t>، و الریاض</w:t>
      </w:r>
      <w:r>
        <w:rPr>
          <w:rStyle w:val="FootnoteAnchor"/>
          <w:rtl w:val="true"/>
        </w:rPr>
        <w:footnoteReference w:id="1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ابْتَلُوا الْیَتامی حَتّی إِذا بَلَغُوا النِّکاحَ فَإِنْ آنَسْتُمْ مِنْهُمْ رُشْداً فَادْفَعُوا إِلَیْهِمْ أَمْوالَهُمْ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حیث علّق دفع المال علی شرطین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 الرشد، فلا یثبت الحکم بدونهما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تُؤْتُوا السُّفَهاءَ أَمْوالَکُمُ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أموالهم، و فی مجمع البیان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التی بعضها لکم و بعضها لهم فیضیّعوها</w:t>
      </w:r>
      <w:r>
        <w:rPr>
          <w:rFonts w:eastAsia="IRNazanin" w:cs="IRNazanin"/>
          <w:color w:val="111111"/>
          <w:sz w:val="28"/>
          <w:szCs w:val="28"/>
          <w:rtl w:val="true"/>
          <w:lang w:bidi="fa-IR"/>
        </w:rPr>
        <w:t>»</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روی عن علیّ بن أبی حمزة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تُؤْتُوا السُّفَهاءَ أَمْوالَکُمُ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الیتامی لا تعطوهم أموالهم حتّی تعرفوا منهم الرشد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یکون أموالهم أموالنا؟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کنت أنت الوارث لهم</w:t>
      </w:r>
      <w:r>
        <w:rPr>
          <w:rFonts w:eastAsia="IRNazanin" w:cs="IRNazanin"/>
          <w:color w:val="111111"/>
          <w:sz w:val="28"/>
          <w:szCs w:val="28"/>
          <w:rtl w:val="true"/>
          <w:lang w:bidi="fa-IR"/>
        </w:rPr>
        <w:t>»</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یدلّ علیه أیضاً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 الَّذِی عَلَیْهِ الْحَقُّ سَفِیهاً أَوْ ضَعِیفاً أَوْ لا یَسْتَطِیعُ أَنْ یُمِلَّ هُوَ فَلْیُمْلِلْ وَلِیُّهُ بِالْعَدْلِ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حیث أثبت الولایة علی السفیه کما فی التذکرة، و استدلّ أیضاً بأنّه مبذّر لماله، فلا یجوز دفعه إلیه</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لإطلاق الأدلّة</w:t>
      </w:r>
      <w:r>
        <w:rPr>
          <w:rFonts w:eastAsia="IRNazanin" w:cs="IRNazanin"/>
          <w:color w:val="111111"/>
          <w:sz w:val="28"/>
          <w:szCs w:val="28"/>
          <w:rtl w:val="true"/>
          <w:lang w:bidi="fa-IR"/>
        </w:rPr>
        <w:t>»</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لا فرق فیما ذکرنا بین الذکر و الاُنثی و الخنثی، و الحرّ و المملوک، کما صرّح به فی التذکرة</w:t>
      </w:r>
      <w:r>
        <w:rPr>
          <w:rStyle w:val="FootnoteAnchor"/>
          <w:rtl w:val="true"/>
        </w:rPr>
        <w:footnoteReference w:id="1267"/>
      </w:r>
      <w:r>
        <w:rPr>
          <w:rFonts w:ascii="IRNazanin" w:hAnsi="IRNazanin" w:eastAsia="IRNazanin"/>
          <w:color w:val="111111"/>
          <w:sz w:val="28"/>
          <w:sz w:val="28"/>
          <w:szCs w:val="28"/>
          <w:rtl w:val="true"/>
          <w:lang w:bidi="fa-IR"/>
        </w:rPr>
        <w:t>، و کذا فی المناهل</w:t>
      </w:r>
      <w:r>
        <w:rPr>
          <w:rStyle w:val="FootnoteAnchor"/>
          <w:rtl w:val="true"/>
        </w:rPr>
        <w:footnoteReference w:id="1268"/>
      </w:r>
      <w:r>
        <w:rPr>
          <w:rFonts w:ascii="Amiri" w:hAnsi="Amiri" w:eastAsia="Amiri" w:cs="Amiri"/>
          <w:color w:val="111111"/>
          <w:sz w:val="28"/>
          <w:sz w:val="28"/>
          <w:szCs w:val="28"/>
          <w:rtl w:val="true"/>
          <w:lang w:bidi="ar-SA"/>
        </w:rPr>
        <w:t>؛ لعموم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آنَسْتُمْ مِنْهُمْ رُشْداً فَادْفَعُوا إِلَیْهِمْ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رشیداً و زال عنه الحجر ثمّ صار مبذّراً و عاد إلی السفه، حجر علیه ثانیاً، کما صرّح به فی التذکرة و ادّعی أنّه کذلک عند علمائنا أجمع، و استدلّ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آنَسْتُمْ مِنْهُمْ رُشْداً فَادْفَعُوا إِلَیْهِمْ أَمْوالَهُمْ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 بمفهومه علی تعلیل جواز الدفع بعلم الرشد، فإذا انتفت العلّة انتفی الحکم</w:t>
      </w:r>
      <w:r>
        <w:rPr>
          <w:rFonts w:eastAsia="Amiri" w:cs="Amiri" w:ascii="Amiri" w:hAnsi="Amiri"/>
          <w:color w:val="111111"/>
          <w:sz w:val="28"/>
          <w:szCs w:val="28"/>
          <w:rtl w:val="true"/>
          <w:lang w:bidi="ar-SA"/>
        </w:rPr>
        <w:t>»</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إذا کان السفه متّصلاً بزمان الصغر فیکون محجوراً علیه بنفسه، و لا تنفذ تصرّفاته فی ماله ببیع و صلح و إجارة وهبة و إیداع و شبهها من دون</w:t>
      </w:r>
      <w:bookmarkStart w:id="352" w:name="pg11757_135608"/>
    </w:p>
    <w:p>
      <w:pPr>
        <w:pStyle w:val="BookText"/>
        <w:rPr/>
      </w:pPr>
      <w:bookmarkEnd w:id="352"/>
      <w:r>
        <w:rPr>
          <w:rFonts w:ascii="IRNazanin" w:hAnsi="IRNazanin" w:eastAsia="IRNazanin"/>
          <w:color w:val="111111"/>
          <w:sz w:val="28"/>
          <w:sz w:val="28"/>
          <w:szCs w:val="28"/>
          <w:rtl w:val="true"/>
          <w:lang w:bidi="fa-IR"/>
        </w:rPr>
        <w:t>توقّف علی حجر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الحقیقة تکون المحجوریّة ثابتةً من زمان الصغر إلی بعد البلوغ من دون فصل، و أمّا إذا تجدّدت المحجوریّة بعد البلوغ و الرشد فالمحجوریّة متوقّفة علی حجر الحاکم، و لا یتحقّق الحجر بنفسه؛ لأنّ السفیه لا یری نفسه سفیهاً، فلا بدّ أن ینبّهه الحاکم و یحکم بحجره</w:t>
      </w:r>
      <w:r>
        <w:rPr>
          <w:rStyle w:val="FootnoteAnchor"/>
          <w:rtl w:val="true"/>
        </w:rPr>
        <w:footnoteReference w:id="1270"/>
      </w:r>
      <w:r>
        <w:rPr>
          <w:rFonts w:ascii="IRNazanin" w:hAnsi="IRNazanin" w:eastAsia="IRNazanin"/>
          <w:color w:val="111111"/>
          <w:sz w:val="28"/>
          <w:sz w:val="28"/>
          <w:szCs w:val="28"/>
          <w:rtl w:val="true"/>
          <w:lang w:bidi="fa-IR"/>
        </w:rPr>
        <w:t>، و المفروض فی الفرع الثانی هو هذا المعنی</w:t>
      </w:r>
      <w:r>
        <w:rPr>
          <w:rFonts w:eastAsia="IRNazanin" w:cs="IRNazanin"/>
          <w:color w:val="111111"/>
          <w:sz w:val="28"/>
          <w:szCs w:val="28"/>
          <w:rtl w:val="true"/>
          <w:lang w:bidi="fa-IR"/>
        </w:rPr>
        <w:t>.</w:t>
      </w:r>
    </w:p>
    <w:p>
      <w:pPr>
        <w:pStyle w:val="Heading5"/>
        <w:numPr>
          <w:ilvl w:val="4"/>
          <w:numId w:val="1"/>
        </w:numPr>
        <w:rPr/>
      </w:pPr>
      <w:bookmarkStart w:id="353" w:name="__RefHeading___Toc9696773_73709187"/>
      <w:bookmarkStart w:id="354" w:name="_Toc130"/>
      <w:bookmarkEnd w:id="353"/>
      <w:r>
        <w:rPr>
          <w:rtl w:val="true"/>
        </w:rPr>
        <w:t>الرشد عند أهل السنّة</w:t>
      </w:r>
      <w:bookmarkEnd w:id="354"/>
    </w:p>
    <w:p>
      <w:pPr>
        <w:pStyle w:val="BookText"/>
        <w:rPr/>
      </w:pPr>
      <w:r>
        <w:rPr>
          <w:rFonts w:ascii="IRNazanin" w:hAnsi="IRNazanin" w:eastAsia="IRNazanin"/>
          <w:color w:val="111111"/>
          <w:sz w:val="28"/>
          <w:sz w:val="28"/>
          <w:szCs w:val="28"/>
          <w:rtl w:val="true"/>
          <w:lang w:bidi="fa-IR"/>
        </w:rPr>
        <w:t>ذهب جمهور من المالکیّة و الحنفیّة و الحنابلة إلی أنّ الرشد هو الإصلاح فی المال، و إطلاق کلامهم یشمل الذکر و الاُنثی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شاسٍ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الرشد فبأن یکون مصلحاً لماله، حافظاً له، عارفاً بوجوه أخذ المال و إعطائه و الحفظ له عن التبذیر</w:t>
      </w:r>
      <w:r>
        <w:rPr>
          <w:rFonts w:eastAsia="IRNazanin" w:cs="IRNazanin"/>
          <w:color w:val="111111"/>
          <w:sz w:val="28"/>
          <w:szCs w:val="28"/>
          <w:rtl w:val="true"/>
          <w:lang w:bidi="fa-IR"/>
        </w:rPr>
        <w:t>»</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تبیین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الرشد فهو حفظ المال من التبذیر، و صیانته من الضیاع، و معرفة وجوه أخذه و إعطائه من غیر إسراف، و لا تعلّق له بالدین عندنا، و به قال أبو حنیفة و أحمد</w:t>
      </w:r>
      <w:r>
        <w:rPr>
          <w:rFonts w:eastAsia="IRNazanin" w:cs="IRNazanin"/>
          <w:color w:val="111111"/>
          <w:sz w:val="28"/>
          <w:szCs w:val="28"/>
          <w:rtl w:val="true"/>
          <w:lang w:bidi="fa-IR"/>
        </w:rPr>
        <w:t>»</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الفقه المالکی المیسر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الرشد عند المالکیّة و الحنفیّة و الحنابلة بصون المال فقط، دون صون الدین</w:t>
      </w:r>
      <w:r>
        <w:rPr>
          <w:rFonts w:eastAsia="IRNazanin" w:cs="IRNazanin"/>
          <w:color w:val="111111"/>
          <w:sz w:val="28"/>
          <w:szCs w:val="28"/>
          <w:rtl w:val="true"/>
          <w:lang w:bidi="fa-IR"/>
        </w:rPr>
        <w:t>»</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فی المغنی و الشرح الکبیر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آنَسْتُمْ مِنْهُمْ رُشْداً فَادْفَعُوا إِلَیْهِمْ أَمْوالَهُمْ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نقل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صلاحاً فی أموالهم، و عن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عاقلاً؛ و لأنّ هذا إثبات فی نکرة، و من کان مصلحاً لماله فقد وجد منه رشد</w:t>
      </w:r>
      <w:r>
        <w:rPr>
          <w:rStyle w:val="FootnoteAnchor"/>
          <w:rtl w:val="true"/>
        </w:rPr>
        <w:footnoteReference w:id="1274"/>
      </w:r>
      <w:r>
        <w:rPr>
          <w:rFonts w:ascii="IRNazanin" w:hAnsi="IRNazanin" w:eastAsia="IRNazanin"/>
          <w:color w:val="111111"/>
          <w:sz w:val="28"/>
          <w:sz w:val="28"/>
          <w:szCs w:val="28"/>
          <w:rtl w:val="true"/>
          <w:lang w:bidi="fa-IR"/>
        </w:rPr>
        <w:t>، و قریب من هذا فی المبسوط‌</w:t>
      </w:r>
      <w:r>
        <w:rPr>
          <w:rStyle w:val="FootnoteAnchor"/>
          <w:rtl w:val="true"/>
        </w:rPr>
        <w:footnoteReference w:id="1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المبدع</w:t>
      </w:r>
      <w:r>
        <w:rPr>
          <w:rStyle w:val="FootnoteAnchor"/>
          <w:rtl w:val="true"/>
        </w:rPr>
        <w:footnoteReference w:id="1276"/>
      </w:r>
      <w:r>
        <w:rPr>
          <w:rFonts w:ascii="IRNazanin" w:hAnsi="IRNazanin" w:eastAsia="IRNazanin"/>
          <w:color w:val="111111"/>
          <w:sz w:val="28"/>
          <w:sz w:val="28"/>
          <w:szCs w:val="28"/>
          <w:rtl w:val="true"/>
          <w:lang w:bidi="fa-IR"/>
        </w:rPr>
        <w:t>و بدائع الصنائع</w:t>
      </w:r>
      <w:r>
        <w:rPr>
          <w:rStyle w:val="FootnoteAnchor"/>
          <w:rtl w:val="true"/>
        </w:rPr>
        <w:footnoteReference w:id="1277"/>
      </w:r>
      <w:r>
        <w:rPr>
          <w:rFonts w:ascii="IRNazanin" w:hAnsi="IRNazanin" w:eastAsia="IRNazanin"/>
          <w:color w:val="111111"/>
          <w:sz w:val="28"/>
          <w:sz w:val="28"/>
          <w:szCs w:val="28"/>
          <w:rtl w:val="true"/>
          <w:lang w:bidi="fa-IR"/>
        </w:rPr>
        <w:t>و الفقه الحنفی و أدلّته</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کشّاف القناع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 علماء الأمصار من أهل الحجاز و الشام و العراق و مصر یرون الحجر علی کلّ مضیّع لماله، صغیراً کان أو کبیراً</w:t>
      </w:r>
      <w:r>
        <w:rPr>
          <w:rFonts w:eastAsia="IRNazanin" w:cs="IRNazanin"/>
          <w:color w:val="111111"/>
          <w:sz w:val="28"/>
          <w:szCs w:val="28"/>
          <w:rtl w:val="true"/>
          <w:lang w:bidi="fa-IR"/>
        </w:rPr>
        <w:t>»</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تفسیر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 حنیفة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یحجر علی الحرّ البالغ إذا بلغ مبلغ الرجال و لو کان أفسق الناس و أشدّهم تبذیراً إذا کان عاقلاً</w:t>
      </w:r>
      <w:r>
        <w:rPr>
          <w:rFonts w:eastAsia="IRNazanin" w:cs="IRNazanin"/>
          <w:color w:val="111111"/>
          <w:sz w:val="28"/>
          <w:szCs w:val="28"/>
          <w:rtl w:val="true"/>
          <w:lang w:bidi="fa-IR"/>
        </w:rPr>
        <w:t>»</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عند الشافعی فالرشد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إصلاح الدّین و المال</w:t>
      </w:r>
      <w:r>
        <w:rPr>
          <w:rStyle w:val="FootnoteAnchor"/>
          <w:rtl w:val="true"/>
        </w:rPr>
        <w:footnoteReference w:id="1281"/>
      </w:r>
      <w:r>
        <w:rPr>
          <w:rFonts w:ascii="Amiri" w:hAnsi="Amiri" w:eastAsia="Amiri" w:cs="Amiri"/>
          <w:color w:val="111111"/>
          <w:sz w:val="28"/>
          <w:sz w:val="28"/>
          <w:szCs w:val="28"/>
          <w:rtl w:val="true"/>
          <w:lang w:bidi="ar-SA"/>
        </w:rPr>
        <w:t>، فإصلاح الدّین أن لا یرتکب من المعاصی ما تَرُدّ به شهادته، و أمّا إصلاح المال أن لا یکون مبذّراً، کما فی البیان، و استدلّ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آنَسْتُمْ مِنْهُمْ رُشْداً فَادْفَعُوا إِلَیْهِمْ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ذکر أنّ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 الحلم و الوقار</w:t>
      </w:r>
      <w:r>
        <w:rPr>
          <w:rFonts w:eastAsia="Amiri" w:cs="Amiri" w:ascii="Amiri" w:hAnsi="Amiri"/>
          <w:color w:val="111111"/>
          <w:sz w:val="28"/>
          <w:szCs w:val="28"/>
          <w:rtl w:val="true"/>
          <w:lang w:bidi="ar-SA"/>
        </w:rPr>
        <w:t>»</w:t>
      </w:r>
      <w:r>
        <w:rPr>
          <w:rStyle w:val="FootnoteAnchor"/>
          <w:rtl w:val="true"/>
        </w:rPr>
        <w:footnoteReference w:id="1282"/>
      </w:r>
      <w:r>
        <w:rPr>
          <w:rFonts w:ascii="IRNazanin" w:hAnsi="IRNazanin" w:eastAsia="IRNazanin"/>
          <w:color w:val="111111"/>
          <w:sz w:val="28"/>
          <w:sz w:val="28"/>
          <w:szCs w:val="28"/>
          <w:rtl w:val="true"/>
          <w:lang w:bidi="fa-IR"/>
        </w:rPr>
        <w:t>، و الحلم و الوقار لا یکون إلّا لمن کان مصلحاً لماله و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إفساده لدینه</w:t>
      </w:r>
    </w:p>
    <w:p>
      <w:pPr>
        <w:pStyle w:val="BookText"/>
        <w:rPr/>
      </w:pPr>
      <w:r>
        <w:rPr>
          <w:rFonts w:ascii="IRNazanin" w:hAnsi="IRNazanin" w:eastAsia="IRNazanin"/>
          <w:color w:val="111111"/>
          <w:sz w:val="28"/>
          <w:sz w:val="28"/>
          <w:szCs w:val="28"/>
          <w:rtl w:val="true"/>
          <w:lang w:bidi="fa-IR"/>
        </w:rPr>
        <w:t>یمنع رشده و الثقة فی حفظ ماله، کما أنّ الفسق فی الدین یمنع من قبول قوله، و إن عرف منه الصدق فی القول</w:t>
      </w:r>
      <w:r>
        <w:rPr>
          <w:rFonts w:eastAsia="IRNazanin" w:cs="IRNazanin"/>
          <w:color w:val="111111"/>
          <w:sz w:val="28"/>
          <w:szCs w:val="28"/>
          <w:rtl w:val="true"/>
          <w:lang w:bidi="fa-IR"/>
        </w:rPr>
        <w:t>»</w:t>
      </w:r>
      <w:r>
        <w:rPr>
          <w:rStyle w:val="FootnoteAnchor"/>
          <w:rtl w:val="true"/>
        </w:rPr>
        <w:footnoteReference w:id="1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مغنی المحتاج</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عند ذکر أقوال أصحابنا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هذا القول، فراجع</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عنه فی شرح الزرکشی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العدالة لا تعتبر فی الرشد فی الدوام، فلا تعتبر فی الابتداء کالزهد فی الدنیا، فعلی هذا إذا کان مصلحاً لماله دفع إلیه ماله و إن کان مفسداً لدینه، کمن یترک الصلاة، أو یمنع الزکاة، أو یغتاب الناس، و نحو ذلک</w:t>
      </w:r>
      <w:r>
        <w:rPr>
          <w:rFonts w:eastAsia="IRNazanin" w:cs="IRNazanin"/>
          <w:color w:val="111111"/>
          <w:sz w:val="28"/>
          <w:szCs w:val="28"/>
          <w:rtl w:val="true"/>
          <w:lang w:bidi="fa-IR"/>
        </w:rPr>
        <w:t>»</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المغنی و الشرح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الحجر علیه إنّما کان لحفظ ماله علیه، فالمؤثّر فیه ما أثّر فی تضییع المال أو حفظه، 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الفاسق غیر رشید،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غیر رشید فی دینه، أمّا فی ماله و حفظه فهو رشید، ثمّ هو منتقض بالکافر، فإنّه غیر رشید و لم یحجر علیه من أجله، و لو کانت العدالة شرطاً فی الرشد لزال بزوالها کحفظ المال</w:t>
      </w:r>
      <w:r>
        <w:rPr>
          <w:rFonts w:eastAsia="IRNazanin" w:cs="IRNazanin"/>
          <w:color w:val="111111"/>
          <w:sz w:val="28"/>
          <w:szCs w:val="28"/>
          <w:rtl w:val="true"/>
          <w:lang w:bidi="fa-IR"/>
        </w:rPr>
        <w:t>»</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قال فی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غیر مصلح لماله و لدینه فإنّه یستدام علیه الحجر و إن صار شیخاً، و به 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غیر مصلح لماله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یدفع إلیه ماله، لکن إن تصرّف فیه ببیع أو عتق أو غیره نفذ تصرّفه، فإذا بلغ خمساً و عشرین سنة انفکّ عنه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بَلَغُوا النِّکاحَ فَإِنْ آنَسْتُمْ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فأمر بدفع المال إلیهم بالبلوغ و بإیناس الرّشد، و قد بیّنا الرشد ما هو، و هذا لم یؤنس منه الرشد، فلم یفکّ عنه الحجر، و لم یدفع إلیه ماله کما لو کان ابن أربع و عشرین سنة</w:t>
      </w:r>
      <w:r>
        <w:rPr>
          <w:rFonts w:eastAsia="Amiri" w:cs="Amiri" w:ascii="Amiri" w:hAnsi="Amiri"/>
          <w:color w:val="111111"/>
          <w:sz w:val="28"/>
          <w:szCs w:val="28"/>
          <w:rtl w:val="true"/>
          <w:lang w:bidi="ar-SA"/>
        </w:rPr>
        <w:t>»</w:t>
      </w:r>
      <w:r>
        <w:rPr>
          <w:rStyle w:val="FootnoteAnchor"/>
          <w:rtl w:val="true"/>
        </w:rPr>
        <w:footnoteReference w:id="1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الحاوی الکبیر</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المحجور علیه إذا فکّ عنه الحجر لرشده و بلوغه و دفع إلیه ماله ثمّ عاد إلی السفه اعید علیه الحجر، و به قال القاسم بن محمّد و مالک و الأوزاعی و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یبتدأ الحجر علی بالغ عاقل، و تصرّفه نافذ، کما فی المغنی و الشرح الکبیر</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bookmarkStart w:id="355" w:name="pg11757_135612"/>
    </w:p>
    <w:p>
      <w:pPr>
        <w:pStyle w:val="Heading4"/>
        <w:numPr>
          <w:ilvl w:val="3"/>
          <w:numId w:val="1"/>
        </w:numPr>
        <w:rPr/>
      </w:pPr>
      <w:bookmarkStart w:id="356" w:name="__RefHeading___Toc9696775_73709187"/>
      <w:bookmarkStart w:id="357" w:name="_Toc131"/>
      <w:bookmarkEnd w:id="355"/>
      <w:bookmarkEnd w:id="356"/>
      <w:r>
        <w:rPr>
          <w:rtl w:val="true"/>
        </w:rPr>
        <w:t>المطلب الثانی</w:t>
      </w:r>
      <w:r>
        <w:rPr>
          <w:rtl w:val="true"/>
        </w:rPr>
        <w:t xml:space="preserve">: </w:t>
      </w:r>
      <w:r>
        <w:rPr>
          <w:rtl w:val="true"/>
        </w:rPr>
        <w:t>اختبار الرشد</w:t>
      </w:r>
      <w:bookmarkEnd w:id="357"/>
    </w:p>
    <w:p>
      <w:pPr>
        <w:pStyle w:val="Heading5"/>
        <w:numPr>
          <w:ilvl w:val="4"/>
          <w:numId w:val="1"/>
        </w:numPr>
        <w:rPr/>
      </w:pPr>
      <w:bookmarkStart w:id="358" w:name="__RefHeading___Toc9696777_73709187"/>
      <w:bookmarkStart w:id="359" w:name="_Toc132"/>
      <w:bookmarkEnd w:id="358"/>
      <w:r>
        <w:rPr>
          <w:rtl w:val="true"/>
        </w:rPr>
        <w:t>اشارة</w:t>
      </w:r>
      <w:bookmarkEnd w:id="359"/>
    </w:p>
    <w:p>
      <w:pPr>
        <w:pStyle w:val="BookText"/>
        <w:rPr/>
      </w:pPr>
      <w:r>
        <w:rPr>
          <w:rFonts w:ascii="IRNazanin" w:hAnsi="IRNazanin" w:eastAsia="IRNazanin"/>
          <w:color w:val="111111"/>
          <w:sz w:val="28"/>
          <w:sz w:val="28"/>
          <w:szCs w:val="28"/>
          <w:rtl w:val="true"/>
          <w:lang w:bidi="fa-IR"/>
        </w:rPr>
        <w:t>یعلم رشد الصبیّ باختباره بما یلائمه من التصرّفات و الأعمال لیظهر اتّصافه بالملکة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یعلم رشده باختباره بما یلائمه من التصرّفات لیعلم قوّته علی المکایسة فی المبایعات و تحفّظه من الانخداع، و کذا تختبر الصبیّة و رشدها أن تتحفّظ من التبذیر</w:t>
      </w:r>
      <w:r>
        <w:rPr>
          <w:rFonts w:eastAsia="IRNazanin" w:cs="IRNazanin"/>
          <w:color w:val="111111"/>
          <w:sz w:val="28"/>
          <w:szCs w:val="28"/>
          <w:rtl w:val="true"/>
          <w:lang w:bidi="fa-IR"/>
        </w:rPr>
        <w:t>»</w:t>
      </w:r>
      <w:r>
        <w:rPr>
          <w:rStyle w:val="FootnoteAnchor"/>
          <w:rtl w:val="true"/>
        </w:rPr>
        <w:footnoteReference w:id="1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المختصر النافع</w:t>
      </w:r>
      <w:r>
        <w:rPr>
          <w:rStyle w:val="FootnoteAnchor"/>
          <w:rtl w:val="true"/>
        </w:rPr>
        <w:footnoteReference w:id="1292"/>
      </w:r>
      <w:r>
        <w:rPr>
          <w:rFonts w:ascii="IRNazanin" w:hAnsi="IRNazanin" w:eastAsia="IRNazanin"/>
          <w:color w:val="111111"/>
          <w:sz w:val="28"/>
          <w:sz w:val="28"/>
          <w:szCs w:val="28"/>
          <w:rtl w:val="true"/>
          <w:lang w:bidi="fa-IR"/>
        </w:rPr>
        <w:t>و المبسوط‌</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قال العلّامة فی جملة من کتبة</w:t>
      </w:r>
      <w:r>
        <w:rPr>
          <w:rStyle w:val="FootnoteAnchor"/>
          <w:rtl w:val="true"/>
        </w:rPr>
        <w:footnoteReference w:id="1294"/>
      </w:r>
      <w:r>
        <w:rPr>
          <w:rFonts w:ascii="IRNazanin" w:hAnsi="IRNazanin" w:eastAsia="IRNazanin"/>
          <w:color w:val="111111"/>
          <w:sz w:val="28"/>
          <w:sz w:val="28"/>
          <w:szCs w:val="28"/>
          <w:rtl w:val="true"/>
          <w:lang w:bidi="fa-IR"/>
        </w:rPr>
        <w:t>، و به قال فی غایة المرام</w:t>
      </w:r>
      <w:r>
        <w:rPr>
          <w:rStyle w:val="FootnoteAnchor"/>
          <w:rtl w:val="true"/>
        </w:rPr>
        <w:footnoteReference w:id="1295"/>
      </w:r>
      <w:r>
        <w:rPr>
          <w:rFonts w:ascii="IRNazanin" w:hAnsi="IRNazanin" w:eastAsia="IRNazanin"/>
          <w:color w:val="111111"/>
          <w:sz w:val="28"/>
          <w:sz w:val="28"/>
          <w:szCs w:val="28"/>
          <w:rtl w:val="true"/>
          <w:lang w:bidi="fa-IR"/>
        </w:rPr>
        <w:t>و جامع</w:t>
      </w:r>
    </w:p>
    <w:p>
      <w:pPr>
        <w:pStyle w:val="BookText"/>
        <w:rPr/>
      </w:pPr>
      <w:r>
        <w:rPr>
          <w:rFonts w:ascii="IRNazanin" w:hAnsi="IRNazanin" w:eastAsia="IRNazanin"/>
          <w:color w:val="111111"/>
          <w:sz w:val="28"/>
          <w:sz w:val="28"/>
          <w:szCs w:val="28"/>
          <w:rtl w:val="true"/>
          <w:lang w:bidi="fa-IR"/>
        </w:rPr>
        <w:t>المقاصد</w:t>
      </w:r>
      <w:r>
        <w:rPr>
          <w:rStyle w:val="FootnoteAnchor"/>
          <w:rtl w:val="true"/>
        </w:rPr>
        <w:footnoteReference w:id="1296"/>
      </w:r>
      <w:r>
        <w:rPr>
          <w:rFonts w:ascii="IRNazanin" w:hAnsi="IRNazanin" w:eastAsia="IRNazanin"/>
          <w:color w:val="111111"/>
          <w:sz w:val="28"/>
          <w:sz w:val="28"/>
          <w:szCs w:val="28"/>
          <w:rtl w:val="true"/>
          <w:lang w:bidi="fa-IR"/>
        </w:rPr>
        <w:t>، و المسالک</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یثبت الرشد بالاختبار بما یلائم طبقته من الرجال فی الرجال و النساء فی النساء، من الأفعال التی یدلّ علی أنّه حافظ للمال، مصلح غیر مضیّع له</w:t>
      </w:r>
      <w:r>
        <w:rPr>
          <w:rFonts w:eastAsia="IRNazanin" w:cs="IRNazanin"/>
          <w:color w:val="111111"/>
          <w:sz w:val="28"/>
          <w:szCs w:val="28"/>
          <w:rtl w:val="true"/>
          <w:lang w:bidi="fa-IR"/>
        </w:rPr>
        <w:t>»</w:t>
      </w:r>
      <w:r>
        <w:rPr>
          <w:rStyle w:val="FootnoteAnchor"/>
          <w:rtl w:val="true"/>
        </w:rPr>
        <w:footnoteReference w:id="1298"/>
      </w:r>
      <w:r>
        <w:rPr>
          <w:rFonts w:ascii="IRNazanin" w:hAnsi="IRNazanin" w:eastAsia="IRNazanin"/>
          <w:color w:val="111111"/>
          <w:sz w:val="28"/>
          <w:sz w:val="28"/>
          <w:szCs w:val="28"/>
          <w:rtl w:val="true"/>
          <w:lang w:bidi="fa-IR"/>
        </w:rPr>
        <w:t>، و قریب من هذا فی الحدائق</w:t>
      </w:r>
      <w:r>
        <w:rPr>
          <w:rStyle w:val="FootnoteAnchor"/>
          <w:rtl w:val="true"/>
        </w:rPr>
        <w:footnoteReference w:id="1299"/>
      </w:r>
      <w:r>
        <w:rPr>
          <w:rFonts w:ascii="IRNazanin" w:hAnsi="IRNazanin" w:eastAsia="IRNazanin"/>
          <w:color w:val="111111"/>
          <w:sz w:val="28"/>
          <w:sz w:val="28"/>
          <w:szCs w:val="28"/>
          <w:rtl w:val="true"/>
          <w:lang w:bidi="fa-IR"/>
        </w:rPr>
        <w:t>و الجواهر</w:t>
      </w:r>
      <w:r>
        <w:rPr>
          <w:rStyle w:val="FootnoteAnchor"/>
          <w:rtl w:val="true"/>
        </w:rPr>
        <w:footnoteReference w:id="1300"/>
      </w:r>
      <w:r>
        <w:rPr>
          <w:rFonts w:ascii="IRNazanin" w:hAnsi="IRNazanin" w:eastAsia="IRNazanin"/>
          <w:color w:val="111111"/>
          <w:sz w:val="28"/>
          <w:sz w:val="28"/>
          <w:szCs w:val="28"/>
          <w:rtl w:val="true"/>
          <w:lang w:bidi="fa-IR"/>
        </w:rPr>
        <w:t>و تحریر الوسیلة</w:t>
      </w:r>
      <w:r>
        <w:rPr>
          <w:rStyle w:val="FootnoteAnchor"/>
          <w:rtl w:val="true"/>
        </w:rPr>
        <w:footnoteReference w:id="1301"/>
      </w:r>
      <w:r>
        <w:rPr>
          <w:rFonts w:ascii="IRNazanin" w:hAnsi="IRNazanin" w:eastAsia="IRNazanin"/>
          <w:color w:val="111111"/>
          <w:sz w:val="28"/>
          <w:sz w:val="28"/>
          <w:szCs w:val="28"/>
          <w:rtl w:val="true"/>
          <w:lang w:bidi="fa-IR"/>
        </w:rPr>
        <w:t>و شرحها</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علیه ظهور الاتّفاق و الإجماع کما فی مجمع الفائدة و البرهان</w:t>
      </w:r>
      <w:r>
        <w:rPr>
          <w:rStyle w:val="FootnoteAnchor"/>
          <w:rtl w:val="true"/>
        </w:rPr>
        <w:footnoteReference w:id="1303"/>
      </w:r>
      <w:r>
        <w:rPr>
          <w:rFonts w:ascii="IRNazanin" w:hAnsi="IRNazanin" w:eastAsia="IRNazanin"/>
          <w:color w:val="111111"/>
          <w:sz w:val="28"/>
          <w:sz w:val="28"/>
          <w:szCs w:val="28"/>
          <w:rtl w:val="true"/>
          <w:lang w:bidi="fa-IR"/>
        </w:rPr>
        <w:t>و المناهل</w:t>
      </w:r>
      <w:r>
        <w:rPr>
          <w:rStyle w:val="FootnoteAnchor"/>
          <w:rtl w:val="true"/>
        </w:rPr>
        <w:footnoteReference w:id="1304"/>
      </w:r>
      <w:r>
        <w:rPr>
          <w:rFonts w:ascii="IRNazanin" w:hAnsi="IRNazanin" w:eastAsia="IRNazanin"/>
          <w:color w:val="111111"/>
          <w:sz w:val="28"/>
          <w:sz w:val="28"/>
          <w:szCs w:val="28"/>
          <w:rtl w:val="true"/>
          <w:lang w:bidi="fa-IR"/>
        </w:rPr>
        <w:t>، و کذا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ابْتَلُوا الْیَتامی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الاختبار، کما فی التذکرة</w:t>
      </w:r>
      <w:r>
        <w:rPr>
          <w:rStyle w:val="FootnoteAnchor"/>
          <w:rtl w:val="true"/>
        </w:rPr>
        <w:footnoteReference w:id="1305"/>
      </w:r>
      <w:r>
        <w:rPr>
          <w:rFonts w:ascii="IRNazanin" w:hAnsi="IRNazanin" w:eastAsia="IRNazanin"/>
          <w:color w:val="111111"/>
          <w:sz w:val="28"/>
          <w:sz w:val="28"/>
          <w:szCs w:val="28"/>
          <w:rtl w:val="true"/>
          <w:lang w:bidi="fa-IR"/>
        </w:rPr>
        <w:t>و غیرها</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أیضاً الأخبار،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صحیحة العیص بن القاسم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الیتیمة متی یدفع إلیها مالها؟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علمت أنّها لا تفسد و لا تضیّع</w:t>
      </w:r>
      <w:r>
        <w:rPr>
          <w:rFonts w:eastAsia="IRNazanin" w:cs="IRNazanin"/>
          <w:color w:val="111111"/>
          <w:sz w:val="28"/>
          <w:szCs w:val="28"/>
          <w:rtl w:val="true"/>
          <w:lang w:bidi="fa-IR"/>
        </w:rPr>
        <w:t>»</w:t>
      </w:r>
      <w:r>
        <w:rPr>
          <w:rStyle w:val="FootnoteAnchor"/>
          <w:rtl w:val="true"/>
        </w:rPr>
        <w:footnoteReference w:id="1307"/>
      </w:r>
      <w:r>
        <w:rPr>
          <w:rFonts w:ascii="IRNazanin" w:hAnsi="IRNazanin" w:eastAsia="IRNazanin"/>
          <w:color w:val="111111"/>
          <w:sz w:val="28"/>
          <w:sz w:val="28"/>
          <w:szCs w:val="28"/>
          <w:rtl w:val="true"/>
          <w:lang w:bidi="fa-IR"/>
        </w:rPr>
        <w:t>لأنّ العلم بعدم إفسادها للمال لا یحصل إلاّ بالاختبار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کثیراً من الفقهاء قالوا فی کیفیّة الاختبار بأنّه ینظر إلی الصّغیر، فإن کان من أولاد التجّار فوّض إلیه البیع و الشراء، بمعنی مُماکسته فیهما علی وجهها، و یراعی إلی أن یتمّ مساومته، ثمّ یتولّاه الولیّ إن شاء، فإذا تکرّر منه ذلک و سلم من الغبن و التضییع فی غیر وجهه فهو رشید، و إن کان من أولاد من یصان عن ذلک اختبر بما یناسب حال أهله، إمّا بأن یسلّم إلیه نفقة مدّة لینفقها فی مصالحه، أو مواضعها التی عیّنت له، أو بأن یستوفی الحساب علی معاملیهم، أو نحو ذلک، فإن وفی بالأفعال الملائمة فهو رشید، کما فی الروضة</w:t>
      </w:r>
      <w:r>
        <w:rPr>
          <w:rStyle w:val="FootnoteAnchor"/>
          <w:rtl w:val="true"/>
        </w:rPr>
        <w:footnoteReference w:id="1308"/>
      </w:r>
      <w:r>
        <w:rPr>
          <w:rFonts w:ascii="IRNazanin" w:hAnsi="IRNazanin" w:eastAsia="IRNazanin"/>
          <w:color w:val="111111"/>
          <w:sz w:val="28"/>
          <w:sz w:val="28"/>
          <w:szCs w:val="28"/>
          <w:rtl w:val="true"/>
          <w:lang w:bidi="fa-IR"/>
        </w:rPr>
        <w:t>، و المسالک</w:t>
      </w:r>
      <w:r>
        <w:rPr>
          <w:rStyle w:val="FootnoteAnchor"/>
          <w:rtl w:val="true"/>
        </w:rPr>
        <w:footnoteReference w:id="1309"/>
      </w:r>
      <w:r>
        <w:rPr>
          <w:rFonts w:ascii="IRNazanin" w:hAnsi="IRNazanin" w:eastAsia="IRNazanin"/>
          <w:color w:val="111111"/>
          <w:sz w:val="28"/>
          <w:sz w:val="28"/>
          <w:szCs w:val="28"/>
          <w:rtl w:val="true"/>
          <w:lang w:bidi="fa-IR"/>
        </w:rPr>
        <w:t>و الریاض</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تکفی المرّة الواحدة فی الاختبار، بل لا بدّ من التکرار مراراً لتحصل معها غلبة الظن بالرشد</w:t>
      </w:r>
      <w:r>
        <w:rPr>
          <w:rFonts w:eastAsia="IRNazanin" w:cs="IRNazanin"/>
          <w:color w:val="111111"/>
          <w:sz w:val="28"/>
          <w:szCs w:val="28"/>
          <w:rtl w:val="true"/>
          <w:lang w:bidi="fa-IR"/>
        </w:rPr>
        <w:t>»</w:t>
      </w:r>
      <w:r>
        <w:rPr>
          <w:rStyle w:val="FootnoteAnchor"/>
          <w:rtl w:val="true"/>
        </w:rPr>
        <w:footnoteReference w:id="1311"/>
      </w:r>
      <w:r>
        <w:rPr>
          <w:rFonts w:ascii="IRNazanin" w:hAnsi="IRNazanin" w:eastAsia="IRNazanin"/>
          <w:color w:val="111111"/>
          <w:sz w:val="28"/>
          <w:sz w:val="28"/>
          <w:szCs w:val="28"/>
          <w:rtl w:val="true"/>
          <w:lang w:bidi="fa-IR"/>
        </w:rPr>
        <w:t>، و فی جامع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الملکة لا یعرف حصولها بمرّة</w:t>
      </w:r>
      <w:r>
        <w:rPr>
          <w:rFonts w:eastAsia="IRNazanin" w:cs="IRNazanin"/>
          <w:color w:val="111111"/>
          <w:sz w:val="28"/>
          <w:szCs w:val="28"/>
          <w:rtl w:val="true"/>
          <w:lang w:bidi="fa-IR"/>
        </w:rPr>
        <w:t>»</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أجاد فی المناهل فی الإیراد علیهم،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عندی فیما ذکره الجماعة المتقدّم إلیهم الإشارة من التفصیل نظر؛ إذ لا دلیل علیه من شیء من الأدلّة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الموجود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الکتاب و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الرشد و السفاهة، و من الظاهر أنّه لم یثبت فیهما حقیقة شرعیّة کلفظ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فینبغی الرجوع فی معرفة معناهما إلی العرف و اللّغة کالألفاظ المذکورة فیهما التی لم یثبت لها حقائق شرعیّة خاصّة، فکلّ من یصدق علیه عرفاً و لغةً أنّه</w:t>
      </w:r>
      <w:bookmarkStart w:id="360" w:name="pg11757_135615"/>
    </w:p>
    <w:p>
      <w:pPr>
        <w:pStyle w:val="BookText"/>
        <w:rPr/>
      </w:pPr>
      <w:bookmarkEnd w:id="360"/>
      <w:r>
        <w:rPr>
          <w:rFonts w:ascii="IRNazanin" w:hAnsi="IRNazanin" w:eastAsia="IRNazanin"/>
          <w:color w:val="111111"/>
          <w:sz w:val="28"/>
          <w:sz w:val="28"/>
          <w:szCs w:val="28"/>
          <w:rtl w:val="true"/>
          <w:lang w:bidi="fa-IR"/>
        </w:rPr>
        <w:t xml:space="preserve">رشید و سفیه حقیقة یثبت له الحکم المعلّق علیهما، و کلّ من لم یصدق علیه اللفظان المذکوران لم یثبت له حکمهما، و هذا من القواعد المسلّمة المتّفق علیها بین المسلمین، بل الملّیّین، بل العقلاء و یدلّ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الاعتبار و جملة من الأخبار</w:t>
      </w:r>
      <w:r>
        <w:rPr>
          <w:rFonts w:eastAsia="IRNazanin" w:cs="IRNazanin"/>
          <w:color w:val="111111"/>
          <w:sz w:val="28"/>
          <w:szCs w:val="28"/>
          <w:rtl w:val="true"/>
          <w:lang w:bidi="fa-IR"/>
        </w:rPr>
        <w:t>»</w:t>
      </w:r>
      <w:r>
        <w:rPr>
          <w:rStyle w:val="FootnoteAnchor"/>
          <w:rtl w:val="true"/>
        </w:rPr>
        <w:footnoteReference w:id="1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 هذا فی مجمع الفائدة و البرهان</w:t>
      </w:r>
      <w:r>
        <w:rPr>
          <w:rStyle w:val="FootnoteAnchor"/>
          <w:rtl w:val="true"/>
        </w:rPr>
        <w:footnoteReference w:id="1314"/>
      </w:r>
      <w:r>
        <w:rPr>
          <w:rFonts w:ascii="IRNazanin" w:hAnsi="IRNazanin" w:eastAsia="IRNazanin"/>
          <w:color w:val="111111"/>
          <w:sz w:val="28"/>
          <w:sz w:val="28"/>
          <w:szCs w:val="28"/>
          <w:rtl w:val="true"/>
          <w:lang w:bidi="fa-IR"/>
        </w:rPr>
        <w:t>و الجواهر</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1" w:name="__RefHeading___Toc9696779_73709187"/>
      <w:bookmarkStart w:id="362" w:name="_Toc133"/>
      <w:bookmarkEnd w:id="361"/>
      <w:r>
        <w:rPr>
          <w:rtl w:val="true"/>
        </w:rPr>
        <w:t>فروع</w:t>
      </w:r>
      <w:bookmarkEnd w:id="362"/>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یعبتر فی الاختبار حصول العلم بتحقّق ملکة الرشد أو یکفی الظنّ؟ فیه 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فی الشرائع</w:t>
      </w:r>
      <w:r>
        <w:rPr>
          <w:rStyle w:val="FootnoteAnchor"/>
          <w:rtl w:val="true"/>
        </w:rPr>
        <w:footnoteReference w:id="1316"/>
      </w:r>
      <w:r>
        <w:rPr>
          <w:rFonts w:ascii="IRNazanin" w:hAnsi="IRNazanin" w:eastAsia="IRNazanin"/>
          <w:color w:val="111111"/>
          <w:sz w:val="28"/>
          <w:sz w:val="28"/>
          <w:szCs w:val="28"/>
          <w:rtl w:val="true"/>
          <w:lang w:bidi="fa-IR"/>
        </w:rPr>
        <w:t>و القواعد</w:t>
      </w:r>
      <w:r>
        <w:rPr>
          <w:rStyle w:val="FootnoteAnchor"/>
          <w:rtl w:val="true"/>
        </w:rPr>
        <w:footnoteReference w:id="1317"/>
      </w:r>
      <w:r>
        <w:rPr>
          <w:rFonts w:ascii="IRNazanin" w:hAnsi="IRNazanin" w:eastAsia="IRNazanin"/>
          <w:color w:val="111111"/>
          <w:sz w:val="28"/>
          <w:sz w:val="28"/>
          <w:szCs w:val="28"/>
          <w:rtl w:val="true"/>
          <w:lang w:bidi="fa-IR"/>
        </w:rPr>
        <w:t>و الإرشاد</w:t>
      </w:r>
      <w:r>
        <w:rPr>
          <w:rStyle w:val="FootnoteAnchor"/>
          <w:rtl w:val="true"/>
        </w:rPr>
        <w:footnoteReference w:id="1318"/>
      </w:r>
      <w:r>
        <w:rPr>
          <w:rFonts w:ascii="IRNazanin" w:hAnsi="IRNazanin" w:eastAsia="IRNazanin"/>
          <w:color w:val="111111"/>
          <w:sz w:val="28"/>
          <w:sz w:val="28"/>
          <w:szCs w:val="28"/>
          <w:rtl w:val="true"/>
          <w:lang w:bidi="fa-IR"/>
        </w:rPr>
        <w:t>و غایة المراد</w:t>
      </w:r>
      <w:r>
        <w:rPr>
          <w:rStyle w:val="FootnoteAnchor"/>
          <w:rtl w:val="true"/>
        </w:rPr>
        <w:footnoteReference w:id="1319"/>
      </w:r>
      <w:r>
        <w:rPr>
          <w:rFonts w:ascii="IRNazanin" w:hAnsi="IRNazanin" w:eastAsia="IRNazanin"/>
          <w:color w:val="111111"/>
          <w:sz w:val="28"/>
          <w:sz w:val="28"/>
          <w:szCs w:val="28"/>
          <w:rtl w:val="true"/>
          <w:lang w:bidi="fa-IR"/>
        </w:rPr>
        <w:t>أنّه یعتبر العلم، و کذا فی الریاض</w:t>
      </w:r>
      <w:r>
        <w:rPr>
          <w:rStyle w:val="FootnoteAnchor"/>
          <w:rtl w:val="true"/>
        </w:rPr>
        <w:footnoteReference w:id="1320"/>
      </w:r>
      <w:r>
        <w:rPr>
          <w:rFonts w:ascii="IRNazanin" w:hAnsi="IRNazanin" w:eastAsia="IRNazanin"/>
          <w:color w:val="111111"/>
          <w:sz w:val="28"/>
          <w:sz w:val="28"/>
          <w:szCs w:val="28"/>
          <w:rtl w:val="true"/>
          <w:lang w:bidi="fa-IR"/>
        </w:rPr>
        <w:t>، و هو الظاهر من تفصیل الشریعة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آنس منه الرشد، بأن رأی منه المداقّة و المکایسة، و التحفّظ عن المغابنة فی المعاملة، و ملاحظة عدم تحقّق الإسراف فی الإنفاق، و علی الجملة، جریه مجری العقلاء و سیره فی مسیرهم فی هذه الاُمور، دفع إلیه ماله، و إلّا فلا</w:t>
      </w:r>
      <w:r>
        <w:rPr>
          <w:rFonts w:eastAsia="IRNazanin" w:cs="IRNazanin"/>
          <w:color w:val="111111"/>
          <w:sz w:val="28"/>
          <w:szCs w:val="28"/>
          <w:rtl w:val="true"/>
          <w:lang w:bidi="fa-IR"/>
        </w:rPr>
        <w:t>»</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تدلّ علیه العمومات المانعة من العمل بالظن و غیر العلم،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الظَّنَّ لا یُغْنِی مِنَ الْحَقِّ شَیْئاً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لَیْسَ لَکَ بِهِ 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لأنّ الأصل عدم جواز دفع مال الصبیّ إلیه إلاّ إذا علم رشده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یکفی الظنّ‌</w:t>
      </w:r>
      <w:r>
        <w:rPr>
          <w:rStyle w:val="FootnoteAnchor"/>
          <w:rtl w:val="true"/>
        </w:rPr>
        <w:footnoteReference w:id="1322"/>
      </w:r>
      <w:r>
        <w:rPr>
          <w:rFonts w:ascii="IRNazanin" w:hAnsi="IRNazanin" w:eastAsia="IRNazanin"/>
          <w:color w:val="111111"/>
          <w:sz w:val="28"/>
          <w:sz w:val="28"/>
          <w:szCs w:val="28"/>
          <w:rtl w:val="true"/>
          <w:lang w:bidi="fa-IR"/>
        </w:rPr>
        <w:t>، قال فی مجمع الفائدة و البرهان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الذی نفهمه أنّ الضّابط هو حصول العلم أو الظن المتاخم له بأنّه ضابط لماله، و لا یصرفه إلّا فی الأغراض الصحیحة عند العقلاء بالنسبة إلی حاله بأیّ شیء کان، و لا یعیّن لذلک أمر و شیء</w:t>
      </w:r>
      <w:r>
        <w:rPr>
          <w:rFonts w:eastAsia="IRNazanin" w:cs="IRNazanin"/>
          <w:color w:val="111111"/>
          <w:sz w:val="28"/>
          <w:szCs w:val="28"/>
          <w:rtl w:val="true"/>
          <w:lang w:bidi="fa-IR"/>
        </w:rPr>
        <w:t>»</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قال العلّامة فی بعض کتبه</w:t>
      </w:r>
      <w:r>
        <w:rPr>
          <w:rStyle w:val="FootnoteAnchor"/>
          <w:rtl w:val="true"/>
        </w:rPr>
        <w:footnoteReference w:id="1324"/>
      </w:r>
      <w:r>
        <w:rPr>
          <w:rFonts w:ascii="IRNazanin" w:hAnsi="IRNazanin" w:eastAsia="IRNazanin"/>
          <w:color w:val="111111"/>
          <w:sz w:val="28"/>
          <w:sz w:val="28"/>
          <w:szCs w:val="28"/>
          <w:rtl w:val="true"/>
          <w:lang w:bidi="fa-IR"/>
        </w:rPr>
        <w:t>، و هو الظاهر من جامع المقاصد</w:t>
      </w:r>
      <w:r>
        <w:rPr>
          <w:rStyle w:val="FootnoteAnchor"/>
          <w:rtl w:val="true"/>
        </w:rPr>
        <w:footnoteReference w:id="1325"/>
      </w:r>
      <w:r>
        <w:rPr>
          <w:rFonts w:ascii="IRNazanin" w:hAnsi="IRNazanin" w:eastAsia="IRNazanin"/>
          <w:color w:val="111111"/>
          <w:sz w:val="28"/>
          <w:sz w:val="28"/>
          <w:szCs w:val="28"/>
          <w:rtl w:val="true"/>
          <w:lang w:bidi="fa-IR"/>
        </w:rPr>
        <w:t>، و فی المناهل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المسألة محلّ إشکال من الأصل و العمومات المانعة من العمل بالظنّ و غیر العلم من الکتاب و السنّة، و من فحوی ما دلّ علی ثبوت الرّشد بشهادة العدلین، و فحوی ما دلّ علی جواز الاکتفاء فی معرفة العدالة التی هی ملکة راسخة و فی معرفة القبلة، و أنّ اشتراط العلم هنا یقضی إلی الحرج العظیم؛ لأنّ ملکة الرشد من الاُمور الباطنیّة التی لا تدرک بالحواس الظاهرة، فتحصیل العلم بها فی غایة الصّعوبة، و کیف کان، فلا ینبغی ترک الاحتیاط هنا مع الإمکان، بل الاحتمال الأوّل فی غایة القوّة</w:t>
      </w:r>
      <w:r>
        <w:rPr>
          <w:rFonts w:eastAsia="IRNazanin" w:cs="IRNazanin"/>
          <w:color w:val="111111"/>
          <w:sz w:val="28"/>
          <w:szCs w:val="28"/>
          <w:rtl w:val="true"/>
          <w:lang w:bidi="fa-IR"/>
        </w:rPr>
        <w:t>»</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bookmarkStart w:id="363" w:name="pg11757_135617"/>
    </w:p>
    <w:p>
      <w:pPr>
        <w:pStyle w:val="BookText"/>
        <w:rPr/>
      </w:pPr>
      <w:bookmarkEnd w:id="363"/>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یختبر الصبیّ قبل بلوغه، بحیث إذا بلغ لا یحتاج إلی اختبار آخر، بل یسلّم إلیه ماله إن کان قد عرف رشده، کما صرّح به الشیخ قدس سره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الاختبار یجب أن یکون قبل البلوغ حتّی إذا بلغ إمّا أن یسلّم إلیه ماله أو یحجر علیه</w:t>
      </w:r>
      <w:r>
        <w:rPr>
          <w:rFonts w:eastAsia="IRNazanin" w:cs="IRNazanin"/>
          <w:color w:val="111111"/>
          <w:sz w:val="28"/>
          <w:szCs w:val="28"/>
          <w:rtl w:val="true"/>
          <w:lang w:bidi="fa-IR"/>
        </w:rPr>
        <w:t>»</w:t>
      </w:r>
      <w:r>
        <w:rPr>
          <w:rStyle w:val="FootnoteAnchor"/>
          <w:rtl w:val="true"/>
        </w:rPr>
        <w:footnoteReference w:id="1327"/>
      </w:r>
      <w:r>
        <w:rPr>
          <w:rFonts w:ascii="IRNazanin" w:hAnsi="IRNazanin" w:eastAsia="IRNazanin"/>
          <w:color w:val="111111"/>
          <w:sz w:val="28"/>
          <w:sz w:val="28"/>
          <w:szCs w:val="28"/>
          <w:rtl w:val="true"/>
          <w:lang w:bidi="fa-IR"/>
        </w:rPr>
        <w:t>، و به قال یحیی بن سعید</w:t>
      </w:r>
      <w:r>
        <w:rPr>
          <w:rStyle w:val="FootnoteAnchor"/>
          <w:rtl w:val="true"/>
        </w:rPr>
        <w:footnoteReference w:id="1328"/>
      </w:r>
      <w:r>
        <w:rPr>
          <w:rFonts w:ascii="Amiri" w:hAnsi="Amiri" w:eastAsia="Amiri" w:cs="Amiri"/>
          <w:color w:val="111111"/>
          <w:sz w:val="28"/>
          <w:sz w:val="28"/>
          <w:szCs w:val="28"/>
          <w:rtl w:val="true"/>
          <w:lang w:bidi="ar-SA"/>
        </w:rPr>
        <w:t>و المحقّق</w:t>
      </w:r>
      <w:r>
        <w:rPr>
          <w:rStyle w:val="FootnoteAnchor"/>
          <w:rtl w:val="true"/>
        </w:rPr>
        <w:footnoteReference w:id="1329"/>
      </w:r>
      <w:r>
        <w:rPr>
          <w:rFonts w:ascii="Amiri" w:hAnsi="Amiri" w:eastAsia="Amiri" w:cs="Amiri"/>
          <w:color w:val="111111"/>
          <w:sz w:val="28"/>
          <w:sz w:val="28"/>
          <w:szCs w:val="28"/>
          <w:rtl w:val="true"/>
          <w:lang w:bidi="ar-SA"/>
        </w:rPr>
        <w:t>و العلّامة</w:t>
      </w:r>
      <w:r>
        <w:rPr>
          <w:rStyle w:val="FootnoteAnchor"/>
          <w:rtl w:val="true"/>
        </w:rPr>
        <w:footnoteReference w:id="1330"/>
      </w:r>
      <w:r>
        <w:rPr>
          <w:rFonts w:ascii="Amiri" w:hAnsi="Amiri" w:eastAsia="Amiri" w:cs="Amiri"/>
          <w:color w:val="111111"/>
          <w:sz w:val="28"/>
          <w:sz w:val="28"/>
          <w:szCs w:val="28"/>
          <w:rtl w:val="true"/>
          <w:lang w:bidi="ar-SA"/>
        </w:rPr>
        <w:t>، و المحقّق</w:t>
      </w:r>
      <w:r>
        <w:rPr>
          <w:rStyle w:val="FootnoteAnchor"/>
          <w:rtl w:val="true"/>
        </w:rPr>
        <w:footnoteReference w:id="1331"/>
      </w:r>
      <w:r>
        <w:rPr>
          <w:rFonts w:ascii="IRNazanin" w:hAnsi="IRNazanin" w:eastAsia="IRNazanin"/>
          <w:color w:val="111111"/>
          <w:sz w:val="28"/>
          <w:sz w:val="28"/>
          <w:szCs w:val="28"/>
          <w:rtl w:val="true"/>
          <w:lang w:bidi="fa-IR"/>
        </w:rPr>
        <w:t>و الشهید</w:t>
      </w:r>
      <w:r>
        <w:rPr>
          <w:rStyle w:val="FootnoteAnchor"/>
          <w:rtl w:val="true"/>
        </w:rPr>
        <w:footnoteReference w:id="1332"/>
      </w:r>
      <w:r>
        <w:rPr>
          <w:rFonts w:ascii="IRNazanin" w:hAnsi="IRNazanin" w:eastAsia="IRNazanin"/>
          <w:color w:val="111111"/>
          <w:sz w:val="28"/>
          <w:sz w:val="28"/>
          <w:szCs w:val="28"/>
          <w:rtl w:val="true"/>
          <w:lang w:bidi="fa-IR"/>
        </w:rPr>
        <w:t>الثانیان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غایة المراد</w:t>
      </w:r>
      <w:r>
        <w:rPr>
          <w:rStyle w:val="FootnoteAnchor"/>
          <w:rtl w:val="true"/>
        </w:rPr>
        <w:footnoteReference w:id="1333"/>
      </w:r>
      <w:r>
        <w:rPr>
          <w:rFonts w:ascii="IRNazanin" w:hAnsi="IRNazanin" w:eastAsia="IRNazanin"/>
          <w:color w:val="111111"/>
          <w:sz w:val="28"/>
          <w:sz w:val="28"/>
          <w:szCs w:val="28"/>
          <w:rtl w:val="true"/>
          <w:lang w:bidi="fa-IR"/>
        </w:rPr>
        <w:t>و الشرح الصغیر</w:t>
      </w:r>
      <w:r>
        <w:rPr>
          <w:rStyle w:val="FootnoteAnchor"/>
          <w:rtl w:val="true"/>
        </w:rPr>
        <w:footnoteReference w:id="1334"/>
      </w:r>
      <w:r>
        <w:rPr>
          <w:rFonts w:ascii="IRNazanin" w:hAnsi="IRNazanin" w:eastAsia="IRNazanin"/>
          <w:color w:val="111111"/>
          <w:sz w:val="28"/>
          <w:sz w:val="28"/>
          <w:szCs w:val="28"/>
          <w:rtl w:val="true"/>
          <w:lang w:bidi="fa-IR"/>
        </w:rPr>
        <w:t>و الریاض</w:t>
      </w:r>
      <w:r>
        <w:rPr>
          <w:rStyle w:val="FootnoteAnchor"/>
          <w:rtl w:val="true"/>
        </w:rPr>
        <w:footnoteReference w:id="1335"/>
      </w:r>
      <w:r>
        <w:rPr>
          <w:rFonts w:ascii="IRNazanin" w:hAnsi="IRNazanin" w:eastAsia="IRNazanin"/>
          <w:color w:val="111111"/>
          <w:sz w:val="28"/>
          <w:sz w:val="28"/>
          <w:szCs w:val="28"/>
          <w:rtl w:val="true"/>
          <w:lang w:bidi="fa-IR"/>
        </w:rPr>
        <w:t>، و غیرها</w:t>
      </w:r>
      <w:r>
        <w:rPr>
          <w:rStyle w:val="FootnoteAnchor"/>
          <w:rtl w:val="true"/>
        </w:rPr>
        <w:footnoteReference w:id="1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مجمع الفائدة و البرهان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 الاختبار قبل البلوغ ممّا لا خلاف عندنا</w:t>
      </w:r>
      <w:r>
        <w:rPr>
          <w:rFonts w:eastAsia="IRNazanin" w:cs="IRNazanin"/>
          <w:color w:val="111111"/>
          <w:sz w:val="28"/>
          <w:szCs w:val="28"/>
          <w:rtl w:val="true"/>
          <w:lang w:bidi="fa-IR"/>
        </w:rPr>
        <w:t>»</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4" w:name="__RefHeading___Toc9696781_73709187"/>
      <w:bookmarkStart w:id="365" w:name="_Toc134"/>
      <w:bookmarkEnd w:id="364"/>
      <w:r>
        <w:rPr>
          <w:rtl w:val="true"/>
        </w:rPr>
        <w:t>أدلّة وجوب اختبار الصبیّ قبل بلوغه</w:t>
      </w:r>
      <w:bookmarkEnd w:id="36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ابْتَلُوا الْیَتامی حَتّی إِذا بَلَغُوا النِّکاحَ فَإِنْ آنَسْتُمْ مِنْهُمْ رُشْداً فَادْفَعُوا إِلَیْهِمْ أَمْوالَهُمْ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الظاهر من الآیة أنّ الابتلاء قبل البلوغ؛ لأنّه تعالی سمّاهم یتامی، و إنّما</w:t>
      </w:r>
    </w:p>
    <w:p>
      <w:pPr>
        <w:pStyle w:val="BookText"/>
        <w:rPr/>
      </w:pPr>
      <w:r>
        <w:rPr>
          <w:rFonts w:ascii="IRNazanin" w:hAnsi="IRNazanin" w:eastAsia="IRNazanin"/>
          <w:color w:val="111111"/>
          <w:sz w:val="28"/>
          <w:sz w:val="28"/>
          <w:szCs w:val="28"/>
          <w:rtl w:val="true"/>
          <w:lang w:bidi="fa-IR"/>
        </w:rPr>
        <w:t>یصدق علیهم هذا الاسم قبل البلوغ</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ابتلاء الیتیم لا یصدق عرفاً و لا لغة بالاختبار بعد البلوغ؛ لأنّ البالغ لا یسمّی یتیماً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حاشیة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حیث جعل متعلّق الابتلاء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الوصف لا یتحقّق مع البلوغ لغةً و شرعاً، و أمر بدفع أموالهم إلیهم حین بلوغ النکاح، و ذلک یستلزم الاختبار قبله</w:t>
      </w:r>
      <w:r>
        <w:rPr>
          <w:rFonts w:eastAsia="IRNazanin" w:cs="IRNazanin"/>
          <w:color w:val="111111"/>
          <w:sz w:val="28"/>
          <w:szCs w:val="28"/>
          <w:rtl w:val="true"/>
          <w:lang w:bidi="fa-IR"/>
        </w:rPr>
        <w:t>»</w:t>
      </w:r>
      <w:r>
        <w:rPr>
          <w:rStyle w:val="FootnoteAnchor"/>
          <w:rtl w:val="true"/>
        </w:rPr>
        <w:footnoteReference w:id="1339"/>
      </w:r>
      <w:r>
        <w:rPr>
          <w:rFonts w:ascii="IRNazanin" w:hAnsi="IRNazanin" w:eastAsia="IRNazanin"/>
          <w:color w:val="111111"/>
          <w:sz w:val="28"/>
          <w:sz w:val="28"/>
          <w:szCs w:val="28"/>
          <w:rtl w:val="true"/>
          <w:lang w:bidi="fa-IR"/>
        </w:rPr>
        <w:t xml:space="preserve">؛ و لأنّه تعالی مدّ اختبارهم إلی البلوغ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 علی الاختبار قبل البلوغ، کما فی التذکرة</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أورد علیه المحقّق الأردبیلی بأنّ ظاهر الآیة یدلّ علی دفع المال بعد إیناس الرشد بلا فصل، فلو کان قبل البلوغ لزم وجوب الإعطاء بعد الرشد قبل البلوغ، و هو منفیّ،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أجاب قدس سره عنه بأنّه لا یبعد صدق الیتیم علی البالغ القریب من زمان عدمه باعتبار ما کان، و هو شائع ذائع</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الأولی فی الجواب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إنّما یتمّ علی تقدیر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الجزائیّة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فَادْفَعُوا إِلَیْهِمْ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للتعقیب بلا مهلة کالفاء العاطفة، و هو ممنوع و إن ذهب إلیه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مقتضی إطلاق الأمر بالدفع جوازه بعد الرشد و قبل</w:t>
      </w:r>
      <w:r>
        <w:rPr>
          <w:rStyle w:val="FootnoteAnchor"/>
          <w:rtl w:val="true"/>
        </w:rPr>
        <w:footnoteReference w:id="1342"/>
      </w:r>
      <w:r>
        <w:rPr>
          <w:rFonts w:ascii="IRNazanin" w:hAnsi="IRNazanin" w:eastAsia="IRNazanin"/>
          <w:color w:val="111111"/>
          <w:sz w:val="28"/>
          <w:sz w:val="28"/>
          <w:szCs w:val="28"/>
          <w:rtl w:val="true"/>
          <w:lang w:bidi="fa-IR"/>
        </w:rPr>
        <w:t>البلوغ، و لکن یجب تقییده بما ذکره من الإجماع،</w:t>
      </w:r>
    </w:p>
    <w:p>
      <w:pPr>
        <w:pStyle w:val="BookText"/>
        <w:rPr/>
      </w:pPr>
      <w:r>
        <w:rPr>
          <w:rFonts w:ascii="IRNazanin" w:hAnsi="IRNazanin" w:eastAsia="IRNazanin"/>
          <w:color w:val="111111"/>
          <w:sz w:val="28"/>
          <w:sz w:val="28"/>
          <w:szCs w:val="28"/>
          <w:rtl w:val="true"/>
          <w:lang w:bidi="fa-IR"/>
        </w:rPr>
        <w:t>و هو أولی من التجوّز فی الیتیم بحمله علی ما ذکره و تقیید إطلاقه بما بعد البلوغ، کما فی المناهل</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الآیة أنّ مجرّد البلوغ لا یوجب رفع الحجر، بل لا بدّ من ثبوت الرشد أیضاً، فمن احتمل عدم رشده فی صغره لا بدّ و أن یختبر لإثبات الرشد فیه حتّی یدفع إلیه ماله، و مقتضی الأصل الموضوعی عدم ثبوت الرشد أیضاً بسبب العلم بالملکة السابقة، فإذا أمکن دفع هذا الضرر بتقدیم الاختبار کان أولی، کما فی المسالک</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الاختبار بعد البلوغ لم یؤمن معه الحجر علی البالغ الرشید، و هو ظلم محرّم، فیجب التحفّظ عنه، و لا یکون إلاّ بالاختبار قبل البلوغ</w:t>
      </w:r>
      <w:r>
        <w:rPr>
          <w:rFonts w:eastAsia="IRNazanin" w:cs="IRNazanin"/>
          <w:color w:val="111111"/>
          <w:sz w:val="28"/>
          <w:szCs w:val="28"/>
          <w:rtl w:val="true"/>
          <w:lang w:bidi="fa-IR"/>
        </w:rPr>
        <w:t>»</w:t>
      </w:r>
      <w:r>
        <w:rPr>
          <w:rStyle w:val="FootnoteAnchor"/>
          <w:rtl w:val="true"/>
        </w:rPr>
        <w:footnoteReference w:id="1345"/>
      </w:r>
      <w:r>
        <w:rPr>
          <w:rFonts w:ascii="IRNazanin" w:hAnsi="IRNazanin" w:eastAsia="IRNazanin"/>
          <w:color w:val="111111"/>
          <w:sz w:val="28"/>
          <w:sz w:val="28"/>
          <w:szCs w:val="28"/>
          <w:rtl w:val="true"/>
          <w:lang w:bidi="fa-IR"/>
        </w:rPr>
        <w:t>، و فی غایة المراد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لأدّی إلی الحجر علی البالغ الرشید، و هو خلاف الإجماع</w:t>
      </w:r>
      <w:r>
        <w:rPr>
          <w:rFonts w:eastAsia="IRNazanin" w:cs="IRNazanin"/>
          <w:color w:val="111111"/>
          <w:sz w:val="28"/>
          <w:szCs w:val="28"/>
          <w:rtl w:val="true"/>
          <w:lang w:bidi="fa-IR"/>
        </w:rPr>
        <w:t>»</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و ظهور الاتّفاق کما تقدّم عن مجمع الفائدة و البرهان</w:t>
      </w:r>
      <w:r>
        <w:rPr>
          <w:rStyle w:val="FootnoteAnchor"/>
          <w:rtl w:val="true"/>
        </w:rPr>
        <w:footnoteReference w:id="1347"/>
      </w:r>
      <w:r>
        <w:rPr>
          <w:rFonts w:ascii="IRNazanin" w:hAnsi="IRNazanin" w:eastAsia="IRNazanin"/>
          <w:color w:val="111111"/>
          <w:sz w:val="28"/>
          <w:sz w:val="28"/>
          <w:szCs w:val="28"/>
          <w:rtl w:val="true"/>
          <w:lang w:bidi="fa-IR"/>
        </w:rPr>
        <w:t>و المسالک</w:t>
      </w:r>
      <w:r>
        <w:rPr>
          <w:rStyle w:val="FootnoteAnchor"/>
          <w:rtl w:val="true"/>
        </w:rPr>
        <w:footnoteReference w:id="1348"/>
      </w:r>
      <w:r>
        <w:rPr>
          <w:rFonts w:ascii="IRNazanin" w:hAnsi="IRNazanin" w:eastAsia="IRNazanin"/>
          <w:color w:val="111111"/>
          <w:sz w:val="28"/>
          <w:sz w:val="28"/>
          <w:szCs w:val="28"/>
          <w:rtl w:val="true"/>
          <w:lang w:bidi="fa-IR"/>
        </w:rPr>
        <w:t>، و کذا فی المناهل</w:t>
      </w:r>
      <w:r>
        <w:rPr>
          <w:rStyle w:val="FootnoteAnchor"/>
          <w:rtl w:val="true"/>
        </w:rPr>
        <w:footnoteReference w:id="1349"/>
      </w:r>
      <w:r>
        <w:rPr>
          <w:rFonts w:ascii="IRNazanin" w:hAnsi="IRNazanin" w:eastAsia="IRNazanin"/>
          <w:color w:val="111111"/>
          <w:sz w:val="28"/>
          <w:sz w:val="28"/>
          <w:szCs w:val="28"/>
          <w:rtl w:val="true"/>
          <w:lang w:bidi="fa-IR"/>
        </w:rPr>
        <w:t>، و هو الظاهر من التذکرة</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لا أجد فیه خلافاً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w:t>
      </w:r>
      <w:bookmarkStart w:id="366" w:name="pg11757_135620"/>
    </w:p>
    <w:p>
      <w:pPr>
        <w:pStyle w:val="BookText"/>
        <w:rPr/>
      </w:pPr>
      <w:bookmarkEnd w:id="366"/>
      <w:r>
        <w:rPr>
          <w:rFonts w:ascii="IRNazanin" w:hAnsi="IRNazanin" w:eastAsia="IRNazanin"/>
          <w:color w:val="111111"/>
          <w:sz w:val="28"/>
          <w:sz w:val="28"/>
          <w:szCs w:val="28"/>
          <w:rtl w:val="true"/>
          <w:lang w:bidi="fa-IR"/>
        </w:rPr>
        <w:t>من قصر الخلاف علی بعض العامّة</w:t>
      </w:r>
      <w:r>
        <w:rPr>
          <w:rFonts w:eastAsia="IRNazanin" w:cs="IRNazanin"/>
          <w:color w:val="111111"/>
          <w:sz w:val="28"/>
          <w:szCs w:val="28"/>
          <w:rtl w:val="true"/>
          <w:lang w:bidi="fa-IR"/>
        </w:rPr>
        <w:t>»</w:t>
      </w:r>
      <w:r>
        <w:rPr>
          <w:rStyle w:val="FootnoteAnchor"/>
          <w:rtl w:val="true"/>
        </w:rPr>
        <w:footnoteReference w:id="1351"/>
      </w:r>
      <w:r>
        <w:rPr>
          <w:rFonts w:ascii="IRNazanin" w:hAnsi="IRNazanin" w:eastAsia="IRNazanin"/>
          <w:color w:val="111111"/>
          <w:sz w:val="28"/>
          <w:sz w:val="28"/>
          <w:szCs w:val="28"/>
          <w:rtl w:val="true"/>
          <w:lang w:bidi="fa-IR"/>
        </w:rPr>
        <w:t>، و فی مفتاح الکرامة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فالإجماع معلوم</w:t>
      </w:r>
      <w:r>
        <w:rPr>
          <w:rFonts w:eastAsia="IRNazanin" w:cs="IRNazanin"/>
          <w:color w:val="111111"/>
          <w:sz w:val="28"/>
          <w:szCs w:val="28"/>
          <w:rtl w:val="true"/>
          <w:lang w:bidi="fa-IR"/>
        </w:rPr>
        <w:t>»</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یستفاد من ظاهر بعض النصوص خلاف ما تقدّم، فقد جاء فی مرسلة أبی الجارود عن أبی جعفر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فی یده مال بعض الیتامی فلا یجوز أن یعطیه حتّی یبلغ النکاح و یحتلم، فإذا احتلم و وجب علیه الحدود و إقامة الفرائض، و لا یکون مضیّعاً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آنس منه الرشد دفع إلیه المال و أشهد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الحدیث</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منع ظهوره فی مخالفة الأصحاب؛ لاحتمال إرادة أنّه إذا کان قد آنس منه الرشد بالاختبار السابق دفع إلیه المال، مضافاً إلی أنّه لیس جامعاً لشرائط الحجیّة، و قد أعرض عنه الأصحاب، فهو حینئذٍ من الشواذ خصوصاً مع مخالفته لظاهر الآیة، کما فی الجواهر</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7" w:name="__RefHeading___Toc9696783_73709187"/>
      <w:bookmarkStart w:id="368" w:name="_Toc135"/>
      <w:bookmarkEnd w:id="367"/>
      <w:r>
        <w:rPr>
          <w:rtl w:val="true"/>
        </w:rPr>
        <w:t>تذکرة</w:t>
      </w:r>
      <w:bookmarkEnd w:id="368"/>
    </w:p>
    <w:p>
      <w:pPr>
        <w:pStyle w:val="BookText"/>
        <w:rPr/>
      </w:pPr>
      <w:r>
        <w:rPr>
          <w:rFonts w:ascii="IRNazanin" w:hAnsi="IRNazanin" w:eastAsia="IRNazanin"/>
          <w:color w:val="111111"/>
          <w:sz w:val="28"/>
          <w:sz w:val="28"/>
          <w:szCs w:val="28"/>
          <w:rtl w:val="true"/>
          <w:lang w:bidi="fa-IR"/>
        </w:rPr>
        <w:t xml:space="preserve">و اعلم أنّه و إن قیّد فی کلماتهم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الاختبار بما قبل البلوغ و لکنّ الظاهر أنّ مقصودهم إذا احتمل حصول الرشد للصبیّ قبل البلوغ، و إلّا ففی کلّ زمان احتمل فیه ذلک عند البلوغ أو بعده، کما صرّح به بعضهم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الاختبار قبل البلوغ؛ عملاً بظاهر الآیة،</w:t>
      </w:r>
    </w:p>
    <w:p>
      <w:pPr>
        <w:pStyle w:val="BookText"/>
        <w:rPr/>
      </w:pPr>
      <w:r>
        <w:rPr>
          <w:rFonts w:ascii="IRNazanin" w:hAnsi="IRNazanin" w:eastAsia="IRNazanin"/>
          <w:color w:val="111111"/>
          <w:sz w:val="28"/>
          <w:sz w:val="28"/>
          <w:szCs w:val="28"/>
          <w:rtl w:val="true"/>
          <w:lang w:bidi="fa-IR"/>
        </w:rPr>
        <w:t>و هو کذلک إن ارید به جوازه قبله، لا انحصار وقته فیه</w:t>
      </w:r>
      <w:r>
        <w:rPr>
          <w:rFonts w:eastAsia="IRNazanin" w:cs="IRNazanin"/>
          <w:color w:val="111111"/>
          <w:sz w:val="28"/>
          <w:szCs w:val="28"/>
          <w:rtl w:val="true"/>
          <w:lang w:bidi="fa-IR"/>
        </w:rPr>
        <w:t>»</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قد یقع الاختبار بعد البلوغ إذا اتّفق عدمه قبله لعارض، أو أنّ الواقع منه قبله لم یفد الرشد، أو نحو ذلک</w:t>
      </w:r>
      <w:r>
        <w:rPr>
          <w:rFonts w:eastAsia="IRNazanin" w:cs="IRNazanin"/>
          <w:color w:val="111111"/>
          <w:sz w:val="28"/>
          <w:szCs w:val="28"/>
          <w:rtl w:val="true"/>
          <w:lang w:bidi="fa-IR"/>
        </w:rPr>
        <w:t>»</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احتمل حصول الرشد للصبیّ قبل بلوغه یجب اختباره قبله لیسلّم إلیه ماله بمجرّد بلوغه لو آنس منه الرشد، و إلّا ففی کلّ زمان احتمل فیه ذلک، عند البلوغ أو بعده</w:t>
      </w:r>
      <w:r>
        <w:rPr>
          <w:rFonts w:eastAsia="IRNazanin" w:cs="IRNazanin"/>
          <w:color w:val="111111"/>
          <w:sz w:val="28"/>
          <w:szCs w:val="28"/>
          <w:rtl w:val="true"/>
          <w:lang w:bidi="fa-IR"/>
        </w:rPr>
        <w:t>»</w:t>
      </w:r>
      <w:r>
        <w:rPr>
          <w:rStyle w:val="FootnoteAnchor"/>
          <w:rtl w:val="true"/>
        </w:rPr>
        <w:footnoteReference w:id="1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تفصیل الشریعة</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مهذّب الأحکام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إنّ هذا الوجوب مقدّمی لوجوب تسلیم المال إلیه، و هو غیر محدود بوقت خاصّ، بل وقته کلّ ما احتمل فیه حصول الرشد للاحتفاظ علی المال و قطع الولایة علی الرشید البالغ، و حرمة تصرّفه فی مال الغیر إلاّ بإذنه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المناط کلّه جریان أصالة بقاء عدم الرشد الذی کان فی حال الصباوة، و جریان أصالة بقاء الحجر، و هی مع احتمال البقاء، سواء کان الاحتمال قبل البلوغ أو حینه أو بعده، و لا واقع لهذا الاحتمال إلّا الابتلاء و الاختبار</w:t>
      </w:r>
      <w:r>
        <w:rPr>
          <w:rFonts w:eastAsia="IRNazanin" w:cs="IRNazanin"/>
          <w:color w:val="111111"/>
          <w:sz w:val="28"/>
          <w:szCs w:val="28"/>
          <w:rtl w:val="true"/>
          <w:lang w:bidi="fa-IR"/>
        </w:rPr>
        <w:t>»</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یدفع إلیه المال للاختبار فتلف فی یده، لم یکن علی الولیّ الضمان</w:t>
      </w:r>
      <w:r>
        <w:rPr>
          <w:rStyle w:val="FootnoteAnchor"/>
          <w:rtl w:val="true"/>
        </w:rPr>
        <w:footnoteReference w:id="1360"/>
      </w:r>
      <w:r>
        <w:rPr>
          <w:rFonts w:ascii="Amiri" w:hAnsi="Amiri" w:eastAsia="Amiri" w:cs="Amiri"/>
          <w:color w:val="111111"/>
          <w:sz w:val="28"/>
          <w:sz w:val="28"/>
          <w:szCs w:val="28"/>
          <w:rtl w:val="true"/>
          <w:lang w:bidi="ar-SA"/>
        </w:rPr>
        <w:t>؛ لأصالة براءة الذمّة</w:t>
      </w:r>
      <w:r>
        <w:rPr>
          <w:rFonts w:eastAsia="Amiri" w:cs="Amiri" w:ascii="Amiri" w:hAnsi="Amiri"/>
          <w:color w:val="111111"/>
          <w:sz w:val="28"/>
          <w:szCs w:val="28"/>
          <w:rtl w:val="true"/>
          <w:lang w:bidi="ar-SA"/>
        </w:rPr>
        <w:t>»</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المناهل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جیّد</w:t>
      </w:r>
      <w:r>
        <w:rPr>
          <w:rFonts w:eastAsia="IRNazanin" w:cs="IRNazanin"/>
          <w:color w:val="111111"/>
          <w:sz w:val="28"/>
          <w:szCs w:val="28"/>
          <w:rtl w:val="true"/>
          <w:lang w:bidi="fa-IR"/>
        </w:rPr>
        <w:t>»</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اتّفق الاختبار بعد البلوغ و أوقع حین الاختبار عقداً من بیع و نحوه و تبیّن کونه رشیداً حین أوقع العقد، فقد صرّح فی الإیضاح بصحّة هذا العقد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ظهر رشده حال العقود صحّت العقود قطعاً</w:t>
      </w:r>
      <w:r>
        <w:rPr>
          <w:rFonts w:eastAsia="IRNazanin" w:cs="IRNazanin"/>
          <w:color w:val="111111"/>
          <w:sz w:val="28"/>
          <w:szCs w:val="28"/>
          <w:rtl w:val="true"/>
          <w:lang w:bidi="fa-IR"/>
        </w:rPr>
        <w:t>»</w:t>
      </w:r>
      <w:r>
        <w:rPr>
          <w:rStyle w:val="FootnoteAnchor"/>
          <w:rtl w:val="true"/>
        </w:rPr>
        <w:footnoteReference w:id="1363"/>
      </w:r>
      <w:r>
        <w:rPr>
          <w:rFonts w:ascii="IRNazanin" w:hAnsi="IRNazanin" w:eastAsia="IRNazanin"/>
          <w:color w:val="111111"/>
          <w:sz w:val="28"/>
          <w:sz w:val="28"/>
          <w:szCs w:val="28"/>
          <w:rtl w:val="true"/>
          <w:lang w:bidi="fa-IR"/>
        </w:rPr>
        <w:t>، و فی المناهل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فالظاهر صحة العقد</w:t>
      </w:r>
      <w:r>
        <w:rPr>
          <w:rFonts w:eastAsia="IRNazanin" w:cs="IRNazanin"/>
          <w:color w:val="111111"/>
          <w:sz w:val="28"/>
          <w:szCs w:val="28"/>
          <w:rtl w:val="true"/>
          <w:lang w:bidi="fa-IR"/>
        </w:rPr>
        <w:t>»</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علّله فی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العلم بکون العاقد رشیداً لیس شرطاً لصحّة العقد قطعاً، إنّما الشرط کونه رشیداً فی الواقع</w:t>
      </w:r>
      <w:r>
        <w:rPr>
          <w:rFonts w:eastAsia="IRNazanin" w:cs="IRNazanin"/>
          <w:color w:val="111111"/>
          <w:sz w:val="28"/>
          <w:szCs w:val="28"/>
          <w:rtl w:val="true"/>
          <w:lang w:bidi="fa-IR"/>
        </w:rPr>
        <w:t>»</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مجمع الفائدة و البرهان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الظاهر صحّة المعاملات و التصرّفات التی وقع فی حال الاختبار مع ظهور کونه رشیداً حینئذٍ إذا کان بالغاً؛ لحصول الشرائط فی</w:t>
      </w:r>
      <w:r>
        <w:rPr>
          <w:rStyle w:val="FootnoteAnchor"/>
          <w:rtl w:val="true"/>
        </w:rPr>
        <w:footnoteReference w:id="1366"/>
      </w:r>
      <w:r>
        <w:rPr>
          <w:rFonts w:ascii="IRNazanin" w:hAnsi="IRNazanin" w:eastAsia="IRNazanin"/>
          <w:color w:val="111111"/>
          <w:sz w:val="28"/>
          <w:sz w:val="28"/>
          <w:szCs w:val="28"/>
          <w:rtl w:val="true"/>
          <w:lang w:bidi="fa-IR"/>
        </w:rPr>
        <w:t>نفس الأمر، بل عند المعامل أیضاً، فیدخل تحت عموم أدلّة صحّة البیع و نحوه، و هو ظاهر، و لأنّه تصرّف صدر من أهله فی محلّه</w:t>
      </w:r>
      <w:r>
        <w:rPr>
          <w:rFonts w:eastAsia="IRNazanin" w:cs="IRNazanin"/>
          <w:color w:val="111111"/>
          <w:sz w:val="28"/>
          <w:szCs w:val="28"/>
          <w:rtl w:val="true"/>
          <w:lang w:bidi="fa-IR"/>
        </w:rPr>
        <w:t>»</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تبیّن کونه سفیهاً أو لم یتبیّن رشده حین العقد فاستشکل فی صحّة العقد</w:t>
      </w:r>
      <w:r>
        <w:rPr>
          <w:rStyle w:val="FootnoteAnchor"/>
          <w:rtl w:val="true"/>
        </w:rPr>
        <w:footnoteReference w:id="1368"/>
      </w:r>
      <w:r>
        <w:rPr>
          <w:rFonts w:ascii="IRNazanin" w:hAnsi="IRNazanin" w:eastAsia="IRNazanin"/>
          <w:color w:val="111111"/>
          <w:sz w:val="28"/>
          <w:sz w:val="28"/>
          <w:szCs w:val="28"/>
          <w:rtl w:val="true"/>
          <w:lang w:bidi="fa-IR"/>
        </w:rPr>
        <w:t>فی الإیضاح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منشؤه أنّ السفیه یصحّ تصرّفه بإذن الولیّ، و هذه</w:t>
      </w:r>
    </w:p>
    <w:p>
      <w:pPr>
        <w:pStyle w:val="BookText"/>
        <w:rPr/>
      </w:pPr>
      <w:r>
        <w:rPr>
          <w:rFonts w:ascii="IRNazanin" w:hAnsi="IRNazanin" w:eastAsia="IRNazanin"/>
          <w:color w:val="111111"/>
          <w:sz w:val="28"/>
          <w:sz w:val="28"/>
          <w:szCs w:val="28"/>
          <w:rtl w:val="true"/>
          <w:lang w:bidi="fa-IR"/>
        </w:rPr>
        <w:t>العقود مأذون فیها شرعاً، و من حیث بطلان تصرّفات السفیه، و هذا سفیه، و فی المجهول الحال أنّه کان محجوراً علیه شرعاً و لم یعلم المزیل للحجر، و الأصل بقاء ما کان علی ما کان، فالمقتضی للبطلان موجود و المانع لم یتحقّق</w:t>
      </w:r>
      <w:r>
        <w:rPr>
          <w:rFonts w:eastAsia="IRNazanin" w:cs="IRNazanin"/>
          <w:color w:val="111111"/>
          <w:sz w:val="28"/>
          <w:szCs w:val="28"/>
          <w:rtl w:val="true"/>
          <w:lang w:bidi="fa-IR"/>
        </w:rPr>
        <w:t>»</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غایة المرام نقلاً عن عمید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منشؤه من أنّ تصرّفه موقوف علی ثبوت رشده و قبله لم یکن رشده ثابتاً، فلا یکون تصرّفه صحیحاً، و من استبانة رشده عند وقوع العقد، فکان صحیحاً</w:t>
      </w:r>
      <w:r>
        <w:rPr>
          <w:rFonts w:eastAsia="IRNazanin" w:cs="IRNazanin"/>
          <w:color w:val="111111"/>
          <w:sz w:val="28"/>
          <w:szCs w:val="28"/>
          <w:rtl w:val="true"/>
          <w:lang w:bidi="fa-IR"/>
        </w:rPr>
        <w:t>»</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أورد علیهما فی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عقد السفیه صحیح إذا أجازه الولیّ و کان بالغاً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وجه للإشکال فیما إذا أذن له الولیّ ابتداءً</w:t>
      </w:r>
      <w:r>
        <w:rPr>
          <w:rFonts w:eastAsia="IRNazanin" w:cs="IRNazanin"/>
          <w:color w:val="111111"/>
          <w:sz w:val="28"/>
          <w:szCs w:val="28"/>
          <w:rtl w:val="true"/>
          <w:lang w:bidi="fa-IR"/>
        </w:rPr>
        <w:t>»</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المناهل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الأقرب عندی الصحّة</w:t>
      </w:r>
      <w:r>
        <w:rPr>
          <w:rFonts w:eastAsia="IRNazanin" w:cs="IRNazanin"/>
          <w:color w:val="111111"/>
          <w:sz w:val="28"/>
          <w:szCs w:val="28"/>
          <w:rtl w:val="true"/>
          <w:lang w:bidi="fa-IR"/>
        </w:rPr>
        <w:t>»</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اختبر رشد الصبیّ قبل بلوغه و أوقع حین الاختبار عقداً کالبیع، فهل یصحّ أو لا؟ فیه قولان</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أشبعنا الکلام فی نظیر هذه المسألة عند البحث عن بیع الصبیّ، فراجع</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bookmarkStart w:id="369" w:name="pg11757_135624"/>
    </w:p>
    <w:p>
      <w:pPr>
        <w:pStyle w:val="Heading5"/>
        <w:numPr>
          <w:ilvl w:val="4"/>
          <w:numId w:val="1"/>
        </w:numPr>
        <w:rPr/>
      </w:pPr>
      <w:bookmarkStart w:id="370" w:name="__RefHeading___Toc9696785_73709187"/>
      <w:bookmarkStart w:id="371" w:name="_Toc136"/>
      <w:bookmarkEnd w:id="369"/>
      <w:bookmarkEnd w:id="370"/>
      <w:r>
        <w:rPr>
          <w:rtl w:val="true"/>
        </w:rPr>
        <w:t>وقت اختبار الرشد و کیفیّته عند أهل السنّة</w:t>
      </w:r>
      <w:bookmarkEnd w:id="371"/>
    </w:p>
    <w:p>
      <w:pPr>
        <w:pStyle w:val="BookText"/>
        <w:rPr/>
      </w:pPr>
      <w:r>
        <w:rPr>
          <w:rFonts w:ascii="IRNazanin" w:hAnsi="IRNazanin" w:eastAsia="IRNazanin"/>
          <w:color w:val="111111"/>
          <w:sz w:val="28"/>
          <w:sz w:val="28"/>
          <w:szCs w:val="28"/>
          <w:rtl w:val="true"/>
          <w:lang w:bidi="fa-IR"/>
        </w:rPr>
        <w:t>إنّهم صرّحوا بأنّ انقطاع الحجر عن الصبیّ منوط بالبلوغ و الرشد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مغنی المحتاج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حجر الصبیّ یرتفع ببلوغه رشیداً</w:t>
      </w:r>
      <w:r>
        <w:rPr>
          <w:rFonts w:eastAsia="IRNazanin" w:cs="IRNazanin"/>
          <w:color w:val="111111"/>
          <w:sz w:val="28"/>
          <w:szCs w:val="28"/>
          <w:rtl w:val="true"/>
          <w:lang w:bidi="fa-IR"/>
        </w:rPr>
        <w:t>»</w:t>
      </w:r>
      <w:r>
        <w:rPr>
          <w:rStyle w:val="FootnoteAnchor"/>
          <w:rtl w:val="true"/>
        </w:rPr>
        <w:footnoteReference w:id="1375"/>
      </w:r>
      <w:r>
        <w:rPr>
          <w:rFonts w:ascii="IRNazanin" w:hAnsi="IRNazanin" w:eastAsia="IRNazanin"/>
          <w:color w:val="111111"/>
          <w:sz w:val="28"/>
          <w:sz w:val="28"/>
          <w:szCs w:val="28"/>
          <w:rtl w:val="true"/>
          <w:lang w:bidi="fa-IR"/>
        </w:rPr>
        <w:t>، و به قال فی المهذّب</w:t>
      </w:r>
      <w:r>
        <w:rPr>
          <w:rStyle w:val="FootnoteAnchor"/>
          <w:rtl w:val="true"/>
        </w:rPr>
        <w:footnoteReference w:id="1376"/>
      </w:r>
      <w:r>
        <w:rPr>
          <w:rFonts w:ascii="IRNazanin" w:hAnsi="IRNazanin" w:eastAsia="IRNazanin"/>
          <w:color w:val="111111"/>
          <w:sz w:val="28"/>
          <w:sz w:val="28"/>
          <w:szCs w:val="28"/>
          <w:rtl w:val="true"/>
          <w:lang w:bidi="fa-IR"/>
        </w:rPr>
        <w:t>و المجموع</w:t>
      </w:r>
      <w:r>
        <w:rPr>
          <w:rStyle w:val="FootnoteAnchor"/>
          <w:rtl w:val="true"/>
        </w:rPr>
        <w:footnoteReference w:id="1377"/>
      </w:r>
      <w:r>
        <w:rPr>
          <w:rFonts w:ascii="IRNazanin" w:hAnsi="IRNazanin" w:eastAsia="IRNazanin"/>
          <w:color w:val="111111"/>
          <w:sz w:val="28"/>
          <w:sz w:val="28"/>
          <w:szCs w:val="28"/>
          <w:rtl w:val="true"/>
          <w:lang w:bidi="fa-IR"/>
        </w:rPr>
        <w:t>و المبدع</w:t>
      </w:r>
      <w:r>
        <w:rPr>
          <w:rStyle w:val="FootnoteAnchor"/>
          <w:rtl w:val="true"/>
        </w:rPr>
        <w:footnoteReference w:id="1378"/>
      </w:r>
      <w:r>
        <w:rPr>
          <w:rFonts w:ascii="IRNazanin" w:hAnsi="IRNazanin" w:eastAsia="IRNazanin"/>
          <w:color w:val="111111"/>
          <w:sz w:val="28"/>
          <w:sz w:val="28"/>
          <w:szCs w:val="28"/>
          <w:rtl w:val="true"/>
          <w:lang w:bidi="fa-IR"/>
        </w:rPr>
        <w:t>و الإنصاف</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 الماوردی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ابْتَلُوا الْیَتامی حَتّی إِذا بَلَغُوا النِّکاحَ فَإِنْ آنَسْتُمْ مِنْهُمْ رُشْداً فَادْفَعُوا إِلَیْهِمْ أَمْوالَهُمْ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قرّره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فأمر بدفع أموالهم إلیهم بشرطین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 الرشد، فلا یجوز</w:t>
      </w:r>
      <w:r>
        <w:rPr>
          <w:rStyle w:val="FootnoteAnchor"/>
          <w:rtl w:val="true"/>
        </w:rPr>
        <w:footnoteReference w:id="1380"/>
      </w:r>
      <w:r>
        <w:rPr>
          <w:rFonts w:ascii="IRNazanin" w:hAnsi="IRNazanin" w:eastAsia="IRNazanin"/>
          <w:color w:val="111111"/>
          <w:sz w:val="28"/>
          <w:sz w:val="28"/>
          <w:szCs w:val="28"/>
          <w:rtl w:val="true"/>
          <w:lang w:bidi="fa-IR"/>
        </w:rPr>
        <w:t>أن یدفع إلیهم بوجود البلوغ دون الرشد، کما لا یجوز أن یدفع إلیهم بوجود الرشد دون البلوغ</w:t>
      </w:r>
      <w:r>
        <w:rPr>
          <w:rFonts w:eastAsia="IRNazanin" w:cs="IRNazanin"/>
          <w:color w:val="111111"/>
          <w:sz w:val="28"/>
          <w:szCs w:val="28"/>
          <w:rtl w:val="true"/>
          <w:lang w:bidi="fa-IR"/>
        </w:rPr>
        <w:t>»</w:t>
      </w:r>
      <w:r>
        <w:rPr>
          <w:rStyle w:val="FootnoteAnchor"/>
          <w:rtl w:val="true"/>
        </w:rPr>
        <w:footnoteReference w:id="1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البیان</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فی المغنی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یعرف رشده باختباره؛ لقول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ابْتَلُوا الْیَتامی حَتّی إِذا بَلَغُوا النِّکاحَ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اختبروهم، کقوله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لِیَبْلُوَکُمْ أَیُّکُمْ أَحْسَنُ عَمَلاً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یختبرکم، و اختباره بتفویض التصرّفات التی</w:t>
      </w:r>
    </w:p>
    <w:p>
      <w:pPr>
        <w:pStyle w:val="BookText"/>
        <w:rPr/>
      </w:pPr>
      <w:r>
        <w:rPr>
          <w:rFonts w:ascii="IRNazanin" w:hAnsi="IRNazanin" w:eastAsia="IRNazanin"/>
          <w:color w:val="111111"/>
          <w:sz w:val="28"/>
          <w:sz w:val="28"/>
          <w:szCs w:val="28"/>
          <w:rtl w:val="true"/>
          <w:lang w:bidi="fa-IR"/>
        </w:rPr>
        <w:t>یتصرّف فیها أمثاله، فإن کان من أولاد التجّار فوّض إلیه البیع و الشّراء، فإذا تکرّرت منه فلم یغبن و لم یضیّع ما فی یدیه فهو رشید، و إن کان من أولاد الدهاقین و الکُبَراء الذین یصان أمثالهم عن الأسواق دفعت إلیه نفقة مدّة لینفقها فی مصالحه، فإن کان قیّماً بذلک یصرفها فی مواقعها، و یستوفی علی وکیله، و یستقصی علیه، فهو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المرأة یفوّض إلیها ما یفوّض إلی ربّة البیت</w:t>
      </w:r>
      <w:r>
        <w:rPr>
          <w:rFonts w:eastAsia="IRNazanin" w:cs="IRNazanin"/>
          <w:color w:val="111111"/>
          <w:sz w:val="28"/>
          <w:szCs w:val="28"/>
          <w:rtl w:val="true"/>
          <w:lang w:bidi="fa-IR"/>
        </w:rPr>
        <w:t>»</w:t>
      </w:r>
      <w:r>
        <w:rPr>
          <w:rStyle w:val="FootnoteAnchor"/>
          <w:rtl w:val="true"/>
        </w:rPr>
        <w:footnoteReference w:id="1383"/>
      </w:r>
      <w:r>
        <w:rPr>
          <w:rFonts w:ascii="Amiri" w:hAnsi="Amiri" w:eastAsia="Amiri" w:cs="Amiri"/>
          <w:color w:val="111111"/>
          <w:sz w:val="28"/>
          <w:sz w:val="28"/>
          <w:szCs w:val="28"/>
          <w:rtl w:val="true"/>
          <w:lang w:bidi="ar-SA"/>
        </w:rPr>
        <w:t>، و قریب من هذا فی الاُمّ‌</w:t>
      </w:r>
      <w:r>
        <w:rPr>
          <w:rStyle w:val="FootnoteAnchor"/>
          <w:rtl w:val="true"/>
        </w:rPr>
        <w:footnoteReference w:id="1384"/>
      </w:r>
      <w:r>
        <w:rPr>
          <w:rFonts w:ascii="Amiri" w:hAnsi="Amiri" w:eastAsia="Amiri" w:cs="Amiri"/>
          <w:color w:val="111111"/>
          <w:sz w:val="28"/>
          <w:sz w:val="28"/>
          <w:szCs w:val="28"/>
          <w:rtl w:val="true"/>
          <w:lang w:bidi="ar-SA"/>
        </w:rPr>
        <w:t>و المهذّب</w:t>
      </w:r>
      <w:r>
        <w:rPr>
          <w:rStyle w:val="FootnoteAnchor"/>
          <w:rtl w:val="true"/>
        </w:rPr>
        <w:footnoteReference w:id="1385"/>
      </w:r>
      <w:r>
        <w:rPr>
          <w:rFonts w:ascii="IRNazanin" w:hAnsi="IRNazanin" w:eastAsia="IRNazanin"/>
          <w:color w:val="111111"/>
          <w:sz w:val="28"/>
          <w:sz w:val="28"/>
          <w:szCs w:val="28"/>
          <w:rtl w:val="true"/>
          <w:lang w:bidi="fa-IR"/>
        </w:rPr>
        <w:t>و روضة الطالبین</w:t>
      </w:r>
      <w:r>
        <w:rPr>
          <w:rStyle w:val="FootnoteAnchor"/>
          <w:rtl w:val="true"/>
        </w:rPr>
        <w:footnoteReference w:id="1386"/>
      </w:r>
      <w:r>
        <w:rPr>
          <w:rFonts w:ascii="IRNazanin" w:hAnsi="IRNazanin" w:eastAsia="IRNazanin"/>
          <w:color w:val="111111"/>
          <w:sz w:val="28"/>
          <w:sz w:val="28"/>
          <w:szCs w:val="28"/>
          <w:rtl w:val="true"/>
          <w:lang w:bidi="fa-IR"/>
        </w:rPr>
        <w:t>و الحاوی الکبیر</w:t>
      </w:r>
      <w:r>
        <w:rPr>
          <w:rStyle w:val="FootnoteAnchor"/>
          <w:rtl w:val="true"/>
        </w:rPr>
        <w:footnoteReference w:id="1387"/>
      </w:r>
      <w:r>
        <w:rPr>
          <w:rFonts w:ascii="IRNazanin" w:hAnsi="IRNazanin" w:eastAsia="IRNazanin"/>
          <w:color w:val="111111"/>
          <w:sz w:val="28"/>
          <w:sz w:val="28"/>
          <w:szCs w:val="28"/>
          <w:rtl w:val="true"/>
          <w:lang w:bidi="fa-IR"/>
        </w:rPr>
        <w:t>و غیرها</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مغنی المحتاج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یشترط تکرّر الاختبار مرّتین أو أکثر بحیث یغلب علی الظّن، رشده، فلا یکفی مرّة؛ لأنّه قد یصیب فیها اتّفاقاً</w:t>
      </w:r>
      <w:r>
        <w:rPr>
          <w:rFonts w:eastAsia="IRNazanin" w:cs="IRNazanin"/>
          <w:color w:val="111111"/>
          <w:sz w:val="28"/>
          <w:szCs w:val="28"/>
          <w:rtl w:val="true"/>
          <w:lang w:bidi="fa-IR"/>
        </w:rPr>
        <w:t>»</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وقت الاختبار فقد صرّح الحنابلة و المالکیّة و الحنفیّة أنّه قبل البلوغ، قال المرداوی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المذهب بلا ریب، و علیه أکثر الأصحاب، و قطع به کثیر منهم</w:t>
      </w:r>
      <w:r>
        <w:rPr>
          <w:rFonts w:eastAsia="IRNazanin" w:cs="IRNazanin"/>
          <w:color w:val="111111"/>
          <w:sz w:val="28"/>
          <w:szCs w:val="28"/>
          <w:rtl w:val="true"/>
          <w:lang w:bidi="fa-IR"/>
        </w:rPr>
        <w:t>»</w:t>
      </w:r>
      <w:r>
        <w:rPr>
          <w:rStyle w:val="FootnoteAnchor"/>
          <w:rtl w:val="true"/>
        </w:rPr>
        <w:footnoteReference w:id="1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فی بدائع الصنائع</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المغنی و الشرح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وقت الاختبار قبل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تعالی</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ابْتَلُوا الْیَتامی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فظاهر الآیة أنّ ابتلاءهم قبل البلوغ لوجهین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سمّاهم یتامی، و إنّما یکونون یتامی قبل البلوغ،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مدّ اختبارهم إلی البلوغ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 علی أنّ الاختبار قبله، و لأنّ تأخیر الاختبار إلی البلوغ مؤدّ إلی الحجر علی البالغ الرشید</w:t>
      </w:r>
      <w:r>
        <w:rPr>
          <w:rFonts w:eastAsia="IRNazanin" w:cs="IRNazanin"/>
          <w:color w:val="111111"/>
          <w:sz w:val="28"/>
          <w:szCs w:val="28"/>
          <w:rtl w:val="true"/>
          <w:lang w:bidi="fa-IR"/>
        </w:rPr>
        <w:t>»</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الکافی، و زاد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یختبر إلاّ المراهق الممیّز الذی یعرف البیع و الشراء</w:t>
      </w:r>
      <w:r>
        <w:rPr>
          <w:rFonts w:eastAsia="IRNazanin" w:cs="IRNazanin"/>
          <w:color w:val="111111"/>
          <w:sz w:val="28"/>
          <w:szCs w:val="28"/>
          <w:rtl w:val="true"/>
          <w:lang w:bidi="fa-IR"/>
        </w:rPr>
        <w:t>»</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عند الشافعیّة فی وقت الاختبار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إلّا بعد البلوغ؛ لأنّ الاختبار أن یدفع إلیه المال لیبیع و یشتری فیه و ینفقه، و هذا لا یصحّ إلّا بعد البلوغ، و أمّا قبل ذلک فهو محجور علیه للصغر</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یصحّ قبل البلوغ؛ لقوله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ابْتَلُوا الْیَتامی حَتّی إِذا بَلَغُوا النِّکاحَ فَإِنْ آنَسْتُمْ مِنْهُمْ رُشْداً فَادْفَعُوا إِلَیْهِمْ أَمْوالَهُمْ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هذا یقتضی أن یکون الاختبار قبل بلوغ الاختبار؛ و لأنّ تأخیر النکاح إلی البلوغ یؤدّی إلی الحجر علی رشید؛ لأنّه قد یبلغ مصلحاً لماله و دینه، 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الاختبار لا یجوز إلّا بعد البلوغ لاستُدیم الحجر علی رشید، و منع من ماله؛ لأنّه لا یدفع إلیه إلّا بعد الاختبار، کما فی البیان</w:t>
      </w:r>
      <w:r>
        <w:rPr>
          <w:rStyle w:val="FootnoteAnchor"/>
          <w:rtl w:val="true"/>
        </w:rPr>
        <w:footnoteReference w:id="1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الحاوی الکبیر</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مغنی المحتاج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المراد بالقبلیّة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الزمن القریب للبلوغ بحیث یظهر رشده لیسلّم إلیه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 البلوغ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لیصحّ تصرّفه، و رُدّ بأنّه یؤدّی إلی أن یحجر علی البالغ الرشید إلی أن یختبر، و هو باطل</w:t>
      </w:r>
      <w:r>
        <w:rPr>
          <w:rFonts w:eastAsia="IRNazanin" w:cs="IRNazanin"/>
          <w:color w:val="111111"/>
          <w:sz w:val="28"/>
          <w:szCs w:val="28"/>
          <w:rtl w:val="true"/>
          <w:lang w:bidi="fa-IR"/>
        </w:rPr>
        <w:t>»</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bookmarkStart w:id="372" w:name="pg11757_135628"/>
    </w:p>
    <w:p>
      <w:pPr>
        <w:pStyle w:val="Heading4"/>
        <w:numPr>
          <w:ilvl w:val="3"/>
          <w:numId w:val="1"/>
        </w:numPr>
        <w:rPr/>
      </w:pPr>
      <w:bookmarkStart w:id="373" w:name="__RefHeading___Toc9696787_73709187"/>
      <w:bookmarkStart w:id="374" w:name="_Toc137"/>
      <w:bookmarkEnd w:id="372"/>
      <w:bookmarkEnd w:id="373"/>
      <w:r>
        <w:rPr>
          <w:rtl w:val="true"/>
        </w:rPr>
        <w:t>المطلب الثالث</w:t>
      </w:r>
      <w:r>
        <w:rPr>
          <w:rtl w:val="true"/>
        </w:rPr>
        <w:t xml:space="preserve">: </w:t>
      </w:r>
      <w:r>
        <w:rPr>
          <w:rtl w:val="true"/>
        </w:rPr>
        <w:t>إثبات الرشد</w:t>
      </w:r>
      <w:bookmarkEnd w:id="374"/>
    </w:p>
    <w:p>
      <w:pPr>
        <w:pStyle w:val="Heading5"/>
        <w:numPr>
          <w:ilvl w:val="4"/>
          <w:numId w:val="1"/>
        </w:numPr>
        <w:rPr/>
      </w:pPr>
      <w:bookmarkStart w:id="375" w:name="__RefHeading___Toc9696789_73709187"/>
      <w:bookmarkStart w:id="376" w:name="_Toc138"/>
      <w:bookmarkEnd w:id="375"/>
      <w:r>
        <w:rPr>
          <w:rtl w:val="true"/>
        </w:rPr>
        <w:t>اشارة</w:t>
      </w:r>
      <w:bookmarkEnd w:id="376"/>
    </w:p>
    <w:p>
      <w:pPr>
        <w:pStyle w:val="BookText"/>
        <w:rPr/>
      </w:pPr>
      <w:r>
        <w:rPr>
          <w:rFonts w:ascii="IRNazanin" w:hAnsi="IRNazanin" w:eastAsia="IRNazanin"/>
          <w:color w:val="111111"/>
          <w:sz w:val="28"/>
          <w:sz w:val="28"/>
          <w:szCs w:val="28"/>
          <w:rtl w:val="true"/>
          <w:lang w:bidi="fa-IR"/>
        </w:rPr>
        <w:t>قال المحقّق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یثبت الرشد بشهادة الرجال فی الرّجال و بشهادة الرجال و النساء فی النساء</w:t>
      </w:r>
      <w:r>
        <w:rPr>
          <w:rStyle w:val="FootnoteAnchor"/>
          <w:rtl w:val="true"/>
        </w:rPr>
        <w:footnoteReference w:id="1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المختصر النافع</w:t>
      </w:r>
      <w:r>
        <w:rPr>
          <w:rStyle w:val="FootnoteAnchor"/>
          <w:rtl w:val="true"/>
        </w:rPr>
        <w:footnoteReference w:id="1398"/>
      </w:r>
      <w:r>
        <w:rPr>
          <w:rFonts w:ascii="IRNazanin" w:hAnsi="IRNazanin" w:eastAsia="IRNazanin"/>
          <w:color w:val="111111"/>
          <w:sz w:val="28"/>
          <w:sz w:val="28"/>
          <w:szCs w:val="28"/>
          <w:rtl w:val="true"/>
          <w:lang w:bidi="fa-IR"/>
        </w:rPr>
        <w:t>و القواعد</w:t>
      </w:r>
      <w:r>
        <w:rPr>
          <w:rStyle w:val="FootnoteAnchor"/>
          <w:rtl w:val="true"/>
        </w:rPr>
        <w:footnoteReference w:id="1399"/>
      </w:r>
      <w:r>
        <w:rPr>
          <w:rFonts w:ascii="IRNazanin" w:hAnsi="IRNazanin" w:eastAsia="IRNazanin"/>
          <w:color w:val="111111"/>
          <w:sz w:val="28"/>
          <w:sz w:val="28"/>
          <w:szCs w:val="28"/>
          <w:rtl w:val="true"/>
          <w:lang w:bidi="fa-IR"/>
        </w:rPr>
        <w:t>و التحریر</w:t>
      </w:r>
      <w:r>
        <w:rPr>
          <w:rStyle w:val="FootnoteAnchor"/>
          <w:rtl w:val="true"/>
        </w:rPr>
        <w:footnoteReference w:id="1400"/>
      </w:r>
      <w:r>
        <w:rPr>
          <w:rFonts w:ascii="IRNazanin" w:hAnsi="IRNazanin" w:eastAsia="IRNazanin"/>
          <w:color w:val="111111"/>
          <w:sz w:val="28"/>
          <w:sz w:val="28"/>
          <w:szCs w:val="28"/>
          <w:rtl w:val="true"/>
          <w:lang w:bidi="fa-IR"/>
        </w:rPr>
        <w:t>و الإرشاد</w:t>
      </w:r>
      <w:r>
        <w:rPr>
          <w:rStyle w:val="FootnoteAnchor"/>
          <w:rtl w:val="true"/>
        </w:rPr>
        <w:footnoteReference w:id="1401"/>
      </w:r>
      <w:r>
        <w:rPr>
          <w:rFonts w:ascii="IRNazanin" w:hAnsi="IRNazanin" w:eastAsia="IRNazanin"/>
          <w:color w:val="111111"/>
          <w:sz w:val="28"/>
          <w:sz w:val="28"/>
          <w:szCs w:val="28"/>
          <w:rtl w:val="true"/>
          <w:lang w:bidi="fa-IR"/>
        </w:rPr>
        <w:t>و الإیضاح</w:t>
      </w:r>
      <w:r>
        <w:rPr>
          <w:rStyle w:val="FootnoteAnchor"/>
          <w:rtl w:val="true"/>
        </w:rPr>
        <w:footnoteReference w:id="1402"/>
      </w:r>
      <w:r>
        <w:rPr>
          <w:rFonts w:ascii="IRNazanin" w:hAnsi="IRNazanin" w:eastAsia="IRNazanin"/>
          <w:color w:val="111111"/>
          <w:sz w:val="28"/>
          <w:sz w:val="28"/>
          <w:szCs w:val="28"/>
          <w:rtl w:val="true"/>
          <w:lang w:bidi="fa-IR"/>
        </w:rPr>
        <w:t>و جامع المقاصد</w:t>
      </w:r>
      <w:r>
        <w:rPr>
          <w:rStyle w:val="FootnoteAnchor"/>
          <w:rtl w:val="true"/>
        </w:rPr>
        <w:footnoteReference w:id="1403"/>
      </w:r>
      <w:r>
        <w:rPr>
          <w:rFonts w:ascii="Amiri" w:hAnsi="Amiri" w:eastAsia="Amiri" w:cs="Amiri"/>
          <w:color w:val="111111"/>
          <w:sz w:val="28"/>
          <w:sz w:val="28"/>
          <w:szCs w:val="28"/>
          <w:rtl w:val="true"/>
          <w:lang w:bidi="ar-SA"/>
        </w:rPr>
        <w:t>و الروضة</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کفایة الأحکام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یثبت بشهادة عدلین مطلقاً،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بشهادة أربع</w:t>
      </w:r>
    </w:p>
    <w:p>
      <w:pPr>
        <w:pStyle w:val="BookText"/>
        <w:rPr/>
      </w:pPr>
      <w:r>
        <w:rPr>
          <w:rFonts w:ascii="IRNazanin" w:hAnsi="IRNazanin" w:eastAsia="IRNazanin"/>
          <w:color w:val="111111"/>
          <w:sz w:val="28"/>
          <w:sz w:val="28"/>
          <w:szCs w:val="28"/>
          <w:rtl w:val="true"/>
          <w:lang w:bidi="fa-IR"/>
        </w:rPr>
        <w:t>نساء فی النساء، و یثبت رشدها بشهادة رجل و امرأتین بطریق أولی</w:t>
      </w:r>
      <w:r>
        <w:rPr>
          <w:rFonts w:eastAsia="IRNazanin" w:cs="IRNazanin"/>
          <w:color w:val="111111"/>
          <w:sz w:val="28"/>
          <w:szCs w:val="28"/>
          <w:rtl w:val="true"/>
          <w:lang w:bidi="fa-IR"/>
        </w:rPr>
        <w:t>»</w:t>
      </w:r>
      <w:r>
        <w:rPr>
          <w:rStyle w:val="FootnoteAnchor"/>
          <w:rtl w:val="true"/>
        </w:rPr>
        <w:footnoteReference w:id="1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غیرها</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الدلیل علی إثبات الرشد بشهادة الرجال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ما دلّ علی قبول شهادة العدلین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الاتّفاق و الإجماع کما ادّعاه فی الریاض،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فی الظاهر، بل علیه الإجماع فی کثیر من العبارات، و هو الحجّة</w:t>
      </w:r>
      <w:r>
        <w:rPr>
          <w:rFonts w:eastAsia="IRNazanin" w:cs="IRNazanin"/>
          <w:color w:val="111111"/>
          <w:sz w:val="28"/>
          <w:szCs w:val="28"/>
          <w:rtl w:val="true"/>
          <w:lang w:bidi="fa-IR"/>
        </w:rPr>
        <w:t>»</w:t>
      </w:r>
      <w:r>
        <w:rPr>
          <w:rStyle w:val="FootnoteAnchor"/>
          <w:rtl w:val="true"/>
        </w:rPr>
        <w:footnoteReference w:id="1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الجواهر</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لزم الاقتصار فی ثبوت الرشد علی الاختبار لزم الحرج العظیم، و هو منفی شرعاً، أشار إلیه فی مجمع الفائدة و البرهان</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فحوی ما دلّ علی ثبوت البلوغ و العقل و العدالة و نحوها بشهادة العدلین، کما فی المناهل</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تمسّک به أیضاً فی الریاض، فإنّ أکثر الموضوعات الصرفة المشتبهة یثبت بشهادتهما، فکذا هنا</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الدلیل علی قبول شهادة النساء منفردات أو مع التلفیق لإثبات الرشد فی النساء أیضاً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الذی ادّعاه فی الریاض</w:t>
      </w:r>
      <w:r>
        <w:rPr>
          <w:rStyle w:val="FootnoteAnchor"/>
          <w:rtl w:val="true"/>
        </w:rPr>
        <w:footnoteReference w:id="1412"/>
      </w:r>
      <w:r>
        <w:rPr>
          <w:rFonts w:ascii="IRNazanin" w:hAnsi="IRNazanin" w:eastAsia="IRNazanin"/>
          <w:color w:val="111111"/>
          <w:sz w:val="28"/>
          <w:sz w:val="28"/>
          <w:szCs w:val="28"/>
          <w:rtl w:val="true"/>
          <w:lang w:bidi="fa-IR"/>
        </w:rPr>
        <w:t>، 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أجده فیه</w:t>
      </w:r>
      <w:r>
        <w:rPr>
          <w:rFonts w:eastAsia="IRNazanin" w:cs="IRNazanin"/>
          <w:color w:val="111111"/>
          <w:sz w:val="28"/>
          <w:szCs w:val="28"/>
          <w:rtl w:val="true"/>
          <w:lang w:bidi="fa-IR"/>
        </w:rPr>
        <w:t>»</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المستفیضة الدالّة علی الاکتفاء بشهادتهنّ منفردات فیما لا یطّلع علیه الرجال</w:t>
      </w:r>
      <w:r>
        <w:rPr>
          <w:rStyle w:val="FootnoteAnchor"/>
          <w:rtl w:val="true"/>
        </w:rPr>
        <w:footnoteReference w:id="1414"/>
      </w:r>
      <w:r>
        <w:rPr>
          <w:rFonts w:ascii="IRNazanin" w:hAnsi="IRNazanin" w:eastAsia="IRNazanin"/>
          <w:color w:val="111111"/>
          <w:sz w:val="28"/>
          <w:sz w:val="28"/>
          <w:szCs w:val="28"/>
          <w:rtl w:val="true"/>
          <w:lang w:bidi="fa-IR"/>
        </w:rPr>
        <w:t>غالباً، بناءً علی کون رشد النساء کذلک،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العلل و عیون الأخبار بأسانیده إلی محمّد بن سنان عن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تجوز شهادتهنّ إلّا فی موضع ضرورة،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القابلة و ما لا یجوز للرجال أن ینظروا إلیه، کضرورة تجویز شهادة أهل الکتاب</w:t>
      </w:r>
      <w:r>
        <w:rPr>
          <w:rFonts w:eastAsia="IRNazanin" w:cs="IRNazanin"/>
          <w:color w:val="111111"/>
          <w:sz w:val="28"/>
          <w:szCs w:val="28"/>
          <w:rtl w:val="true"/>
          <w:lang w:bidi="fa-IR"/>
        </w:rPr>
        <w:t>»</w:t>
      </w:r>
      <w:r>
        <w:rPr>
          <w:rStyle w:val="FootnoteAnchor"/>
          <w:rtl w:val="true"/>
        </w:rPr>
        <w:footnoteReference w:id="1415"/>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أشار إلیه فی الریاض</w:t>
      </w:r>
      <w:r>
        <w:rPr>
          <w:rStyle w:val="FootnoteAnchor"/>
          <w:rtl w:val="true"/>
        </w:rPr>
        <w:footnoteReference w:id="1416"/>
      </w:r>
      <w:r>
        <w:rPr>
          <w:rFonts w:ascii="IRNazanin" w:hAnsi="IRNazanin" w:eastAsia="IRNazanin"/>
          <w:color w:val="111111"/>
          <w:sz w:val="28"/>
          <w:sz w:val="28"/>
          <w:szCs w:val="28"/>
          <w:rtl w:val="true"/>
          <w:lang w:bidi="fa-IR"/>
        </w:rPr>
        <w:t>و المناهل</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أورد علیه فی الجواهر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لا یخلو من بحث لو لا الاعتضاد باتّفاق الأصحاب ظاهراً علیه</w:t>
      </w:r>
      <w:r>
        <w:rPr>
          <w:rFonts w:eastAsia="IRNazanin" w:cs="IRNazanin"/>
          <w:color w:val="111111"/>
          <w:sz w:val="28"/>
          <w:szCs w:val="28"/>
          <w:rtl w:val="true"/>
          <w:lang w:bidi="fa-IR"/>
        </w:rPr>
        <w:t>»</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رشد المرأة ممّا لا یطّلع علیه الرجال غالباً، فلو اقتصرنا فی ثبوت رشدهنّ علی شهادة الرجال لزم الحرج و الضیق، کما فی المسالک</w:t>
      </w:r>
      <w:r>
        <w:rPr>
          <w:rStyle w:val="FootnoteAnchor"/>
          <w:rtl w:val="true"/>
        </w:rPr>
        <w:footnoteReference w:id="1419"/>
      </w:r>
      <w:r>
        <w:rPr>
          <w:rFonts w:ascii="IRNazanin" w:hAnsi="IRNazanin" w:eastAsia="IRNazanin"/>
          <w:color w:val="111111"/>
          <w:sz w:val="28"/>
          <w:sz w:val="28"/>
          <w:szCs w:val="28"/>
          <w:rtl w:val="true"/>
          <w:lang w:bidi="fa-IR"/>
        </w:rPr>
        <w:t>، و إلیه أشار فی الشرائع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دفعاً لمشقّة الاقتصار</w:t>
      </w:r>
      <w:r>
        <w:rPr>
          <w:rFonts w:eastAsia="IRNazanin" w:cs="IRNazanin"/>
          <w:color w:val="111111"/>
          <w:sz w:val="28"/>
          <w:szCs w:val="28"/>
          <w:rtl w:val="true"/>
          <w:lang w:bidi="fa-IR"/>
        </w:rPr>
        <w:t>»</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صرّح بعضهم بأنّ الخنثی أیضاً کالاُنثی، ففی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الخناثی</w:t>
      </w:r>
    </w:p>
    <w:p>
      <w:pPr>
        <w:pStyle w:val="BookText"/>
        <w:rPr/>
      </w:pPr>
      <w:r>
        <w:rPr>
          <w:rFonts w:ascii="IRNazanin" w:hAnsi="IRNazanin" w:eastAsia="IRNazanin"/>
          <w:color w:val="111111"/>
          <w:sz w:val="28"/>
          <w:sz w:val="28"/>
          <w:szCs w:val="28"/>
          <w:rtl w:val="true"/>
          <w:lang w:bidi="fa-IR"/>
        </w:rPr>
        <w:t>کالنساء علی الظاهر</w:t>
      </w:r>
      <w:r>
        <w:rPr>
          <w:rFonts w:eastAsia="IRNazanin" w:cs="IRNazanin"/>
          <w:color w:val="111111"/>
          <w:sz w:val="28"/>
          <w:szCs w:val="28"/>
          <w:rtl w:val="true"/>
          <w:lang w:bidi="fa-IR"/>
        </w:rPr>
        <w:t>»</w:t>
      </w:r>
      <w:r>
        <w:rPr>
          <w:rStyle w:val="FootnoteAnchor"/>
          <w:rtl w:val="true"/>
        </w:rPr>
        <w:footnoteReference w:id="1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المناهل</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یعتبر فی الثبوت بالشهادة ما یعتبر فی الشهادة من الشرائط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العدالة و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فی الشرح الصغیر</w:t>
      </w:r>
      <w:r>
        <w:rPr>
          <w:rStyle w:val="FootnoteAnchor"/>
          <w:rtl w:val="true"/>
        </w:rPr>
        <w:footnoteReference w:id="1423"/>
      </w:r>
      <w:r>
        <w:rPr>
          <w:rFonts w:ascii="IRNazanin" w:hAnsi="IRNazanin" w:eastAsia="IRNazanin"/>
          <w:color w:val="111111"/>
          <w:sz w:val="28"/>
          <w:sz w:val="28"/>
          <w:szCs w:val="28"/>
          <w:rtl w:val="true"/>
          <w:lang w:bidi="fa-IR"/>
        </w:rPr>
        <w:t>و الریاض</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إنّما الکلام فی اعتبار قیام بیّنة الرشد عند الحاکم و حکمه بها فی الثبوت،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الأصحاب فی ذلک علی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الإقامة عند الحاکم</w:t>
      </w:r>
    </w:p>
    <w:p>
      <w:p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یثبت الرشد عند الحاکم بشهادة رجلین عدلین فی الرجال، و فی النساء أیضاً</w:t>
      </w:r>
      <w:r>
        <w:rPr>
          <w:rFonts w:eastAsia="IRNazanin" w:cs="IRNazanin"/>
          <w:color w:val="111111"/>
          <w:sz w:val="28"/>
          <w:szCs w:val="28"/>
          <w:rtl w:val="true"/>
          <w:lang w:bidi="fa-IR"/>
        </w:rPr>
        <w:t>»</w:t>
      </w:r>
      <w:r>
        <w:rPr>
          <w:rStyle w:val="FootnoteAnchor"/>
          <w:rtl w:val="true"/>
        </w:rPr>
        <w:footnoteReference w:id="1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الشرح الصغیر</w:t>
      </w:r>
      <w:r>
        <w:rPr>
          <w:rStyle w:val="FootnoteAnchor"/>
          <w:rtl w:val="true"/>
        </w:rPr>
        <w:footnoteReference w:id="1426"/>
      </w:r>
      <w:r>
        <w:rPr>
          <w:rFonts w:ascii="IRNazanin" w:hAnsi="IRNazanin" w:eastAsia="IRNazanin"/>
          <w:color w:val="111111"/>
          <w:sz w:val="28"/>
          <w:sz w:val="28"/>
          <w:szCs w:val="28"/>
          <w:rtl w:val="true"/>
          <w:lang w:bidi="fa-IR"/>
        </w:rPr>
        <w:t>و الریاض</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علّله فی الجواهر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لمعلومیّة اعتبار الحاکم فی الشهادة، و الغرض أنّ المقام من موضوعها، و إلّا لاکتفی بخبر الواحد</w:t>
      </w:r>
      <w:r>
        <w:rPr>
          <w:rFonts w:eastAsia="IRNazanin" w:cs="IRNazanin"/>
          <w:color w:val="111111"/>
          <w:sz w:val="28"/>
          <w:szCs w:val="28"/>
          <w:rtl w:val="true"/>
          <w:lang w:bidi="fa-IR"/>
        </w:rPr>
        <w:t>»</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الإقامة عند الحاکم</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یستفاد من إطلاق کلام کثیر من الأصحاب أنّه لا یتوقّف ثبوت الرشد بشهادة الرجال و النساء بإقامتها عند الحاکم، بل یکفی قیامها بعد معلومیّة</w:t>
      </w:r>
    </w:p>
    <w:p>
      <w:pPr>
        <w:pStyle w:val="BookText"/>
        <w:rPr/>
      </w:pPr>
      <w:r>
        <w:rPr>
          <w:rFonts w:ascii="IRNazanin" w:hAnsi="IRNazanin" w:eastAsia="IRNazanin"/>
          <w:color w:val="111111"/>
          <w:sz w:val="28"/>
          <w:sz w:val="28"/>
          <w:szCs w:val="28"/>
          <w:rtl w:val="true"/>
          <w:lang w:bidi="fa-IR"/>
        </w:rPr>
        <w:t>جمعها للشرائط من العدالة و نحوها عند من فی یده المال، و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مجمع الفائدة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دلیل الاشتراط غیر ظاهر</w:t>
      </w:r>
      <w:r>
        <w:rPr>
          <w:rFonts w:eastAsia="IRNazanin" w:cs="IRNazanin"/>
          <w:color w:val="111111"/>
          <w:sz w:val="28"/>
          <w:szCs w:val="28"/>
          <w:rtl w:val="true"/>
          <w:lang w:bidi="fa-IR"/>
        </w:rPr>
        <w:t>»</w:t>
      </w:r>
      <w:r>
        <w:rPr>
          <w:rStyle w:val="FootnoteAnchor"/>
          <w:rtl w:val="true"/>
        </w:rPr>
        <w:footnoteReference w:id="1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المناهل</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جامع 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یظهر وجه لاشتراط الحجر أو رفعه بحکم الحاکم، بل الإطلاق علی خلافه</w:t>
      </w:r>
      <w:r>
        <w:rPr>
          <w:rFonts w:eastAsia="IRNazanin" w:cs="IRNazanin"/>
          <w:color w:val="111111"/>
          <w:sz w:val="28"/>
          <w:szCs w:val="28"/>
          <w:rtl w:val="true"/>
          <w:lang w:bidi="fa-IR"/>
        </w:rPr>
        <w:t>»</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یقوی الثانی</w:t>
      </w:r>
      <w:r>
        <w:rPr>
          <w:rFonts w:eastAsia="IRNazanin" w:cs="IRNazanin"/>
          <w:color w:val="111111"/>
          <w:sz w:val="28"/>
          <w:szCs w:val="28"/>
          <w:rtl w:val="true"/>
          <w:lang w:bidi="fa-IR"/>
        </w:rPr>
        <w:t>»</w:t>
      </w:r>
      <w:r>
        <w:rPr>
          <w:rStyle w:val="FootnoteAnchor"/>
          <w:rtl w:val="true"/>
        </w:rPr>
        <w:footnoteReference w:id="1432"/>
      </w:r>
      <w:r>
        <w:rPr>
          <w:rFonts w:ascii="IRNazanin" w:hAnsi="IRNazanin" w:eastAsia="IRNazanin"/>
          <w:color w:val="111111"/>
          <w:sz w:val="28"/>
          <w:sz w:val="28"/>
          <w:szCs w:val="28"/>
          <w:rtl w:val="true"/>
          <w:lang w:bidi="fa-IR"/>
        </w:rPr>
        <w:t>، أی عدم اعتبار إقامة الشهود عند الحاکم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استدلّ‌</w:t>
      </w:r>
      <w:r>
        <w:rPr>
          <w:rStyle w:val="FootnoteAnchor"/>
          <w:rtl w:val="true"/>
        </w:rPr>
        <w:footnoteReference w:id="1433"/>
      </w:r>
      <w:r>
        <w:rPr>
          <w:rFonts w:ascii="IRNazanin" w:hAnsi="IRNazanin" w:eastAsia="IRNazanin"/>
          <w:color w:val="111111"/>
          <w:sz w:val="28"/>
          <w:sz w:val="28"/>
          <w:szCs w:val="28"/>
          <w:rtl w:val="true"/>
          <w:lang w:bidi="fa-IR"/>
        </w:rPr>
        <w:t>للحکم المذکور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الأصحاب الّذین تقدّمت الإشارة إلی کلماتهم أطلقوا ثبوت الرشد بالشهادة و لم ینبّهوا علی توقّف حکم الحاکم، و لو کان موقوفاً علیه لوقع منهم أو من بعضهم التنبیه علیه؛ لأنّ ذلک عادتهم، کما فی المناهل</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یصدق الرشد الذی هو شرط فی الآیة و الأخبار الدالّة علی التسلیم مع ثبوت کونه رشیداً عند المتصرّف من غیر قید حکم الحاکم، ذکره فی مجمع الفائدة و البرهان، ثمّ أمر بالتأمّل و زاد و لهذا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فکّ حجر الصبیّ لیس بموقوف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البلوغ و الرشد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حکم الحاکم</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ما دلّ علی جواز قبول شهادة العدلین کقوله علیه السلام فی موثّقة</w:t>
      </w:r>
    </w:p>
    <w:p>
      <w:pPr>
        <w:pStyle w:val="BookText"/>
        <w:rPr/>
      </w:pPr>
      <w:r>
        <w:rPr>
          <w:rFonts w:ascii="IRNazanin" w:hAnsi="IRNazanin" w:eastAsia="IRNazanin"/>
          <w:color w:val="111111"/>
          <w:sz w:val="28"/>
          <w:sz w:val="28"/>
          <w:szCs w:val="28"/>
          <w:rtl w:val="true"/>
          <w:lang w:bidi="fa-IR"/>
        </w:rPr>
        <w:t>مسعدة ابن صدقة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الأشیاء کُلّها علی هذا حتّی یستبین لک غیر ذلک، أو تقوم به البیّنة</w:t>
      </w:r>
      <w:r>
        <w:rPr>
          <w:rFonts w:eastAsia="IRNazanin" w:cs="IRNazanin"/>
          <w:color w:val="111111"/>
          <w:sz w:val="28"/>
          <w:szCs w:val="28"/>
          <w:rtl w:val="true"/>
          <w:lang w:bidi="fa-IR"/>
        </w:rPr>
        <w:t>»</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لعموم قبول البیّنة و منع اشتراطها بالحاکم فی المقام و أمثاله الذی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یکتفی فیه بالظاهر</w:t>
      </w:r>
      <w:r>
        <w:rPr>
          <w:rFonts w:eastAsia="IRNazanin" w:cs="IRNazanin"/>
          <w:color w:val="111111"/>
          <w:sz w:val="28"/>
          <w:szCs w:val="28"/>
          <w:rtl w:val="true"/>
          <w:lang w:bidi="fa-IR"/>
        </w:rPr>
        <w:t>»</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یستفاد من هذه الروایة و غیرها ممّا ورد فی بمضمونها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البیّنة حجّة شرعاً و معتبرة فی إثبات الموضوعات المذکورة فی الحدیث، فتترتّب علیها أحکامها، و حیث 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محلّی باللام، و هو من ألفاظ العموم و لا سیّما مع تأکیده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فنتعدّی إلی سائر الموضوعات الّتی لها أحکام،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الاستدلال بالحدیث المتقدّم لتعمیم حجّیة البیّنة فی الموضوعات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علمنا خارجاً أنّ الشارع کان یعتمد علی إخبار العدلین فی المخاصمات و فی موارد القضاء بین الناس، استکشفنا من ذلک أنّ إخبار العدلین أیضاً من مصادیق الحجّة، و ما به البیان، و بهذا نحرز أنّه حجّة علی نحو الإطلاق من غیر أن یختصّ اعتباره بموارد الخصومة و القضاء؛ لأنّ اعتماد الشارع علیه یدلّنا علی أنّ أخبار العدلین حجّة معتبرة فی مرتبة سابقة علی القضاء، لا أنّه صار حجّة بنفس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غایة ما أمکننا من إقامة الدلیل علی حجیّة البیّنة فی الموضوعات</w:t>
      </w:r>
      <w:r>
        <w:rPr>
          <w:rFonts w:eastAsia="IRNazanin" w:cs="IRNazanin"/>
          <w:color w:val="111111"/>
          <w:sz w:val="28"/>
          <w:szCs w:val="28"/>
          <w:rtl w:val="true"/>
          <w:lang w:bidi="fa-IR"/>
        </w:rPr>
        <w:t>»</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فحوی ما دلّ علی ثبوت الهلال و العدالة بالشهادة مطلقاً</w:t>
      </w:r>
      <w:r>
        <w:rPr>
          <w:rStyle w:val="FootnoteAnchor"/>
          <w:rtl w:val="true"/>
        </w:rPr>
        <w:footnoteReference w:id="1439"/>
      </w:r>
      <w:r>
        <w:rPr>
          <w:rFonts w:ascii="IRNazanin" w:hAnsi="IRNazanin" w:eastAsia="IRNazanin"/>
          <w:color w:val="111111"/>
          <w:sz w:val="28"/>
          <w:sz w:val="28"/>
          <w:szCs w:val="28"/>
          <w:rtl w:val="true"/>
          <w:lang w:bidi="fa-IR"/>
        </w:rPr>
        <w:t>و لو لم</w:t>
      </w:r>
      <w:bookmarkStart w:id="377" w:name="pg11757_135634"/>
    </w:p>
    <w:p>
      <w:pPr>
        <w:pStyle w:val="BookText"/>
        <w:rPr/>
      </w:pPr>
      <w:bookmarkEnd w:id="377"/>
      <w:r>
        <w:rPr>
          <w:rFonts w:ascii="IRNazanin" w:hAnsi="IRNazanin" w:eastAsia="IRNazanin"/>
          <w:color w:val="111111"/>
          <w:sz w:val="28"/>
          <w:sz w:val="28"/>
          <w:szCs w:val="28"/>
          <w:rtl w:val="true"/>
          <w:lang w:bidi="fa-IR"/>
        </w:rPr>
        <w:t>یحکم الحاکم بهما، کما فی المناهل</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القطعیّة علی معاملة مجهول الحال معاملة الرّشید، و لا یلزم إلی حکم الحاکم، کما أشار إلیه فی الجواهر</w:t>
      </w:r>
      <w:r>
        <w:rPr>
          <w:rStyle w:val="FootnoteAnchor"/>
          <w:rtl w:val="true"/>
        </w:rPr>
        <w:footnoteReference w:id="1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جامع المدارک</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التوقّف علی الحکم مع توفّر الدواعی علی ثبوت الرشد یستلزم الحرج العظیم و المشقّة الشدیدة، لفقد الحاکم فی أکثر الأمکنة، و عدم التمکّن من الوصول إلیه فی أکثر الأزمنة غالباً، کما فی المناهل</w:t>
      </w:r>
      <w:r>
        <w:rPr>
          <w:rStyle w:val="FootnoteAnchor"/>
          <w:rtl w:val="true"/>
        </w:rPr>
        <w:footnoteReference w:id="1443"/>
      </w:r>
      <w:r>
        <w:rPr>
          <w:rFonts w:ascii="IRNazanin" w:hAnsi="IRNazanin" w:eastAsia="IRNazanin"/>
          <w:color w:val="111111"/>
          <w:sz w:val="28"/>
          <w:sz w:val="28"/>
          <w:szCs w:val="28"/>
          <w:rtl w:val="true"/>
          <w:lang w:bidi="fa-IR"/>
        </w:rPr>
        <w:t>، و فی مجمع الفائدة و البرهان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دفعاً للحرج</w:t>
      </w:r>
      <w:r>
        <w:rPr>
          <w:rFonts w:eastAsia="IRNazanin" w:cs="IRNazanin"/>
          <w:color w:val="111111"/>
          <w:sz w:val="28"/>
          <w:szCs w:val="28"/>
          <w:rtl w:val="true"/>
          <w:lang w:bidi="fa-IR"/>
        </w:rPr>
        <w:t>»</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8" w:name="__RefHeading___Toc9696791_73709187"/>
      <w:bookmarkStart w:id="379" w:name="_Toc139"/>
      <w:bookmarkEnd w:id="378"/>
      <w:r>
        <w:rPr>
          <w:rtl w:val="true"/>
        </w:rPr>
        <w:t>إثبات الرشد بخبر الثقة</w:t>
      </w:r>
      <w:bookmarkEnd w:id="379"/>
    </w:p>
    <w:p>
      <w:pPr>
        <w:pStyle w:val="BookText"/>
        <w:rPr/>
      </w:pPr>
      <w:r>
        <w:rPr>
          <w:rFonts w:ascii="IRNazanin" w:hAnsi="IRNazanin" w:eastAsia="IRNazanin"/>
          <w:color w:val="111111"/>
          <w:sz w:val="28"/>
          <w:sz w:val="28"/>
          <w:szCs w:val="28"/>
          <w:rtl w:val="true"/>
          <w:lang w:bidi="fa-IR"/>
        </w:rPr>
        <w:t>اختلف الأصحاب فی أنّه هل یکون خبر الثقة حجّة فی الموضوعات أم لا؟ و لهم فی ذلک قولان؛ و البحث فیه فی محلّه، و الذی نشیر إلیه هنا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یمکن أن یثبت الرشد بخبر الثّقة أیضاً کما صرّح به بعض الأعلام</w:t>
      </w:r>
      <w:r>
        <w:rPr>
          <w:rStyle w:val="FootnoteAnchor"/>
          <w:rtl w:val="true"/>
        </w:rPr>
        <w:footnoteReference w:id="1445"/>
      </w:r>
      <w:r>
        <w:rPr>
          <w:rFonts w:ascii="IRNazanin" w:hAnsi="IRNazanin" w:eastAsia="IRNazanin"/>
          <w:color w:val="111111"/>
          <w:sz w:val="28"/>
          <w:sz w:val="28"/>
          <w:szCs w:val="28"/>
          <w:rtl w:val="true"/>
          <w:lang w:bidi="fa-IR"/>
        </w:rPr>
        <w:t>؛ لأنّه حجّة فی الموضوعات، کما هو حجّة فی الأحکام، و الدلیل علی اعتباره فی الموضوعات هو الدّلیل علی حجّیّته فی الأحکام، و العمدة فی ذلک هو السیرة العقلائیّة القطعیّة؛ لأنّهم لا یزالون یعتمدون علی أخبار الآحاد فیما یرجع إلی معاشهم و معادهم، و حیث لم یردع عنها فی الشریعة المقدّسة فتکون حجّة</w:t>
      </w:r>
    </w:p>
    <w:p>
      <w:pPr>
        <w:pStyle w:val="BookText"/>
        <w:rPr/>
      </w:pPr>
      <w:r>
        <w:rPr>
          <w:rFonts w:ascii="IRNazanin" w:hAnsi="IRNazanin" w:eastAsia="IRNazanin"/>
          <w:color w:val="111111"/>
          <w:sz w:val="28"/>
          <w:sz w:val="28"/>
          <w:szCs w:val="28"/>
          <w:rtl w:val="true"/>
          <w:lang w:bidi="fa-IR"/>
        </w:rPr>
        <w:t>ممضاة من قبل الشارع، بلا فرق فی ذلک بین الموضوعات و الأحکام، و قد یتوهّم کما عن غیر واحد منهم أنّ السیرة مردوعة بما ورد فی ذیل روایة مسعدة بن صدقة المتقدّمة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الأشیاء کلّها علی هذا حتّی یستبین لک غیر ذلک أو تقوم به البیّنة</w:t>
      </w:r>
      <w:r>
        <w:rPr>
          <w:rFonts w:eastAsia="IRNazanin" w:cs="IRNazanin"/>
          <w:color w:val="111111"/>
          <w:sz w:val="28"/>
          <w:szCs w:val="28"/>
          <w:rtl w:val="true"/>
          <w:lang w:bidi="fa-IR"/>
        </w:rPr>
        <w:t>»</w:t>
      </w:r>
      <w:r>
        <w:rPr>
          <w:rStyle w:val="FootnoteAnchor"/>
          <w:rtl w:val="true"/>
        </w:rPr>
        <w:footnoteReference w:id="1446"/>
      </w:r>
      <w:r>
        <w:rPr>
          <w:rFonts w:ascii="IRNazanin" w:hAnsi="IRNazanin" w:eastAsia="IRNazanin"/>
          <w:color w:val="111111"/>
          <w:sz w:val="28"/>
          <w:sz w:val="28"/>
          <w:szCs w:val="28"/>
          <w:rtl w:val="true"/>
          <w:lang w:bidi="fa-IR"/>
        </w:rPr>
        <w:t>، حیث حصر ما یثبت به الشیء فی الاستبانة و قیام البیّنة علیه، فلو کان خبر العدل کالبیّنة معتبراً شرعاً لبیّنه علیه السلام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لیست بصدد حصر المثبت فیهما؛ لوضوح أنّ الاستصحاب أیضاً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ذکر إخبار العادل فی قبال البیّنة و العلم إنّما هو لأجل خصوصیّة فی مورد الروایة، و هی أنّ الحلّیّة فی مفروض الروایة کانت مستندة إلی قاعدة الید فی مسألة الثوب، و من المعلوم أنّه لا اعتبار لإخبار العادل مع الید، و کأنّه علیه السلام بصدد بیان ما هو معتبر فی جمیع الموارد علی وجه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فی الروایة بمعنی الحجّة و ما به البیان، و هو الّذی دلّت الروایة علی اعتباره فی قبال العلم الوجدانی، و أمّا أنّ الحجّة أیّ شیء فلا دلالة للروایة علیه، و لا بدّ من إحراز مصادیقها من الخارج، کما قال به السیّد الخوئی رحمه الله</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اجیب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روایة مسعدة بن صدقة لا یمکن أن تکون رادعة عن السیرة علی حجّیة خبر الثقة؛ لأنّها بنفسها خبر ثقة فلو ردعت عن السیرة لزم منه أن تردع عن نفسها، فیلزم من حجّیتها عدم حجّیتها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ردّ بأنّ المدّعی ردع خبر مسعدة عن العمل بالخبر فی الشبهات</w:t>
      </w:r>
      <w:bookmarkStart w:id="380" w:name="pg11757_135636"/>
    </w:p>
    <w:p>
      <w:pPr>
        <w:pStyle w:val="BookText"/>
        <w:rPr/>
      </w:pPr>
      <w:bookmarkEnd w:id="380"/>
      <w:r>
        <w:rPr>
          <w:rFonts w:ascii="IRNazanin" w:hAnsi="IRNazanin" w:eastAsia="IRNazanin"/>
          <w:color w:val="111111"/>
          <w:sz w:val="28"/>
          <w:sz w:val="28"/>
          <w:szCs w:val="28"/>
          <w:rtl w:val="true"/>
          <w:lang w:bidi="fa-IR"/>
        </w:rPr>
        <w:t>الموضوعیّة، و هو نفسه خبر فی الشبهة الحکمیّة لا الموضوعیّة، فلا یشمله الردع</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لکن مع ذلک استشکل بعض الأعلام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إقامة الدلیل علی حجّیة خبر الثقة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غایة الإشکال، و أنّ نفس اعتبار البیّنة و جعل الحجّیّة لها دلیل علی أنّه لا یجوز الاکتفاء بالواحد مقام المتعدّد، و بالوثاقة مقام العدالة</w:t>
      </w:r>
      <w:r>
        <w:rPr>
          <w:rFonts w:eastAsia="IRNazanin" w:cs="IRNazanin"/>
          <w:color w:val="111111"/>
          <w:sz w:val="28"/>
          <w:szCs w:val="28"/>
          <w:rtl w:val="true"/>
          <w:lang w:bidi="fa-IR"/>
        </w:rPr>
        <w:t>»</w:t>
      </w:r>
      <w:r>
        <w:rPr>
          <w:rStyle w:val="FootnoteAnchor"/>
          <w:rtl w:val="true"/>
        </w:rPr>
        <w:footnoteReference w:id="1449"/>
      </w:r>
      <w:r>
        <w:rPr>
          <w:rFonts w:ascii="IRNazanin" w:hAnsi="IRNazanin" w:eastAsia="IRNazanin"/>
          <w:color w:val="111111"/>
          <w:sz w:val="28"/>
          <w:sz w:val="28"/>
          <w:szCs w:val="28"/>
          <w:rtl w:val="true"/>
          <w:lang w:bidi="fa-IR"/>
        </w:rPr>
        <w:t>، و للبحث فی ذلک المقام مجال واسع نسأل اللّه أن یوفّقنا لتکمیله فی مقام مناسب</w:t>
      </w:r>
      <w:r>
        <w:rPr>
          <w:rFonts w:eastAsia="IRNazanin" w:cs="IRNazanin"/>
          <w:color w:val="111111"/>
          <w:sz w:val="28"/>
          <w:szCs w:val="28"/>
          <w:rtl w:val="true"/>
          <w:lang w:bidi="fa-IR"/>
        </w:rPr>
        <w:t>.</w:t>
      </w:r>
    </w:p>
    <w:p>
      <w:pPr>
        <w:pStyle w:val="Heading5"/>
        <w:numPr>
          <w:ilvl w:val="4"/>
          <w:numId w:val="1"/>
        </w:numPr>
        <w:rPr/>
      </w:pPr>
      <w:bookmarkStart w:id="381" w:name="__RefHeading___Toc9696793_73709187"/>
      <w:bookmarkStart w:id="382" w:name="_Toc140"/>
      <w:bookmarkEnd w:id="381"/>
      <w:r>
        <w:rPr>
          <w:rtl w:val="true"/>
        </w:rPr>
        <w:t>فرع</w:t>
      </w:r>
      <w:bookmarkEnd w:id="382"/>
    </w:p>
    <w:p>
      <w:pPr>
        <w:pStyle w:val="BookText"/>
        <w:rPr/>
      </w:pPr>
      <w:r>
        <w:rPr>
          <w:rFonts w:ascii="IRNazanin" w:hAnsi="IRNazanin" w:eastAsia="IRNazanin"/>
          <w:color w:val="111111"/>
          <w:sz w:val="28"/>
          <w:sz w:val="28"/>
          <w:szCs w:val="28"/>
          <w:rtl w:val="true"/>
          <w:lang w:bidi="fa-IR"/>
        </w:rPr>
        <w:t>قال فی جامع 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صورة الشکّ فی الرشد، فإن کان قبل البلوغ أو بعده قبل مضیّ مدّة، فلا بدّ من رفعه بالاختبار أو بشهادة البیّنة، و لا یبعد الاکتفاء بما یوجب الوثوق و الاطمئنان؛ لاعتماد العقلاء و إمضاء هذا البناء من طرف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بعد مضیّ مدّة من البلوغ فالظاهر عدم الحاجة إلی ما ذکر؛ لقیام السیرة علی المعاملة مع المجهول الحال معاملة الرشید</w:t>
      </w:r>
      <w:r>
        <w:rPr>
          <w:rFonts w:eastAsia="IRNazanin" w:cs="IRNazanin"/>
          <w:color w:val="111111"/>
          <w:sz w:val="28"/>
          <w:szCs w:val="28"/>
          <w:rtl w:val="true"/>
          <w:lang w:bidi="fa-IR"/>
        </w:rPr>
        <w:t>»</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نعثر علی نصّ لأهل السنّة فی مسألة إثبات الرشد فی کتبهم التی بأیدینا، و لکن جاء فی الفقه الإسلامی و أدلّته فی مسألة انفکاک الحجر ما هذا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فذات الأب لا ینفکّ الحجر عنها إذا لم یرشدها أبوها، إلّا باُمور أربعة، بلوغها، و حسن تصرّفها، و شهادة العدول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ذات 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ینفکّ الحجر عنها إلاّ باُمور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 حسن تصرّفها، و شهادة البیّنة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دخول الزوج بها، و فکّ الوصیّ حجرها بترشیدها</w:t>
      </w:r>
      <w:r>
        <w:rPr>
          <w:rFonts w:eastAsia="IRNazanin" w:cs="IRNazanin"/>
          <w:color w:val="111111"/>
          <w:sz w:val="28"/>
          <w:szCs w:val="28"/>
          <w:rtl w:val="true"/>
          <w:lang w:bidi="fa-IR"/>
        </w:rPr>
        <w:t>»</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bookmarkStart w:id="383" w:name="pg11757_135640"/>
    </w:p>
    <w:p>
      <w:pPr>
        <w:pStyle w:val="Heading3"/>
        <w:numPr>
          <w:ilvl w:val="2"/>
          <w:numId w:val="1"/>
        </w:numPr>
        <w:rPr/>
      </w:pPr>
      <w:bookmarkStart w:id="384" w:name="__RefHeading___Toc9696795_73709187"/>
      <w:bookmarkStart w:id="385" w:name="_Toc141"/>
      <w:bookmarkEnd w:id="383"/>
      <w:bookmarkEnd w:id="384"/>
      <w:r>
        <w:rPr>
          <w:rtl w:val="true"/>
        </w:rPr>
        <w:t>الفصل السابع</w:t>
      </w:r>
      <w:r>
        <w:rPr>
          <w:rtl w:val="true"/>
        </w:rPr>
        <w:t xml:space="preserve">: </w:t>
      </w:r>
      <w:r>
        <w:rPr>
          <w:rtl w:val="true"/>
        </w:rPr>
        <w:t>ضمان الصبیّ و کفالته و حوالته</w:t>
      </w:r>
      <w:bookmarkEnd w:id="385"/>
    </w:p>
    <w:p>
      <w:pPr>
        <w:pStyle w:val="Heading4"/>
        <w:numPr>
          <w:ilvl w:val="3"/>
          <w:numId w:val="1"/>
        </w:numPr>
        <w:rPr/>
      </w:pPr>
      <w:bookmarkStart w:id="386" w:name="__RefHeading___Toc9696797_73709187"/>
      <w:bookmarkStart w:id="387" w:name="_Toc142"/>
      <w:bookmarkEnd w:id="386"/>
      <w:r>
        <w:rPr>
          <w:rtl w:val="true"/>
        </w:rPr>
        <w:t>اشارة</w:t>
      </w:r>
      <w:bookmarkEnd w:id="387"/>
    </w:p>
    <w:p>
      <w:pPr>
        <w:pStyle w:val="BookText"/>
        <w:rPr/>
      </w:pPr>
      <w:r>
        <w:rPr>
          <w:rFonts w:ascii="IRNazanin" w:hAnsi="IRNazanin" w:eastAsia="IRNazanin"/>
          <w:color w:val="111111"/>
          <w:sz w:val="28"/>
          <w:sz w:val="28"/>
          <w:szCs w:val="28"/>
          <w:rtl w:val="true"/>
          <w:lang w:bidi="fa-IR"/>
        </w:rPr>
        <w:t>و فیه مباحث</w:t>
      </w:r>
    </w:p>
    <w:p>
      <w:pPr>
        <w:pStyle w:val="Heading4"/>
        <w:numPr>
          <w:ilvl w:val="3"/>
          <w:numId w:val="1"/>
        </w:numPr>
        <w:rPr/>
      </w:pPr>
      <w:bookmarkStart w:id="388" w:name="__RefHeading___Toc9696799_73709187"/>
      <w:bookmarkStart w:id="389" w:name="_Toc143"/>
      <w:bookmarkEnd w:id="388"/>
      <w:r>
        <w:rPr>
          <w:rtl w:val="true"/>
        </w:rPr>
        <w:t>المبحث الأوّل</w:t>
      </w:r>
      <w:r>
        <w:rPr>
          <w:rtl w:val="true"/>
        </w:rPr>
        <w:t xml:space="preserve">: </w:t>
      </w:r>
      <w:r>
        <w:rPr>
          <w:rtl w:val="true"/>
        </w:rPr>
        <w:t>ضمان الصبیّ‌</w:t>
      </w:r>
      <w:bookmarkEnd w:id="389"/>
    </w:p>
    <w:p>
      <w:pPr>
        <w:pStyle w:val="Heading5"/>
        <w:numPr>
          <w:ilvl w:val="4"/>
          <w:numId w:val="1"/>
        </w:numPr>
        <w:rPr/>
      </w:pPr>
      <w:bookmarkStart w:id="390" w:name="__RefHeading___Toc9696801_73709187"/>
      <w:bookmarkStart w:id="391" w:name="_Toc144"/>
      <w:bookmarkEnd w:id="390"/>
      <w:r>
        <w:rPr>
          <w:rtl w:val="true"/>
        </w:rPr>
        <w:t>الضمان لغةً و اصطلاحاً</w:t>
      </w:r>
      <w:bookmarkEnd w:id="391"/>
    </w:p>
    <w:p>
      <w:pPr>
        <w:pStyle w:val="BookText"/>
        <w:rPr/>
      </w:pPr>
      <w:r>
        <w:rPr>
          <w:rFonts w:ascii="IRNazanin" w:hAnsi="IRNazanin" w:eastAsia="IRNazanin"/>
          <w:color w:val="111111"/>
          <w:sz w:val="28"/>
          <w:sz w:val="28"/>
          <w:szCs w:val="28"/>
          <w:rtl w:val="true"/>
          <w:lang w:bidi="fa-IR"/>
        </w:rPr>
        <w:t>الضمان فی اللّغة یطلق علی 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ضمنت المال و به ضماناً فأنا ضامن و ضمین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التزمته، و یتعدّی بالتّضعیف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ضمّنته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ألزمته إیّاه</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الکفالة،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ضمنت الشیء ضماناً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کفلت به، فأنا ضامن و ضمین</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التغریم،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ضمّنته الشیء تضمیناً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غرّمته فالتزمته</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فی الاصطلاح</w:t>
      </w:r>
      <w:r>
        <w:rPr>
          <w:rStyle w:val="FootnoteAnchor"/>
          <w:rtl w:val="true"/>
        </w:rPr>
        <w:footnoteReference w:id="1455"/>
      </w:r>
      <w:r>
        <w:rPr>
          <w:rFonts w:ascii="IRNazanin" w:hAnsi="IRNazanin" w:eastAsia="IRNazanin"/>
          <w:color w:val="111111"/>
          <w:sz w:val="28"/>
          <w:sz w:val="28"/>
          <w:szCs w:val="28"/>
          <w:rtl w:val="true"/>
          <w:lang w:bidi="fa-IR"/>
        </w:rPr>
        <w:t>فهو قریب من مفهومه اللّغوی، و یطلق علی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الضمان بالمعنی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عقد شرّع للتعهّد بنفس أو مال ممّن علیه مثله أو لا، و هذا یشمل الضمان بالمعنی الأخصّ و الحوالة و الکفالة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الضمان بالمعنی الأخصّ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التعهّد بالمال ممّن لیس علیه مال کما فی التنقیح الرائع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w:t>
      </w:r>
      <w:r>
        <w:rPr>
          <w:rStyle w:val="FootnoteAnchor"/>
          <w:rtl w:val="true"/>
        </w:rPr>
        <w:footnoteReference w:id="1456"/>
      </w:r>
      <w:r>
        <w:rPr>
          <w:rFonts w:ascii="IRNazanin" w:hAnsi="IRNazanin" w:eastAsia="IRNazanin"/>
          <w:color w:val="111111"/>
          <w:sz w:val="28"/>
          <w:sz w:val="28"/>
          <w:szCs w:val="28"/>
          <w:rtl w:val="true"/>
          <w:lang w:bidi="fa-IR"/>
        </w:rPr>
        <w:t>فی تحریر الأحکام</w:t>
      </w:r>
      <w:r>
        <w:rPr>
          <w:rStyle w:val="FootnoteAnchor"/>
          <w:rtl w:val="true"/>
        </w:rPr>
        <w:footnoteReference w:id="1457"/>
      </w:r>
      <w:r>
        <w:rPr>
          <w:rFonts w:ascii="IRNazanin" w:hAnsi="IRNazanin" w:eastAsia="IRNazanin"/>
          <w:color w:val="111111"/>
          <w:sz w:val="28"/>
          <w:sz w:val="28"/>
          <w:szCs w:val="28"/>
          <w:rtl w:val="true"/>
          <w:lang w:bidi="fa-IR"/>
        </w:rPr>
        <w:t>و جامع المقاصد</w:t>
      </w:r>
      <w:r>
        <w:rPr>
          <w:rStyle w:val="FootnoteAnchor"/>
          <w:rtl w:val="true"/>
        </w:rPr>
        <w:footnoteReference w:id="1458"/>
      </w:r>
      <w:r>
        <w:rPr>
          <w:rFonts w:ascii="IRNazanin" w:hAnsi="IRNazanin" w:eastAsia="IRNazanin"/>
          <w:color w:val="111111"/>
          <w:sz w:val="28"/>
          <w:sz w:val="28"/>
          <w:szCs w:val="28"/>
          <w:rtl w:val="true"/>
          <w:lang w:bidi="fa-IR"/>
        </w:rPr>
        <w:t>و جامع المدارک</w:t>
      </w:r>
      <w:r>
        <w:rPr>
          <w:rStyle w:val="FootnoteAnchor"/>
          <w:rtl w:val="true"/>
        </w:rPr>
        <w:footnoteReference w:id="1459"/>
      </w:r>
      <w:r>
        <w:rPr>
          <w:rFonts w:ascii="IRNazanin" w:hAnsi="IRNazanin" w:eastAsia="IRNazanin"/>
          <w:color w:val="111111"/>
          <w:sz w:val="28"/>
          <w:sz w:val="28"/>
          <w:szCs w:val="28"/>
          <w:rtl w:val="true"/>
          <w:lang w:bidi="fa-IR"/>
        </w:rPr>
        <w:t>و غیرها</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الضمن؛ لأنّه موجب لتضمّن ذمّة الضامن للمال الذی علی المضمون عنه للمضمون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إطلاقان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بالمعنی الأعمّ الشامل للحوالة و الکفالة أیضاً، فیکون بمعنی التّعهد بالمال أو النفس، و إطلاق بالمعنی الأخصّ، و هو التعهّد بالمال عیناً أو منفعة أو عملاً</w:t>
      </w:r>
      <w:r>
        <w:rPr>
          <w:rFonts w:eastAsia="IRNazanin" w:cs="IRNazanin"/>
          <w:color w:val="111111"/>
          <w:sz w:val="28"/>
          <w:szCs w:val="28"/>
          <w:rtl w:val="true"/>
          <w:lang w:bidi="fa-IR"/>
        </w:rPr>
        <w:t>»</w:t>
      </w:r>
      <w:r>
        <w:rPr>
          <w:rStyle w:val="FootnoteAnchor"/>
          <w:rtl w:val="true"/>
        </w:rPr>
        <w:footnoteReference w:id="1461"/>
      </w:r>
      <w:r>
        <w:rPr>
          <w:rFonts w:ascii="IRNazanin" w:hAnsi="IRNazanin" w:eastAsia="IRNazanin"/>
          <w:color w:val="111111"/>
          <w:sz w:val="28"/>
          <w:sz w:val="28"/>
          <w:szCs w:val="28"/>
          <w:rtl w:val="true"/>
          <w:lang w:bidi="fa-IR"/>
        </w:rPr>
        <w:t>، و عقدنا هذا الفصل للبحث عن مسائل الصبیّ بالنّسبة إلی الضمان فی کلا إطلاقیه، أی الضمان بمعناه الأخصّ، و الحوالة و الکفالة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الضمان بمعناه الأخصّ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الضّمان بالمال ممّن لیس علیه للمضمون</w:t>
      </w:r>
    </w:p>
    <w:p>
      <w:pPr>
        <w:pStyle w:val="BookText"/>
        <w:rPr/>
      </w:pPr>
      <w:r>
        <w:rPr>
          <w:rFonts w:ascii="IRNazanin" w:hAnsi="IRNazanin" w:eastAsia="IRNazanin"/>
          <w:color w:val="111111"/>
          <w:sz w:val="28"/>
          <w:sz w:val="28"/>
          <w:szCs w:val="28"/>
          <w:rtl w:val="true"/>
          <w:lang w:bidi="fa-IR"/>
        </w:rPr>
        <w:t xml:space="preserve">عنه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المسمّی بالضّمان بقول مطلق الذی هو المعنی الحقیقی المتبادر عند الإطلاق، و ما تقدّم سابقاً من تقسیم الضّمان إلی الثلاثة لا ینافی ذلک؛ إذ یمکن أن یکون بحسب المعنی المجازی بالعارض، و إن کان هو فی الأصل المعنی الحقیقی، إلاّ أنّه قد یهجر أو أنّه علی جهة الاشتراک اللفظی بین المعنی العام و الخاص، و الاشتهار أحد قرائن تعیین الثانی عند الإطلاق، أو أنّه باق علی الاشتراک المعنوی، إلاّ أنّ الاشتهار قرینة علی إرادة تعیین الأخصّ عند الإطلاق</w:t>
      </w:r>
      <w:r>
        <w:rPr>
          <w:rFonts w:eastAsia="IRNazanin" w:cs="IRNazanin"/>
          <w:color w:val="111111"/>
          <w:sz w:val="28"/>
          <w:szCs w:val="28"/>
          <w:rtl w:val="true"/>
          <w:lang w:bidi="fa-IR"/>
        </w:rPr>
        <w:t>»</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التعهّد بمال ثابت فی ذمّة شخص لآخر، و هو عقد یحتاج إلی إیجاب من الضامن بکلّ لفظ دالّ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التعهد المزبور،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تعهّدت لک الدّین الّذی لک علی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 و قبول من المضمون له بما دلّ علی الرّضا بذلک، و لا یعتبر فیه رضا المضمون عنه</w:t>
      </w:r>
      <w:r>
        <w:rPr>
          <w:rFonts w:eastAsia="IRNazanin" w:cs="IRNazanin"/>
          <w:color w:val="111111"/>
          <w:sz w:val="28"/>
          <w:szCs w:val="28"/>
          <w:rtl w:val="true"/>
          <w:lang w:bidi="fa-IR"/>
        </w:rPr>
        <w:t>»</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لا شبهة فی أنّه عقد یحتاج إلی إیجاب من الضامن و قبول من المضمون له، أمّا احتیاجه إلی الإیجاب من الضامن فواضح، و أمّا احتیاجه إلی قبول من المضمون له فلأنّه حیث یکون موجباً لانتقال الحقّ إلی غیر الطرف الأصلی للمضمون له؛ لأنّ المفروض أنّه علی مذهبنا عبارة عن انتقال مال من ذمّة المضمون عنه إلی الضّامن، فمن الممکن أن لا تکون ذمّة الضّامن معتبرة عند المضمون له بوجه، و عدم الاعتبار و إن کان قد یفرض بالإضافة إلی ذمّة</w:t>
      </w:r>
    </w:p>
    <w:p>
      <w:pPr>
        <w:pStyle w:val="BookText"/>
        <w:rPr/>
      </w:pPr>
      <w:r>
        <w:rPr>
          <w:rFonts w:ascii="IRNazanin" w:hAnsi="IRNazanin" w:eastAsia="IRNazanin"/>
          <w:color w:val="111111"/>
          <w:sz w:val="28"/>
          <w:sz w:val="28"/>
          <w:szCs w:val="28"/>
          <w:rtl w:val="true"/>
          <w:lang w:bidi="fa-IR"/>
        </w:rPr>
        <w:t>المضمون عنه أیضاً، إلاّ أنّ الفرق أنّ الدَّین الثابت قد یکون بسبب غیر اختیاری کالإتلاف، و الضّمان أمر اختیاری متقوّم بالعقد، کما فی تفصیل الشریعة</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الضمان جائز بالکتاب و السنّة و الإجماع</w:t>
      </w:r>
      <w:r>
        <w:rPr>
          <w:rStyle w:val="FootnoteAnchor"/>
          <w:rtl w:val="true"/>
        </w:rPr>
        <w:footnoteReference w:id="1465"/>
      </w:r>
      <w:r>
        <w:rPr>
          <w:rFonts w:ascii="Amiri" w:hAnsi="Amiri" w:eastAsia="Amiri" w:cs="Amiri"/>
          <w:color w:val="111111"/>
          <w:sz w:val="28"/>
          <w:sz w:val="28"/>
          <w:szCs w:val="28"/>
          <w:rtl w:val="true"/>
          <w:lang w:bidi="ar-SA"/>
        </w:rPr>
        <w:t>،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جاءَ بِهِ حِمْلُ بَعِیرٍ وَ أَنَا بِهِ زَعِیمٌ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الکفیل به و ضمین له</w:t>
      </w:r>
      <w:r>
        <w:rPr>
          <w:rFonts w:eastAsia="Amiri" w:cs="Amiri" w:ascii="Amiri" w:hAnsi="Amiri"/>
          <w:color w:val="111111"/>
          <w:sz w:val="28"/>
          <w:szCs w:val="28"/>
          <w:rtl w:val="true"/>
          <w:lang w:bidi="ar-SA"/>
        </w:rPr>
        <w:t>»</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أیضاً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سَلْهُمْ أَیُّهُمْ بِذلِکَ زَعِیمٌ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عبّاس أیضاً و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زعیم، أی کفیل، و الزعیم و الکفیل و الضمین و القبیل نظائر</w:t>
      </w:r>
      <w:r>
        <w:rPr>
          <w:rFonts w:eastAsia="Amiri" w:cs="Amiri" w:ascii="Amiri" w:hAnsi="Amiri"/>
          <w:color w:val="111111"/>
          <w:sz w:val="28"/>
          <w:szCs w:val="28"/>
          <w:rtl w:val="true"/>
          <w:lang w:bidi="ar-SA"/>
        </w:rPr>
        <w:t>»</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السنّة فقد روی الفریقان</w:t>
      </w:r>
      <w:r>
        <w:rPr>
          <w:rStyle w:val="FootnoteAnchor"/>
          <w:rtl w:val="true"/>
        </w:rPr>
        <w:footnoteReference w:id="1468"/>
      </w:r>
      <w:r>
        <w:rPr>
          <w:rFonts w:ascii="IRNazanin" w:hAnsi="IRNazanin" w:eastAsia="IRNazanin"/>
          <w:color w:val="111111"/>
          <w:sz w:val="28"/>
          <w:sz w:val="28"/>
          <w:szCs w:val="28"/>
          <w:rtl w:val="true"/>
          <w:lang w:bidi="fa-IR"/>
        </w:rPr>
        <w:t>ما یدلّ علی جواز الضمان، و قد أجمع المسلمون کافّة علی جوازه و إن اختلفوا فی فروعه</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أرکانه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الصیغة، الضامن، المضمون له، و المضمون عنه، و الحقّ المضمون به، و المقصود فی المقام البحث عن اشتراط البلوغ و الرّشد فی الضامن و المضمون له و المضمون عنه، فیقع الکلام فی ثلاثة مطالب</w:t>
      </w:r>
      <w:r>
        <w:rPr>
          <w:rFonts w:eastAsia="IRNazanin" w:cs="IRNazanin"/>
          <w:color w:val="111111"/>
          <w:sz w:val="28"/>
          <w:szCs w:val="28"/>
          <w:rtl w:val="true"/>
          <w:lang w:bidi="fa-IR"/>
        </w:rPr>
        <w:t>.</w:t>
      </w:r>
      <w:bookmarkStart w:id="392" w:name="pg11757_135644"/>
    </w:p>
    <w:p>
      <w:pPr>
        <w:pStyle w:val="Heading5"/>
        <w:numPr>
          <w:ilvl w:val="4"/>
          <w:numId w:val="1"/>
        </w:numPr>
        <w:rPr/>
      </w:pPr>
      <w:bookmarkStart w:id="393" w:name="__RefHeading___Toc9696803_73709187"/>
      <w:bookmarkStart w:id="394" w:name="_Toc145"/>
      <w:bookmarkEnd w:id="392"/>
      <w:bookmarkEnd w:id="393"/>
      <w:r>
        <w:rPr>
          <w:rtl w:val="true"/>
        </w:rPr>
        <w:t>الأوّل</w:t>
      </w:r>
      <w:r>
        <w:rPr>
          <w:rtl w:val="true"/>
        </w:rPr>
        <w:t xml:space="preserve">: </w:t>
      </w:r>
      <w:r>
        <w:rPr>
          <w:rtl w:val="true"/>
        </w:rPr>
        <w:t>اعتبار البلوغ و الرّشد فی الضامن</w:t>
      </w:r>
      <w:bookmarkEnd w:id="394"/>
    </w:p>
    <w:p>
      <w:pPr>
        <w:pStyle w:val="Heading6"/>
        <w:numPr>
          <w:ilvl w:val="5"/>
          <w:numId w:val="1"/>
        </w:numPr>
        <w:rPr/>
      </w:pPr>
      <w:bookmarkStart w:id="395" w:name="__RefHeading___Toc9696805_73709187"/>
      <w:bookmarkStart w:id="396" w:name="_Toc146"/>
      <w:bookmarkEnd w:id="395"/>
      <w:r>
        <w:rPr>
          <w:rtl w:val="true"/>
        </w:rPr>
        <w:t>اشارة</w:t>
      </w:r>
      <w:bookmarkEnd w:id="396"/>
    </w:p>
    <w:p>
      <w:pPr>
        <w:pStyle w:val="BookText"/>
        <w:rPr/>
      </w:pPr>
      <w:r>
        <w:rPr>
          <w:rFonts w:ascii="IRNazanin" w:hAnsi="IRNazanin" w:eastAsia="IRNazanin"/>
          <w:color w:val="111111"/>
          <w:sz w:val="28"/>
          <w:sz w:val="28"/>
          <w:szCs w:val="28"/>
          <w:rtl w:val="true"/>
          <w:lang w:bidi="fa-IR"/>
        </w:rPr>
        <w:t>لا خلاف فی أنّه یشترط فی الضامن أن یکون عاقلاً بالغاً رشیداً مختاراً جائز التصرّف فی ماله، فلا یصحّ ضمان الصبیّ، و لا فرق بین أن یکون ممیّزاً مراهقاً أم لا؟</w:t>
      </w:r>
    </w:p>
    <w:p>
      <w:pPr>
        <w:pStyle w:val="BookText"/>
        <w:rPr/>
      </w:pPr>
      <w:r>
        <w:rPr>
          <w:rFonts w:ascii="IRNazanin" w:hAnsi="IRNazanin" w:eastAsia="IRNazanin"/>
          <w:color w:val="111111"/>
          <w:sz w:val="28"/>
          <w:sz w:val="28"/>
          <w:szCs w:val="28"/>
          <w:rtl w:val="true"/>
          <w:lang w:bidi="fa-IR"/>
        </w:rPr>
        <w:t>قال فی الغنیة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شرط صحّته أن یکون الضّامن مختاراً، غیر مولّی علیه، ملیّاً فی حال الضّمان</w:t>
      </w:r>
      <w:r>
        <w:rPr>
          <w:rFonts w:eastAsia="IRNazanin" w:cs="IRNazanin"/>
          <w:color w:val="111111"/>
          <w:sz w:val="28"/>
          <w:szCs w:val="28"/>
          <w:rtl w:val="true"/>
          <w:lang w:bidi="fa-IR"/>
        </w:rPr>
        <w:t>»</w:t>
      </w:r>
      <w:r>
        <w:rPr>
          <w:rStyle w:val="FootnoteAnchor"/>
          <w:rtl w:val="true"/>
        </w:rPr>
        <w:footnoteReference w:id="1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إصباح الشیعة</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بدّ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الضامن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مکلّفاً جائز التصرّف، فلا یصحّ ضمان الصبیّ و لا المجنون</w:t>
      </w:r>
      <w:r>
        <w:rPr>
          <w:rFonts w:eastAsia="IRNazanin" w:cs="IRNazanin"/>
          <w:color w:val="111111"/>
          <w:sz w:val="28"/>
          <w:szCs w:val="28"/>
          <w:rtl w:val="true"/>
          <w:lang w:bidi="fa-IR"/>
        </w:rPr>
        <w:t>»</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یصحّ من الصبیّ و إن أذن له الولیّ</w:t>
      </w:r>
      <w:r>
        <w:rPr>
          <w:rFonts w:eastAsia="IRNazanin" w:cs="IRNazanin"/>
          <w:color w:val="111111"/>
          <w:sz w:val="28"/>
          <w:szCs w:val="28"/>
          <w:rtl w:val="true"/>
          <w:lang w:bidi="fa-IR"/>
        </w:rPr>
        <w:t>»</w:t>
      </w:r>
      <w:r>
        <w:rPr>
          <w:rStyle w:val="FootnoteAnchor"/>
          <w:rtl w:val="true"/>
        </w:rPr>
        <w:footnoteReference w:id="1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تحریر الأحکام</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فی الضّامن أن یکون صحیح العبارة، أهلاً للتبرّع</w:t>
      </w:r>
      <w:r>
        <w:rPr>
          <w:rFonts w:eastAsia="IRNazanin" w:cs="IRNazanin"/>
          <w:color w:val="111111"/>
          <w:sz w:val="28"/>
          <w:szCs w:val="28"/>
          <w:rtl w:val="true"/>
          <w:lang w:bidi="fa-IR"/>
        </w:rPr>
        <w:t>»</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صرّح به أیضاً جملة من المتأخّرین</w:t>
      </w:r>
      <w:r>
        <w:rPr>
          <w:rStyle w:val="FootnoteAnchor"/>
          <w:rtl w:val="true"/>
        </w:rPr>
        <w:footnoteReference w:id="1476"/>
      </w:r>
      <w:r>
        <w:rPr>
          <w:rFonts w:ascii="Amiri" w:hAnsi="Amiri" w:eastAsia="Amiri" w:cs="Amiri"/>
          <w:color w:val="111111"/>
          <w:sz w:val="28"/>
          <w:sz w:val="28"/>
          <w:szCs w:val="28"/>
          <w:rtl w:val="true"/>
          <w:lang w:bidi="ar-SA"/>
        </w:rPr>
        <w:t>و متأخّریهم</w:t>
      </w:r>
      <w:r>
        <w:rPr>
          <w:rStyle w:val="FootnoteAnchor"/>
          <w:rtl w:val="true"/>
        </w:rPr>
        <w:footnoteReference w:id="1477"/>
      </w:r>
      <w:r>
        <w:rPr>
          <w:rFonts w:ascii="Amiri" w:hAnsi="Amiri" w:eastAsia="Amiri" w:cs="Amiri"/>
          <w:color w:val="111111"/>
          <w:sz w:val="28"/>
          <w:sz w:val="28"/>
          <w:szCs w:val="28"/>
          <w:rtl w:val="true"/>
          <w:lang w:bidi="ar-SA"/>
        </w:rPr>
        <w:t>و عدّة من فقهاء العصر</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bookmarkStart w:id="397" w:name="pg11757_135645"/>
    </w:p>
    <w:p>
      <w:pPr>
        <w:pStyle w:val="Heading6"/>
        <w:numPr>
          <w:ilvl w:val="5"/>
          <w:numId w:val="1"/>
        </w:numPr>
        <w:rPr/>
      </w:pPr>
      <w:bookmarkStart w:id="398" w:name="__RefHeading___Toc9696807_73709187"/>
      <w:bookmarkStart w:id="399" w:name="_Toc147"/>
      <w:bookmarkEnd w:id="397"/>
      <w:bookmarkEnd w:id="398"/>
      <w:r>
        <w:rPr>
          <w:rtl w:val="true"/>
        </w:rPr>
        <w:t>أدلّة اعتبار البلوغ فی الضامن</w:t>
      </w:r>
      <w:bookmarkEnd w:id="399"/>
    </w:p>
    <w:p>
      <w:pPr>
        <w:pStyle w:val="BookText"/>
        <w:rPr/>
      </w:pPr>
      <w:r>
        <w:rPr>
          <w:rFonts w:ascii="IRNazanin" w:hAnsi="IRNazanin" w:eastAsia="IRNazanin"/>
          <w:color w:val="111111"/>
          <w:sz w:val="28"/>
          <w:sz w:val="28"/>
          <w:szCs w:val="28"/>
          <w:rtl w:val="true"/>
          <w:lang w:bidi="fa-IR"/>
        </w:rPr>
        <w:t>و یمکن أن یستدلّ لذلک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کما ادّعاه فی الغنیة</w:t>
      </w:r>
      <w:r>
        <w:rPr>
          <w:rStyle w:val="FootnoteAnchor"/>
          <w:rtl w:val="true"/>
        </w:rPr>
        <w:footnoteReference w:id="1479"/>
      </w:r>
      <w:r>
        <w:rPr>
          <w:rFonts w:ascii="IRNazanin" w:hAnsi="IRNazanin" w:eastAsia="IRNazanin"/>
          <w:color w:val="111111"/>
          <w:sz w:val="28"/>
          <w:sz w:val="28"/>
          <w:szCs w:val="28"/>
          <w:rtl w:val="true"/>
          <w:lang w:bidi="fa-IR"/>
        </w:rPr>
        <w:t>و المسالک</w:t>
      </w:r>
      <w:r>
        <w:rPr>
          <w:rStyle w:val="FootnoteAnchor"/>
          <w:rtl w:val="true"/>
        </w:rPr>
        <w:footnoteReference w:id="1480"/>
      </w:r>
      <w:r>
        <w:rPr>
          <w:rFonts w:ascii="IRNazanin" w:hAnsi="IRNazanin" w:eastAsia="IRNazanin"/>
          <w:color w:val="111111"/>
          <w:sz w:val="28"/>
          <w:sz w:val="28"/>
          <w:szCs w:val="28"/>
          <w:rtl w:val="true"/>
          <w:lang w:bidi="fa-IR"/>
        </w:rPr>
        <w:t>و الریاض</w:t>
      </w:r>
      <w:r>
        <w:rPr>
          <w:rStyle w:val="FootnoteAnchor"/>
          <w:rtl w:val="true"/>
        </w:rPr>
        <w:footnoteReference w:id="1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المستمسک</w:t>
      </w:r>
      <w:r>
        <w:rPr>
          <w:rStyle w:val="FootnoteAnchor"/>
          <w:rtl w:val="true"/>
        </w:rPr>
        <w:footnoteReference w:id="1482"/>
      </w:r>
      <w:r>
        <w:rPr>
          <w:rFonts w:ascii="IRNazanin" w:hAnsi="IRNazanin" w:eastAsia="IRNazanin"/>
          <w:color w:val="111111"/>
          <w:sz w:val="28"/>
          <w:sz w:val="28"/>
          <w:szCs w:val="28"/>
          <w:rtl w:val="true"/>
          <w:lang w:bidi="fa-IR"/>
        </w:rPr>
        <w:t>و غیره</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سلطنة الصبیّ قاصرة عن التصرّف فی ماله، لأنّه محجور علیه، کما ثبت فی باب الحجر، و حیث لا یصحّ له التصرّف فی ماله لا یصحّ له التصرّف فی ذمّته</w:t>
      </w:r>
      <w:r>
        <w:rPr>
          <w:rStyle w:val="FootnoteAnchor"/>
          <w:rtl w:val="true"/>
        </w:rPr>
        <w:footnoteReference w:id="1484"/>
      </w:r>
      <w:r>
        <w:rPr>
          <w:rFonts w:ascii="IRNazanin" w:hAnsi="IRNazanin" w:eastAsia="IRNazanin"/>
          <w:color w:val="111111"/>
          <w:sz w:val="28"/>
          <w:sz w:val="28"/>
          <w:szCs w:val="28"/>
          <w:rtl w:val="true"/>
          <w:lang w:bidi="fa-IR"/>
        </w:rPr>
        <w:t>،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الضمان و الاشتراء بنسیئة و ما أشبه ذلک، قال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محجور علیه بالنّصّ و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ممیّزاً أو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التصرّفات إلّا ما یستثنی، کعباداته و إسلامه و إحرامه و تدبیره و وصیّته</w:t>
      </w:r>
      <w:r>
        <w:rPr>
          <w:rFonts w:eastAsia="IRNazanin" w:cs="IRNazanin"/>
          <w:color w:val="111111"/>
          <w:sz w:val="28"/>
          <w:szCs w:val="28"/>
          <w:rtl w:val="true"/>
          <w:lang w:bidi="fa-IR"/>
        </w:rPr>
        <w:t>»</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التصرّف المالی یتوقّف علی جواز التصرّف، و الصبیّ لا یجوز منه التصرّف بوجوه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ابْتَلُوا الْیَتامی حَتّی إِذا بَلَغُوا النِّکاحَ فَإِنْ آنَسْتُمْ مِنْهُمْ رُشْداً فَادْفَعُوا إِلَیْهِمْ أَمْوالَهُمْ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اللّه سبحانه و تعالی علّق جواز تصرّف الصبیّ فی أمواله علی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البلوغ و الرشد، فلا یجوز له التصرّف قبلهما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فی الخصال و الکافی فی الصحیح عن عبد اللّه بن سنان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بلغ الغلام أشدَّه ثلاث عشرة سنة و دخل فی الأربع عشرة سنة وجب علیه ما وجب علی المحتلمین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المسلمین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احتلم أم لم یحتلم، و کتبت علیه السیّئات و کتبت له الحسنات، و جاز له کلّ شیء من ماله إلّا أن یکون ضعیفا أو سفیهاً</w:t>
      </w:r>
      <w:r>
        <w:rPr>
          <w:rFonts w:eastAsia="IRNazanin" w:cs="IRNazanin"/>
          <w:color w:val="111111"/>
          <w:sz w:val="28"/>
          <w:szCs w:val="28"/>
          <w:rtl w:val="true"/>
          <w:lang w:bidi="fa-IR"/>
        </w:rPr>
        <w:t>»</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فیدلّ بمفهومه علی أنّ الغلام لو لم یبلغ لم یجز له أن یتصرّف فی شیء من 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روی أیضاً فی الخصال عن عبد اللّه بن سنان فی المعتبر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أبی و أنا حاضر عن الیتیم متی یجوز أمره؟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یبلغ أشدّه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أشدّه؟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الاحتلام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الغلام ابن ثمان عشرة سنة أو أقلّ أو أکثر و لا یحتلم؟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و کتب علیه الشیء جاز أمره إلاّ أن یکون سفیهاً أو ضعیفاً</w:t>
      </w:r>
      <w:r>
        <w:rPr>
          <w:rFonts w:eastAsia="IRNazanin" w:cs="IRNazanin"/>
          <w:color w:val="111111"/>
          <w:sz w:val="28"/>
          <w:szCs w:val="28"/>
          <w:rtl w:val="true"/>
          <w:lang w:bidi="fa-IR"/>
        </w:rPr>
        <w:t>»</w:t>
      </w:r>
      <w:r>
        <w:rPr>
          <w:rStyle w:val="FootnoteAnchor"/>
          <w:rtl w:val="true"/>
        </w:rPr>
        <w:footnoteReference w:id="1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خبر حمران</w:t>
      </w:r>
      <w:r>
        <w:rPr>
          <w:rStyle w:val="FootnoteAnchor"/>
          <w:rtl w:val="true"/>
        </w:rPr>
        <w:footnoteReference w:id="1488"/>
      </w:r>
      <w:r>
        <w:rPr>
          <w:rFonts w:ascii="Amiri" w:hAnsi="Amiri" w:eastAsia="Amiri" w:cs="Amiri"/>
          <w:color w:val="111111"/>
          <w:sz w:val="28"/>
          <w:sz w:val="28"/>
          <w:szCs w:val="28"/>
          <w:rtl w:val="true"/>
          <w:lang w:bidi="ar-SA"/>
        </w:rPr>
        <w:t>و مرسلة الصدوق</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هذه الروایات تدلّ بإطلاقها علی عدم جواز أمر الصبیّ، یعنی تصرّفه بجمیع أنواع التصرّفات، و منها عقد الضمان الواقع من الصبیّ الذی دلّت الأخبار علی المنع منه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هذا کلّه إذا کان ضمان الصبیّ بلا إذن من الولیّ، و أمّا إذا أذن له فهل</w:t>
      </w:r>
    </w:p>
    <w:p>
      <w:pPr>
        <w:pStyle w:val="BookText"/>
        <w:rPr/>
      </w:pPr>
      <w:r>
        <w:rPr>
          <w:rFonts w:ascii="IRNazanin" w:hAnsi="IRNazanin" w:eastAsia="IRNazanin"/>
          <w:color w:val="111111"/>
          <w:sz w:val="28"/>
          <w:sz w:val="28"/>
          <w:szCs w:val="28"/>
          <w:rtl w:val="true"/>
          <w:lang w:bidi="fa-IR"/>
        </w:rPr>
        <w:t>یصحّ ضمانه؟ المشهور بین الأصحاب أنّه لا یصحّ مطلقاً</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یصحّ من الصبیّ و إن أذن له الولیّ</w:t>
      </w:r>
      <w:r>
        <w:rPr>
          <w:rFonts w:eastAsia="IRNazanin" w:cs="IRNazanin"/>
          <w:color w:val="111111"/>
          <w:sz w:val="28"/>
          <w:szCs w:val="28"/>
          <w:rtl w:val="true"/>
          <w:lang w:bidi="fa-IR"/>
        </w:rPr>
        <w:t>»</w:t>
      </w:r>
      <w:r>
        <w:rPr>
          <w:rStyle w:val="FootnoteAnchor"/>
          <w:rtl w:val="true"/>
        </w:rPr>
        <w:footnoteReference w:id="1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مفتاح الکرامة</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إشکال فی أنّه لا یصحّ ضمان الصبیّ و لا المجنون و لو مع إذن الولیّ</w:t>
      </w:r>
      <w:r>
        <w:rPr>
          <w:rFonts w:eastAsia="IRNazanin" w:cs="IRNazanin"/>
          <w:color w:val="111111"/>
          <w:sz w:val="28"/>
          <w:szCs w:val="28"/>
          <w:rtl w:val="true"/>
          <w:lang w:bidi="fa-IR"/>
        </w:rPr>
        <w:t>»</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المستمسک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ظاهرهم الاتّفاق علیه، فقد فصّلوا فی ضمان العبد بین إذن المولی و عدمه، و لم یفصّلوا هنا</w:t>
      </w:r>
      <w:r>
        <w:rPr>
          <w:rFonts w:eastAsia="IRNazanin" w:cs="IRNazanin"/>
          <w:color w:val="111111"/>
          <w:sz w:val="28"/>
          <w:szCs w:val="28"/>
          <w:rtl w:val="true"/>
          <w:lang w:bidi="fa-IR"/>
        </w:rPr>
        <w:t>»</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فی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الصبیّ مسلوبة الاعتبار، فلا یؤثّر فیها إذن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الضمان التزام مال لا فائدة له فیه، و إنّما یؤثّر إذن الولیّ فیما یضمن مصلحة الصبیّ</w:t>
      </w:r>
      <w:r>
        <w:rPr>
          <w:rFonts w:eastAsia="IRNazanin" w:cs="IRNazanin"/>
          <w:color w:val="111111"/>
          <w:sz w:val="28"/>
          <w:szCs w:val="28"/>
          <w:rtl w:val="true"/>
          <w:lang w:bidi="fa-IR"/>
        </w:rPr>
        <w:t>»</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لکن ذهب المحقّق الأردبیلی إلی جواز ضمان الصبیّ مع إذن الولیّ، حیث قال فی باب الضمان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مرّ البحث فی بیع الممیّز مع إذن الولیّ فإنّه یأتی هنا</w:t>
      </w:r>
      <w:r>
        <w:rPr>
          <w:rFonts w:eastAsia="IRNazanin" w:cs="IRNazanin"/>
          <w:color w:val="111111"/>
          <w:sz w:val="28"/>
          <w:szCs w:val="28"/>
          <w:rtl w:val="true"/>
          <w:lang w:bidi="fa-IR"/>
        </w:rPr>
        <w:t>»</w:t>
      </w:r>
      <w:r>
        <w:rPr>
          <w:rStyle w:val="FootnoteAnchor"/>
          <w:rtl w:val="true"/>
        </w:rPr>
        <w:footnoteReference w:id="1496"/>
      </w:r>
      <w:r>
        <w:rPr>
          <w:rFonts w:ascii="IRNazanin" w:hAnsi="IRNazanin" w:eastAsia="IRNazanin"/>
          <w:color w:val="111111"/>
          <w:sz w:val="28"/>
          <w:sz w:val="28"/>
          <w:szCs w:val="28"/>
          <w:rtl w:val="true"/>
          <w:lang w:bidi="fa-IR"/>
        </w:rPr>
        <w:t>، و قد تقدّم أنّه قال بجواز بیع الصبیّ الممیّز مع الإذن</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استشکل فی العروة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و إن أذن له الولیّ علی إشکال</w:t>
      </w:r>
      <w:r>
        <w:rPr>
          <w:rFonts w:eastAsia="IRNazanin" w:cs="IRNazanin"/>
          <w:color w:val="111111"/>
          <w:sz w:val="28"/>
          <w:szCs w:val="28"/>
          <w:rtl w:val="true"/>
          <w:lang w:bidi="fa-IR"/>
        </w:rPr>
        <w:t>»</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علّق علیه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مانع أن یضمن له بإذن ولیّه، و یدفع المال للولیّ</w:t>
      </w:r>
      <w:r>
        <w:rPr>
          <w:rFonts w:eastAsia="IRNazanin" w:cs="IRNazanin"/>
          <w:color w:val="111111"/>
          <w:sz w:val="28"/>
          <w:szCs w:val="28"/>
          <w:rtl w:val="true"/>
          <w:lang w:bidi="fa-IR"/>
        </w:rPr>
        <w:t>»</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العراقی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عدم قیام مصلحة علیه، و إلّا فلا إشکال فی جوازه؛ لعموم جهة ولایته علیه</w:t>
      </w:r>
      <w:r>
        <w:rPr>
          <w:rFonts w:eastAsia="IRNazanin" w:cs="IRNazanin"/>
          <w:color w:val="111111"/>
          <w:sz w:val="28"/>
          <w:szCs w:val="28"/>
          <w:rtl w:val="true"/>
          <w:lang w:bidi="fa-IR"/>
        </w:rPr>
        <w:t>»</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صرّح السیّد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الجواز إذا کان فیه مصلحة و إن کان هذا الفرض نادراً، و أولی بالجواز ما إذا کان المضمون له صبیّاً</w:t>
      </w:r>
      <w:r>
        <w:rPr>
          <w:rFonts w:eastAsia="IRNazanin" w:cs="IRNazanin"/>
          <w:color w:val="111111"/>
          <w:sz w:val="28"/>
          <w:szCs w:val="28"/>
          <w:rtl w:val="true"/>
          <w:lang w:bidi="fa-IR"/>
        </w:rPr>
        <w:t>»</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علّله فی مبانی العروة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إذا صحّ ذلک للولی، بالمباشرة فیما إذا اقتضت مصلحة الطفل له، صحّ له ذلک بالتّسبیب أیضاً</w:t>
      </w:r>
      <w:r>
        <w:rPr>
          <w:rFonts w:eastAsia="IRNazanin" w:cs="IRNazanin"/>
          <w:color w:val="111111"/>
          <w:sz w:val="28"/>
          <w:szCs w:val="28"/>
          <w:rtl w:val="true"/>
          <w:lang w:bidi="fa-IR"/>
        </w:rPr>
        <w:t>»</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المستمسک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لانصراف</w:t>
      </w:r>
      <w:r>
        <w:rPr>
          <w:rStyle w:val="FootnoteAnchor"/>
          <w:rtl w:val="true"/>
        </w:rPr>
        <w:footnoteReference w:id="1503"/>
      </w:r>
      <w:r>
        <w:rPr>
          <w:rFonts w:ascii="Amiri" w:hAnsi="Amiri" w:eastAsia="Amiri" w:cs="Amiri"/>
          <w:color w:val="111111"/>
          <w:sz w:val="28"/>
          <w:sz w:val="28"/>
          <w:szCs w:val="28"/>
          <w:rtl w:val="true"/>
          <w:lang w:bidi="ar-SA"/>
        </w:rPr>
        <w:t xml:space="preserve">أدلّة المنع من نفوذ تصرّفه عن صورة إذن الولیّ، بل لعلّ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ابْتَلُوا الْیَتامی حَتّی إِذا بَلَغُوا النِّکاحَ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w:t>
      </w:r>
      <w:r>
        <w:rPr>
          <w:rStyle w:val="FootnoteAnchor"/>
          <w:rtl w:val="true"/>
        </w:rPr>
        <w:footnoteReference w:id="1504"/>
      </w:r>
      <w:r>
        <w:rPr>
          <w:rFonts w:ascii="IRNazanin" w:hAnsi="IRNazanin" w:eastAsia="IRNazanin"/>
          <w:color w:val="111111"/>
          <w:sz w:val="28"/>
          <w:sz w:val="28"/>
          <w:szCs w:val="28"/>
          <w:rtl w:val="true"/>
          <w:lang w:bidi="fa-IR"/>
        </w:rPr>
        <w:t>فی صحّة تصرّفه بإذن الولیّ، و کذا روایة السکونیّ عن أبی عبد اللّه علیه السلام قال</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رسول اللّه صلی الله علیه و آله عن کسب الإماء، فإنّها إن لم تجد زنت، إلاّ أمة قد عرفت</w:t>
      </w:r>
      <w:bookmarkStart w:id="400" w:name="pg11757_135649"/>
    </w:p>
    <w:p>
      <w:pPr>
        <w:pStyle w:val="BookText"/>
        <w:rPr/>
      </w:pPr>
      <w:bookmarkEnd w:id="400"/>
      <w:r>
        <w:rPr>
          <w:rFonts w:ascii="IRNazanin" w:hAnsi="IRNazanin" w:eastAsia="IRNazanin"/>
          <w:color w:val="111111"/>
          <w:sz w:val="28"/>
          <w:sz w:val="28"/>
          <w:szCs w:val="28"/>
          <w:rtl w:val="true"/>
          <w:lang w:bidi="fa-IR"/>
        </w:rPr>
        <w:t>بصنعة ید، و نهی عن کسب الغلام الذی لا یحسن صناعة بیده، فإنّه إن لم یجد سرق</w:t>
      </w:r>
      <w:r>
        <w:rPr>
          <w:rFonts w:eastAsia="IRNazanin" w:cs="IRNazanin"/>
          <w:color w:val="111111"/>
          <w:sz w:val="28"/>
          <w:szCs w:val="28"/>
          <w:rtl w:val="true"/>
          <w:lang w:bidi="fa-IR"/>
        </w:rPr>
        <w:t>»</w:t>
      </w:r>
      <w:r>
        <w:rPr>
          <w:rStyle w:val="FootnoteAnchor"/>
          <w:rtl w:val="true"/>
        </w:rPr>
        <w:footnoteReference w:id="1505"/>
      </w:r>
      <w:r>
        <w:rPr>
          <w:rFonts w:ascii="IRNazanin" w:hAnsi="IRNazanin" w:eastAsia="IRNazanin"/>
          <w:color w:val="111111"/>
          <w:sz w:val="28"/>
          <w:sz w:val="28"/>
          <w:szCs w:val="28"/>
          <w:rtl w:val="true"/>
          <w:lang w:bidi="fa-IR"/>
        </w:rPr>
        <w:t>،</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مهذّب الأحکام</w:t>
      </w:r>
      <w:r>
        <w:rPr>
          <w:rStyle w:val="FootnoteAnchor"/>
          <w:rtl w:val="true"/>
        </w:rPr>
        <w:footnoteReference w:id="1507"/>
      </w:r>
      <w:r>
        <w:rPr>
          <w:rFonts w:ascii="IRNazanin" w:hAnsi="IRNazanin" w:eastAsia="IRNazanin"/>
          <w:color w:val="111111"/>
          <w:sz w:val="28"/>
          <w:sz w:val="28"/>
          <w:szCs w:val="28"/>
          <w:rtl w:val="true"/>
          <w:lang w:bidi="fa-IR"/>
        </w:rPr>
        <w:t>، و قد تعرّضنا فی مباحث بیع الصبیّ‌</w:t>
      </w:r>
      <w:r>
        <w:rPr>
          <w:rStyle w:val="FootnoteAnchor"/>
          <w:rtl w:val="true"/>
        </w:rPr>
        <w:footnoteReference w:id="1508"/>
      </w:r>
      <w:r>
        <w:rPr>
          <w:rFonts w:ascii="IRNazanin" w:hAnsi="IRNazanin" w:eastAsia="IRNazanin"/>
          <w:color w:val="111111"/>
          <w:sz w:val="28"/>
          <w:sz w:val="28"/>
          <w:szCs w:val="28"/>
          <w:rtl w:val="true"/>
          <w:lang w:bidi="fa-IR"/>
        </w:rPr>
        <w:t>إلی ما ینفع المقام، و یأتی فی باب إجارته أیضاً</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1" w:name="__RefHeading___Toc9696809_73709187"/>
      <w:bookmarkStart w:id="402" w:name="_Toc148"/>
      <w:bookmarkEnd w:id="401"/>
      <w:r>
        <w:rPr>
          <w:rtl w:val="true"/>
        </w:rPr>
        <w:t>فرع</w:t>
      </w:r>
      <w:bookmarkEnd w:id="402"/>
    </w:p>
    <w:p>
      <w:pPr>
        <w:pStyle w:val="BookText"/>
        <w:rPr/>
      </w:pPr>
      <w:r>
        <w:rPr>
          <w:rFonts w:ascii="IRNazanin" w:hAnsi="IRNazanin" w:eastAsia="IRNazanin"/>
          <w:color w:val="111111"/>
          <w:sz w:val="28"/>
          <w:sz w:val="28"/>
          <w:szCs w:val="28"/>
          <w:rtl w:val="true"/>
          <w:lang w:bidi="fa-IR"/>
        </w:rPr>
        <w:t>إذا صدر الضمان من الصبیّ و المجنون و الغافل و الساهی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ارتفعت الأوصاف المذکورة المانعة من صحّة الضمان، فهل یصحّ بالإجازة و الإمضاء منهم عند اجتماع شرائط الصحّة أو لا؟ المعتمد هو الثانی، کما هو المستفاد من عبارات الأصحاب، و یدلّ علیه الأصل أیضاً</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3" w:name="__RefHeading___Toc9696811_73709187"/>
      <w:bookmarkStart w:id="404" w:name="_Toc149"/>
      <w:bookmarkEnd w:id="403"/>
      <w:r>
        <w:rPr>
          <w:rtl w:val="true"/>
        </w:rPr>
        <w:t>المطلب الثانی</w:t>
      </w:r>
      <w:r>
        <w:rPr>
          <w:rtl w:val="true"/>
        </w:rPr>
        <w:t xml:space="preserve">: </w:t>
      </w:r>
      <w:r>
        <w:rPr>
          <w:rtl w:val="true"/>
        </w:rPr>
        <w:t>اعتبار البلوغ فی المضمون له</w:t>
      </w:r>
      <w:bookmarkEnd w:id="404"/>
    </w:p>
    <w:p>
      <w:pPr>
        <w:pStyle w:val="Heading6"/>
        <w:numPr>
          <w:ilvl w:val="5"/>
          <w:numId w:val="1"/>
        </w:numPr>
        <w:rPr/>
      </w:pPr>
      <w:bookmarkStart w:id="405" w:name="__RefHeading___Toc9696813_73709187"/>
      <w:bookmarkStart w:id="406" w:name="_Toc150"/>
      <w:bookmarkEnd w:id="405"/>
      <w:r>
        <w:rPr>
          <w:rtl w:val="true"/>
        </w:rPr>
        <w:t>اشارة</w:t>
      </w:r>
      <w:bookmarkEnd w:id="406"/>
    </w:p>
    <w:p>
      <w:pPr>
        <w:pStyle w:val="BookText"/>
        <w:rPr/>
      </w:pPr>
      <w:r>
        <w:rPr>
          <w:rFonts w:ascii="IRNazanin" w:hAnsi="IRNazanin" w:eastAsia="IRNazanin"/>
          <w:color w:val="111111"/>
          <w:sz w:val="28"/>
          <w:sz w:val="28"/>
          <w:szCs w:val="28"/>
          <w:rtl w:val="true"/>
          <w:lang w:bidi="fa-IR"/>
        </w:rPr>
        <w:t>یشترط فی المضمون له أیضاً أن یکون بالغاً مختاراً رشیداً جائز التصرّف فی ماله و عدم کونه مفلّساً، و علی هذا الأساس فلا یصحّ للصبیّ کما صرّح به فی العروة و وافقه فی ذلک عدّة من المعلّقین علیها</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وسیلة النجاة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فی کلّ من الضامن و المضمون له أن یکون</w:t>
      </w:r>
      <w:bookmarkStart w:id="407" w:name="pg11757_135650"/>
    </w:p>
    <w:p>
      <w:pPr>
        <w:pStyle w:val="BookText"/>
        <w:rPr/>
      </w:pPr>
      <w:bookmarkEnd w:id="407"/>
      <w:r>
        <w:rPr>
          <w:rFonts w:ascii="IRNazanin" w:hAnsi="IRNazanin" w:eastAsia="IRNazanin"/>
          <w:color w:val="111111"/>
          <w:sz w:val="28"/>
          <w:sz w:val="28"/>
          <w:szCs w:val="28"/>
          <w:rtl w:val="true"/>
          <w:lang w:bidi="fa-IR"/>
        </w:rPr>
        <w:t>بالغاً عاقلاً رشیداً مختاراً، و لا یشترط ذلک کُلّه فی المضمون عنه، فلا یصحّ ضمان الصبیّ و لا الضمان له، و لکن یصحّ الضمان عنه</w:t>
      </w:r>
      <w:r>
        <w:rPr>
          <w:rFonts w:eastAsia="IRNazanin" w:cs="IRNazanin"/>
          <w:color w:val="111111"/>
          <w:sz w:val="28"/>
          <w:szCs w:val="28"/>
          <w:rtl w:val="true"/>
          <w:lang w:bidi="fa-IR"/>
        </w:rPr>
        <w:t>»</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تحریر الوسیلة،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غیر محجور علیه لفلس</w:t>
      </w:r>
      <w:r>
        <w:rPr>
          <w:rStyle w:val="FootnoteAnchor"/>
          <w:rtl w:val="true"/>
        </w:rPr>
        <w:footnoteReference w:id="1513"/>
      </w:r>
      <w:r>
        <w:rPr>
          <w:rFonts w:ascii="IRNazanin" w:hAnsi="IRNazanin" w:eastAsia="IRNazanin"/>
          <w:color w:val="111111"/>
          <w:sz w:val="28"/>
          <w:sz w:val="28"/>
          <w:szCs w:val="28"/>
          <w:rtl w:val="true"/>
          <w:lang w:bidi="fa-IR"/>
        </w:rPr>
        <w:t>، و صرّح به أیضاً فی منهاج الصالحین</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8" w:name="__RefHeading___Toc9696815_73709187"/>
      <w:bookmarkStart w:id="409" w:name="_Toc151"/>
      <w:bookmarkEnd w:id="408"/>
      <w:r>
        <w:rPr>
          <w:rtl w:val="true"/>
        </w:rPr>
        <w:t>أدلّة هذا الحکم</w:t>
      </w:r>
      <w:bookmarkEnd w:id="409"/>
    </w:p>
    <w:p>
      <w:pPr>
        <w:pStyle w:val="BookText"/>
        <w:rPr/>
      </w:pPr>
      <w:r>
        <w:rPr>
          <w:rFonts w:ascii="IRNazanin" w:hAnsi="IRNazanin" w:eastAsia="IRNazanin"/>
          <w:color w:val="111111"/>
          <w:sz w:val="28"/>
          <w:sz w:val="28"/>
          <w:szCs w:val="28"/>
          <w:rtl w:val="true"/>
          <w:lang w:bidi="fa-IR"/>
        </w:rPr>
        <w:t>و الدلیل علی ذلک ما تقدّم فی المطلب الأوّل، قال السیّد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تقدّم فی الضامن حرفیّاً</w:t>
      </w:r>
      <w:r>
        <w:rPr>
          <w:rFonts w:eastAsia="IRNazanin" w:cs="IRNazanin"/>
          <w:color w:val="111111"/>
          <w:sz w:val="28"/>
          <w:szCs w:val="28"/>
          <w:rtl w:val="true"/>
          <w:lang w:bidi="fa-IR"/>
        </w:rPr>
        <w:t>»</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لأنّه یعتبر فی الضمان القبول من المضمون له أو رضاه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خلاف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منهما لا یصحّ من غیر البالغ</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اعتبار البلوغ و العقل و الرشد و الاختیار فی کلّ من الضامن و المضمون له؛ فلأنّ الضمان من التصرّفات المالیّة، و الفاقد لبعض هذه الأوصاف إمّا أن یکون ممنوعاً من تلک التصرّفات مطلقاً، أو مع عدم إذن الولیّ و إجازته، و أمّا اعتبار أن لا یکون المضمون له محجوراً علیه لفلس فلأنّه حیث یکون الضمان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ذمّة إلی ذمّة اخری، و انتقال الدَّین عن عهدة المضمون عنه إلی الضامن، فإذا کان المضمون له محجوراً علیه لأجل الفلس یکون ذلک بمنزلة التصرّف فی حقّ الغرماء</w:t>
      </w:r>
      <w:r>
        <w:rPr>
          <w:rFonts w:eastAsia="IRNazanin" w:cs="IRNazanin"/>
          <w:color w:val="111111"/>
          <w:sz w:val="28"/>
          <w:szCs w:val="28"/>
          <w:rtl w:val="true"/>
          <w:lang w:bidi="fa-IR"/>
        </w:rPr>
        <w:t>»</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bookmarkStart w:id="410" w:name="pg11757_135651"/>
    </w:p>
    <w:p>
      <w:pPr>
        <w:pStyle w:val="BookText"/>
        <w:rPr/>
      </w:pPr>
      <w:bookmarkEnd w:id="410"/>
      <w:r>
        <w:rPr>
          <w:rFonts w:ascii="IRNazanin" w:hAnsi="IRNazanin" w:eastAsia="IRNazanin"/>
          <w:color w:val="111111"/>
          <w:sz w:val="28"/>
          <w:sz w:val="28"/>
          <w:szCs w:val="28"/>
          <w:rtl w:val="true"/>
          <w:lang w:bidi="fa-IR"/>
        </w:rPr>
        <w:t>و المفلس لا یتمکّن من التصرّف المالیّ، و المضمون له یتصرّف تصرّفاً مالیّاً حیث یعقد عقداً مع الضامن، بأن یدفع الضامن المال عن المضمون عنه إلی المضمون له، فقد نقل المضمون له المال من ذمّة المضمون عنه إلی ذمّة الضامن، و لعلّ الغرماء لا یرضون بذلک؛ لأنّ الناس یختلفون فی حسن المعاملة و سهولة القضاء</w:t>
      </w:r>
      <w:r>
        <w:rPr>
          <w:rFonts w:eastAsia="IRNazanin" w:cs="IRNazanin"/>
          <w:color w:val="111111"/>
          <w:sz w:val="28"/>
          <w:szCs w:val="28"/>
          <w:rtl w:val="true"/>
          <w:lang w:bidi="fa-IR"/>
        </w:rPr>
        <w:t>.</w:t>
      </w:r>
    </w:p>
    <w:p>
      <w:pPr>
        <w:pStyle w:val="Heading5"/>
        <w:numPr>
          <w:ilvl w:val="4"/>
          <w:numId w:val="1"/>
        </w:numPr>
        <w:rPr/>
      </w:pPr>
      <w:bookmarkStart w:id="411" w:name="__RefHeading___Toc9696817_73709187"/>
      <w:bookmarkStart w:id="412" w:name="_Toc152"/>
      <w:bookmarkEnd w:id="411"/>
      <w:r>
        <w:rPr>
          <w:rtl w:val="true"/>
        </w:rPr>
        <w:t>المطلب الثالث</w:t>
      </w:r>
      <w:r>
        <w:rPr>
          <w:rtl w:val="true"/>
        </w:rPr>
        <w:t xml:space="preserve">: </w:t>
      </w:r>
      <w:r>
        <w:rPr>
          <w:rtl w:val="true"/>
        </w:rPr>
        <w:t>عدم اعتبار البلوغ فی المضمون عنه</w:t>
      </w:r>
      <w:bookmarkEnd w:id="412"/>
    </w:p>
    <w:p>
      <w:pPr>
        <w:pStyle w:val="Heading6"/>
        <w:numPr>
          <w:ilvl w:val="5"/>
          <w:numId w:val="1"/>
        </w:numPr>
        <w:rPr/>
      </w:pPr>
      <w:bookmarkStart w:id="413" w:name="__RefHeading___Toc9696819_73709187"/>
      <w:bookmarkStart w:id="414" w:name="_Toc153"/>
      <w:bookmarkEnd w:id="413"/>
      <w:r>
        <w:rPr>
          <w:rtl w:val="true"/>
        </w:rPr>
        <w:t>اشارة</w:t>
      </w:r>
      <w:bookmarkEnd w:id="414"/>
    </w:p>
    <w:p>
      <w:pPr>
        <w:pStyle w:val="BookText"/>
        <w:rPr/>
      </w:pP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یصحّ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الضمان عن الصبیّ و المجنون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أجده</w:t>
      </w:r>
      <w:r>
        <w:rPr>
          <w:rFonts w:eastAsia="IRNazanin" w:cs="IRNazanin"/>
          <w:color w:val="111111"/>
          <w:sz w:val="28"/>
          <w:szCs w:val="28"/>
          <w:rtl w:val="true"/>
          <w:lang w:bidi="fa-IR"/>
        </w:rPr>
        <w:t>»</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المضمون عنه فلا یعتبر فیه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البلوغ و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فیصحّ کونه صغیراً أو مجنوناً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ینفع إذنهما فی جواز الرجوع بالعوض</w:t>
      </w:r>
      <w:r>
        <w:rPr>
          <w:rFonts w:eastAsia="IRNazanin" w:cs="IRNazanin"/>
          <w:color w:val="111111"/>
          <w:sz w:val="28"/>
          <w:szCs w:val="28"/>
          <w:rtl w:val="true"/>
          <w:lang w:bidi="fa-IR"/>
        </w:rPr>
        <w:t>»</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وسیلة النجاة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یصحّ الضمان عنه</w:t>
      </w:r>
      <w:r>
        <w:rPr>
          <w:rFonts w:eastAsia="IRNazanin" w:cs="IRNazanin"/>
          <w:color w:val="111111"/>
          <w:sz w:val="28"/>
          <w:szCs w:val="28"/>
          <w:rtl w:val="true"/>
          <w:lang w:bidi="fa-IR"/>
        </w:rPr>
        <w:t>»</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فی المدیون فلا یعتبر شیء من ذلک، فلو ضمن شخص ما علی المجنون أو الصغیر من الدین صحّ</w:t>
      </w:r>
      <w:r>
        <w:rPr>
          <w:rFonts w:eastAsia="IRNazanin" w:cs="IRNazanin"/>
          <w:color w:val="111111"/>
          <w:sz w:val="28"/>
          <w:szCs w:val="28"/>
          <w:rtl w:val="true"/>
          <w:lang w:bidi="fa-IR"/>
        </w:rPr>
        <w:t>»</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5" w:name="__RefHeading___Toc9696821_73709187"/>
      <w:bookmarkStart w:id="416" w:name="_Toc154"/>
      <w:bookmarkEnd w:id="415"/>
      <w:r>
        <w:rPr>
          <w:rtl w:val="true"/>
        </w:rPr>
        <w:t>أدلّة عدم اعتبار البلوغ و العقل فی المضمون عنه</w:t>
      </w:r>
      <w:r>
        <w:rPr>
          <w:rtl w:val="true"/>
        </w:rPr>
        <w:t>:</w:t>
      </w:r>
      <w:bookmarkEnd w:id="416"/>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لذلک باُمور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بعض من الروایات</w:t>
      </w:r>
      <w:r>
        <w:rPr>
          <w:rStyle w:val="FootnoteAnchor"/>
          <w:rtl w:val="true"/>
        </w:rPr>
        <w:footnoteReference w:id="1521"/>
      </w:r>
      <w:r>
        <w:rPr>
          <w:rFonts w:ascii="IRNazanin" w:hAnsi="IRNazanin" w:eastAsia="IRNazanin"/>
          <w:color w:val="111111"/>
          <w:sz w:val="28"/>
          <w:sz w:val="28"/>
          <w:szCs w:val="28"/>
          <w:rtl w:val="true"/>
          <w:lang w:bidi="fa-IR"/>
        </w:rPr>
        <w:t>فی صحّة الضمان عن المیّت؛ لأنّ مقتضاها</w:t>
      </w:r>
      <w:r>
        <w:rPr>
          <w:rStyle w:val="FootnoteAnchor"/>
          <w:rtl w:val="true"/>
        </w:rPr>
        <w:footnoteReference w:id="1522"/>
      </w:r>
      <w:r>
        <w:rPr>
          <w:rFonts w:ascii="IRNazanin" w:hAnsi="IRNazanin" w:eastAsia="IRNazanin"/>
          <w:color w:val="111111"/>
          <w:sz w:val="28"/>
          <w:sz w:val="28"/>
          <w:szCs w:val="28"/>
          <w:rtl w:val="true"/>
          <w:lang w:bidi="fa-IR"/>
        </w:rPr>
        <w:t>أنّه لا یعتبر وجود المضمون عنه فی الخارج فضلاً عن البلوغ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المضمون عنه أجنبیّ عن عقد الضمان؛ لأنّ المال للغیر و أمره بیده، فله أن یتصرّف فیه کیفما شاء، و ذمّة المضمون عنه لیست إلّا وعاءً لهذا المال، فلا سلطنة 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یشترط فی صحّة الضمان رضا المضمون عنه علی ما هو المعروف عند أصحابنا، و قال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موضع وفاق</w:t>
      </w:r>
      <w:r>
        <w:rPr>
          <w:rFonts w:eastAsia="IRNazanin" w:cs="IRNazanin"/>
          <w:color w:val="111111"/>
          <w:sz w:val="28"/>
          <w:szCs w:val="28"/>
          <w:rtl w:val="true"/>
          <w:lang w:bidi="fa-IR"/>
        </w:rPr>
        <w:t>»</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ادّعی فی الجواهر الإجماع علیه بقسمیه</w:t>
      </w:r>
      <w:r>
        <w:rPr>
          <w:rStyle w:val="FootnoteAnchor"/>
          <w:rtl w:val="true"/>
        </w:rPr>
        <w:footnoteReference w:id="1524"/>
      </w:r>
      <w:r>
        <w:rPr>
          <w:rFonts w:ascii="IRNazanin" w:hAnsi="IRNazanin" w:eastAsia="IRNazanin"/>
          <w:color w:val="111111"/>
          <w:sz w:val="28"/>
          <w:sz w:val="28"/>
          <w:szCs w:val="28"/>
          <w:rtl w:val="true"/>
          <w:lang w:bidi="fa-IR"/>
        </w:rPr>
        <w:t>، و حیث لا یعتبر ذلک فی صحّة الضمان فیعلم أنّه لا دخل للمضمون عنه فی تحقّق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المسألة مشهورة بین الأصحاب، بل لم نجد فیها مخالفاً، إلاّ أنّه 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ضمان من لم یعقل من الصبیّ و المجنون و المغمی علیه، و کذلک لا یصحّ الضمان عنهم، حکاه عنه فی المختلف</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إصباح الشیعة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یصحّ ضمان من لا یعقل و لا الضمان عنه</w:t>
      </w:r>
      <w:r>
        <w:rPr>
          <w:rFonts w:eastAsia="IRNazanin" w:cs="IRNazanin"/>
          <w:color w:val="111111"/>
          <w:sz w:val="28"/>
          <w:szCs w:val="28"/>
          <w:rtl w:val="true"/>
          <w:lang w:bidi="fa-IR"/>
        </w:rPr>
        <w:t>»</w:t>
      </w:r>
      <w:r>
        <w:rPr>
          <w:rStyle w:val="FootnoteAnchor"/>
          <w:rtl w:val="true"/>
        </w:rPr>
        <w:footnoteReference w:id="1526"/>
      </w:r>
      <w:r>
        <w:rPr>
          <w:rFonts w:ascii="IRNazanin" w:hAnsi="IRNazanin" w:eastAsia="IRNazanin"/>
          <w:color w:val="111111"/>
          <w:sz w:val="28"/>
          <w:sz w:val="28"/>
          <w:szCs w:val="28"/>
          <w:rtl w:val="true"/>
          <w:lang w:bidi="fa-IR"/>
        </w:rPr>
        <w:t xml:space="preserve">، و فی هامشه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الأصل من لا یعدل</w:t>
      </w:r>
      <w:r>
        <w:rPr>
          <w:rFonts w:eastAsia="IRNazanin" w:cs="IRNazanin"/>
          <w:color w:val="111111"/>
          <w:sz w:val="28"/>
          <w:szCs w:val="28"/>
          <w:rtl w:val="true"/>
          <w:lang w:bidi="fa-IR"/>
        </w:rPr>
        <w:t>»</w:t>
      </w:r>
      <w:r>
        <w:rPr>
          <w:rStyle w:val="FootnoteAnchor"/>
          <w:rtl w:val="true"/>
        </w:rPr>
        <w:footnoteReference w:id="1527"/>
      </w:r>
      <w:r>
        <w:rPr>
          <w:rFonts w:ascii="IRNazanin" w:hAnsi="IRNazanin" w:eastAsia="IRNazanin"/>
          <w:color w:val="111111"/>
          <w:sz w:val="28"/>
          <w:sz w:val="28"/>
          <w:szCs w:val="28"/>
          <w:rtl w:val="true"/>
          <w:lang w:bidi="fa-IR"/>
        </w:rPr>
        <w:t>، و یدفعه الأصل و العمومات، و أنّ الضمان</w:t>
      </w:r>
      <w:bookmarkStart w:id="417" w:name="pg11757_135653"/>
    </w:p>
    <w:p>
      <w:pPr>
        <w:pStyle w:val="BookText"/>
        <w:rPr/>
      </w:pPr>
      <w:bookmarkEnd w:id="417"/>
      <w:r>
        <w:rPr>
          <w:rFonts w:ascii="Amiri" w:hAnsi="Amiri" w:eastAsia="Amiri" w:cs="Amiri"/>
          <w:color w:val="111111"/>
          <w:sz w:val="28"/>
          <w:sz w:val="28"/>
          <w:szCs w:val="28"/>
          <w:rtl w:val="true"/>
          <w:lang w:bidi="ar-SA"/>
        </w:rPr>
        <w:t xml:space="preserve">یصحّ عن المیّت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الصبیّ أولی</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8" w:name="__RefHeading___Toc9696823_73709187"/>
      <w:bookmarkStart w:id="419" w:name="_Toc155"/>
      <w:bookmarkEnd w:id="418"/>
      <w:r>
        <w:rPr>
          <w:rtl w:val="true"/>
        </w:rPr>
        <w:t>اعتبار البلوغ فی الضامن عند أهل السنّة</w:t>
      </w:r>
      <w:bookmarkEnd w:id="419"/>
    </w:p>
    <w:p>
      <w:pPr>
        <w:pStyle w:val="BookText"/>
        <w:rPr/>
      </w:pPr>
      <w:r>
        <w:rPr>
          <w:rFonts w:ascii="IRNazanin" w:hAnsi="IRNazanin" w:eastAsia="IRNazanin"/>
          <w:color w:val="111111"/>
          <w:sz w:val="28"/>
          <w:sz w:val="28"/>
          <w:szCs w:val="28"/>
          <w:rtl w:val="true"/>
          <w:lang w:bidi="fa-IR"/>
        </w:rPr>
        <w:t>اتّفقت المذاهب الأربعة علی أنّه یشترط فی الضامن أن یکون صحیح العبارة أهلاً للتبرّع، فلا یصحّ عندهم ضمان الصبیّ و المجنون، و إلیک نصّ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روضة الطالبین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الرّکن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الضامن و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العبارة و أهلیّة التبرّع، أمّا صحّة العبارة فیخرج عنه الصغیر و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ضمانهما</w:t>
      </w:r>
      <w:r>
        <w:rPr>
          <w:rFonts w:eastAsia="IRNazanin" w:cs="IRNazanin"/>
          <w:color w:val="111111"/>
          <w:sz w:val="28"/>
          <w:szCs w:val="28"/>
          <w:rtl w:val="true"/>
          <w:lang w:bidi="fa-IR"/>
        </w:rPr>
        <w:t>»</w:t>
      </w:r>
      <w:r>
        <w:rPr>
          <w:rStyle w:val="FootnoteAnchor"/>
          <w:rtl w:val="true"/>
        </w:rPr>
        <w:footnoteReference w:id="1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إعانة الطالبین</w:t>
      </w:r>
      <w:r>
        <w:rPr>
          <w:rStyle w:val="FootnoteAnchor"/>
          <w:rtl w:val="true"/>
        </w:rPr>
        <w:footnoteReference w:id="1530"/>
      </w:r>
      <w:r>
        <w:rPr>
          <w:rFonts w:ascii="Amiri" w:hAnsi="Amiri" w:eastAsia="Amiri" w:cs="Amiri"/>
          <w:color w:val="111111"/>
          <w:sz w:val="28"/>
          <w:sz w:val="28"/>
          <w:szCs w:val="28"/>
          <w:rtl w:val="true"/>
          <w:lang w:bidi="ar-SA"/>
        </w:rPr>
        <w:t>و المهذّب</w:t>
      </w:r>
      <w:r>
        <w:rPr>
          <w:rStyle w:val="FootnoteAnchor"/>
          <w:rtl w:val="true"/>
        </w:rPr>
        <w:footnoteReference w:id="1531"/>
      </w:r>
      <w:r>
        <w:rPr>
          <w:rFonts w:ascii="IRNazanin" w:hAnsi="IRNazanin" w:eastAsia="IRNazanin"/>
          <w:color w:val="111111"/>
          <w:sz w:val="28"/>
          <w:sz w:val="28"/>
          <w:szCs w:val="28"/>
          <w:rtl w:val="true"/>
          <w:lang w:bidi="fa-IR"/>
        </w:rPr>
        <w:t>و مواهب الجلیل</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له فی المجموع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القلم عن ثلاثة</w:t>
      </w:r>
      <w:r>
        <w:rPr>
          <w:rFonts w:eastAsia="IRNazanin" w:cs="IRNazanin"/>
          <w:color w:val="111111"/>
          <w:sz w:val="28"/>
          <w:szCs w:val="28"/>
          <w:rtl w:val="true"/>
          <w:lang w:bidi="fa-IR"/>
        </w:rPr>
        <w:t>»</w:t>
      </w:r>
      <w:r>
        <w:rPr>
          <w:rStyle w:val="FootnoteAnchor"/>
          <w:rtl w:val="true"/>
        </w:rPr>
        <w:footnoteReference w:id="1533"/>
      </w:r>
      <w:r>
        <w:rPr>
          <w:rFonts w:ascii="IRNazanin" w:hAnsi="IRNazanin" w:eastAsia="IRNazanin"/>
          <w:color w:val="111111"/>
          <w:sz w:val="28"/>
          <w:sz w:val="28"/>
          <w:szCs w:val="28"/>
          <w:rtl w:val="true"/>
          <w:lang w:bidi="fa-IR"/>
        </w:rPr>
        <w:t>لارتفاع القلم عن المجنون و الصبیّ، و لأنّ الضمان إیجاب مال بعقد فلم یصحّ من الصبیّ و المجنون و السفیه کالبیع</w:t>
      </w:r>
      <w:r>
        <w:rPr>
          <w:rFonts w:eastAsia="IRNazanin" w:cs="IRNazanin"/>
          <w:color w:val="111111"/>
          <w:sz w:val="28"/>
          <w:szCs w:val="28"/>
          <w:rtl w:val="true"/>
          <w:lang w:bidi="fa-IR"/>
        </w:rPr>
        <w:t>»</w:t>
      </w:r>
      <w:r>
        <w:rPr>
          <w:rStyle w:val="FootnoteAnchor"/>
          <w:rtl w:val="true"/>
        </w:rPr>
        <w:footnoteReference w:id="1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البیان</w:t>
      </w:r>
      <w:r>
        <w:rPr>
          <w:rStyle w:val="FootnoteAnchor"/>
          <w:rtl w:val="true"/>
        </w:rPr>
        <w:footnoteReference w:id="1535"/>
      </w:r>
      <w:r>
        <w:rPr>
          <w:rFonts w:ascii="IRNazanin" w:hAnsi="IRNazanin" w:eastAsia="IRNazanin"/>
          <w:color w:val="111111"/>
          <w:sz w:val="28"/>
          <w:sz w:val="28"/>
          <w:szCs w:val="28"/>
          <w:rtl w:val="true"/>
          <w:lang w:bidi="fa-IR"/>
        </w:rPr>
        <w:t>و الکافی</w:t>
      </w:r>
      <w:r>
        <w:rPr>
          <w:rStyle w:val="FootnoteAnchor"/>
          <w:rtl w:val="true"/>
        </w:rPr>
        <w:footnoteReference w:id="1536"/>
      </w:r>
      <w:r>
        <w:rPr>
          <w:rFonts w:ascii="IRNazanin" w:hAnsi="IRNazanin" w:eastAsia="IRNazanin"/>
          <w:color w:val="111111"/>
          <w:sz w:val="28"/>
          <w:sz w:val="28"/>
          <w:szCs w:val="28"/>
          <w:rtl w:val="true"/>
          <w:lang w:bidi="fa-IR"/>
        </w:rPr>
        <w:t>، و صرّح به أیضاً فی عقد الجواهر الثمینة</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قدامة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صبیّ غیر ممیّز بغیر خلاف؛ لأنّه إیجاب مال بعقد فلم یصحّ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الصبیّ الممیّز فلا یصحّ ضمانه فی الصحیح من الوجهین، و هو قول الشافعی، و خرّجه أصحابنا علی الرّوایتین فی صحّة إقراره و تصرّفاته بإذن ولیّه، و لا یصحّ هذا الجمع؛ لأنّ هذا التزام مال لا فائدة له فیه، فلم یصحّ منه کالتبرّع و النذر بخلاف البیع</w:t>
      </w:r>
      <w:r>
        <w:rPr>
          <w:rFonts w:eastAsia="IRNazanin" w:cs="IRNazanin"/>
          <w:color w:val="111111"/>
          <w:sz w:val="28"/>
          <w:szCs w:val="28"/>
          <w:rtl w:val="true"/>
          <w:lang w:bidi="fa-IR"/>
        </w:rPr>
        <w:t>»</w:t>
      </w:r>
      <w:r>
        <w:rPr>
          <w:rStyle w:val="FootnoteAnchor"/>
          <w:rtl w:val="true"/>
        </w:rPr>
        <w:footnoteReference w:id="1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الشرح الکبیر</w:t>
      </w:r>
      <w:r>
        <w:rPr>
          <w:rStyle w:val="FootnoteAnchor"/>
          <w:rtl w:val="true"/>
        </w:rPr>
        <w:footnoteReference w:id="1539"/>
      </w:r>
      <w:r>
        <w:rPr>
          <w:rFonts w:ascii="IRNazanin" w:hAnsi="IRNazanin" w:eastAsia="IRNazanin"/>
          <w:color w:val="111111"/>
          <w:sz w:val="28"/>
          <w:sz w:val="28"/>
          <w:szCs w:val="28"/>
          <w:rtl w:val="true"/>
          <w:lang w:bidi="fa-IR"/>
        </w:rPr>
        <w:t>و الإنصاف</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bookmarkStart w:id="420" w:name="pg11757_135655"/>
    </w:p>
    <w:p>
      <w:pPr>
        <w:pStyle w:val="Heading4"/>
        <w:numPr>
          <w:ilvl w:val="3"/>
          <w:numId w:val="1"/>
        </w:numPr>
        <w:rPr/>
      </w:pPr>
      <w:bookmarkStart w:id="421" w:name="__RefHeading___Toc9696825_73709187"/>
      <w:bookmarkStart w:id="422" w:name="_Toc156"/>
      <w:bookmarkEnd w:id="420"/>
      <w:bookmarkEnd w:id="421"/>
      <w:r>
        <w:rPr>
          <w:rtl w:val="true"/>
        </w:rPr>
        <w:t>المبحث الثانی</w:t>
      </w:r>
      <w:r>
        <w:rPr>
          <w:rtl w:val="true"/>
        </w:rPr>
        <w:t xml:space="preserve">: </w:t>
      </w:r>
      <w:r>
        <w:rPr>
          <w:rtl w:val="true"/>
        </w:rPr>
        <w:t>حوالة الصبیّ‌</w:t>
      </w:r>
      <w:bookmarkEnd w:id="422"/>
    </w:p>
    <w:p>
      <w:pPr>
        <w:pStyle w:val="Heading5"/>
        <w:numPr>
          <w:ilvl w:val="4"/>
          <w:numId w:val="1"/>
        </w:numPr>
        <w:rPr/>
      </w:pPr>
      <w:bookmarkStart w:id="423" w:name="__RefHeading___Toc9696827_73709187"/>
      <w:bookmarkStart w:id="424" w:name="_Toc157"/>
      <w:bookmarkEnd w:id="423"/>
      <w:r>
        <w:rPr>
          <w:rtl w:val="true"/>
        </w:rPr>
        <w:t>اشارة</w:t>
      </w:r>
      <w:bookmarkEnd w:id="424"/>
    </w:p>
    <w:p>
      <w:pPr>
        <w:pStyle w:val="BookText"/>
        <w:rPr/>
      </w:pPr>
      <w:r>
        <w:rPr>
          <w:rFonts w:ascii="IRNazanin" w:hAnsi="IRNazanin" w:eastAsia="IRNazanin"/>
          <w:color w:val="111111"/>
          <w:sz w:val="28"/>
          <w:sz w:val="28"/>
          <w:szCs w:val="28"/>
          <w:rtl w:val="true"/>
          <w:lang w:bidi="fa-IR"/>
        </w:rPr>
        <w:t xml:space="preserve">الحوالة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مأخوذة من حوّل تحویلاً بمعنی النقل من موضع إلی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حوّلت الرّداء، أی نقلتُ کلّ طرف إلی موضع الآخر، و أحلتَه بدینه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نقلته إلی ذمّة غیر ذمّتک</w:t>
      </w:r>
      <w:r>
        <w:rPr>
          <w:rStyle w:val="FootnoteAnchor"/>
          <w:rtl w:val="true"/>
        </w:rPr>
        <w:footnoteReference w:id="1541"/>
      </w:r>
      <w:r>
        <w:rPr>
          <w:rFonts w:ascii="Amiri" w:hAnsi="Amiri" w:eastAsia="Amiri" w:cs="Amiri"/>
          <w:color w:val="111111"/>
          <w:sz w:val="28"/>
          <w:sz w:val="28"/>
          <w:szCs w:val="28"/>
          <w:rtl w:val="true"/>
          <w:lang w:bidi="ar-SA"/>
        </w:rPr>
        <w:t>، و الاسم الحوالة</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عند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شرّع لتحویل المال من ذمّة إلی ذمّة مشغولة بمثله، علی اختلاف فی اعتبار اشتغال ذمّة المحال علیه و عدمه کما ذکر فی محلّه</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من العقود المشروعة بالنصّ و إجماع الاُمّة</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یقال لمن علیه الحقّ و أحال ذمّته إلی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المحیل أو المدیون، و لمن له الحقّ و یقبل الحوالة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المحتال أو الدائن، و لمن علیه الحقّ للمحیل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أن لا یکون علیه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المحال علیه، و أمّا المحال به فهو الدّین</w:t>
      </w:r>
      <w:r>
        <w:rPr>
          <w:rStyle w:val="FootnoteAnchor"/>
          <w:rtl w:val="true"/>
        </w:rPr>
        <w:footnoteReference w:id="1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شرائطها، کمال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اختلاف فی 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المحال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بالبلوغ و العقل، فلا تصحّ حوالة الصبیّ و إن کان ممیّزاً، و هذا ممّا لا خلاف فیه، و أمّا عدم تعرّض کثیر من الفقهاء إلی بحثه مستقلاًّ فلعلّه لظهوره، کما فی مجمع الفائدة</w:t>
      </w:r>
      <w:r>
        <w:rPr>
          <w:rStyle w:val="FootnoteAnchor"/>
          <w:rtl w:val="true"/>
        </w:rPr>
        <w:footnoteReference w:id="1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صرّح بعضهم بأنّه یعتبر فیها ما یعتبر فی غیرها من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یعتبر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المحیل و المحتال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یعتبر فی غیرهما من اللفظ و المقارنة و غیرهما</w:t>
      </w:r>
      <w:r>
        <w:rPr>
          <w:rFonts w:eastAsia="IRNazanin" w:cs="IRNazanin"/>
          <w:color w:val="111111"/>
          <w:sz w:val="28"/>
          <w:szCs w:val="28"/>
          <w:rtl w:val="true"/>
          <w:lang w:bidi="fa-IR"/>
        </w:rPr>
        <w:t>»</w:t>
      </w:r>
      <w:r>
        <w:rPr>
          <w:rStyle w:val="FootnoteAnchor"/>
          <w:rtl w:val="true"/>
        </w:rPr>
        <w:footnoteReference w:id="1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الرّوضة</w:t>
      </w:r>
      <w:r>
        <w:rPr>
          <w:rStyle w:val="FootnoteAnchor"/>
          <w:rtl w:val="true"/>
        </w:rPr>
        <w:footnoteReference w:id="1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تعرّض بعضهم لبحث حوالة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اختلاف آرائهم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مجمع الفائدة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البحث فی جواز صدورها عن الممیّز و السفیه بإذن الولیّ، کما تقدّم</w:t>
      </w:r>
      <w:r>
        <w:rPr>
          <w:rFonts w:eastAsia="IRNazanin" w:cs="IRNazanin"/>
          <w:color w:val="111111"/>
          <w:sz w:val="28"/>
          <w:szCs w:val="28"/>
          <w:rtl w:val="true"/>
          <w:lang w:bidi="fa-IR"/>
        </w:rPr>
        <w:t>»</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یعتبر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 العقل و الرّشد و الاختیار، و فی المحتال</w:t>
      </w:r>
      <w:r>
        <w:rPr>
          <w:rStyle w:val="FootnoteAnchor"/>
          <w:rtl w:val="true"/>
        </w:rPr>
        <w:footnoteReference w:id="1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الحجر للفلس</w:t>
      </w:r>
      <w:r>
        <w:rPr>
          <w:rFonts w:eastAsia="IRNazanin" w:cs="IRNazanin"/>
          <w:color w:val="111111"/>
          <w:sz w:val="28"/>
          <w:szCs w:val="28"/>
          <w:rtl w:val="true"/>
          <w:lang w:bidi="fa-IR"/>
        </w:rPr>
        <w:t>»</w:t>
      </w:r>
      <w:r>
        <w:rPr>
          <w:rStyle w:val="FootnoteAnchor"/>
          <w:rtl w:val="true"/>
        </w:rPr>
        <w:footnoteReference w:id="1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منهاج الصالحین</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یعتبر فی الجمیع ما مرّ اعتباره فی الضمان من البلوغ و العقل و الرشد و الاختیار، و یعتبر فی خصوص المحتال عدم الحجر لأجل الفلس؛ لأنّ الصغر و السفاهة داخلان فی البلوغ و الرشد</w:t>
      </w:r>
      <w:r>
        <w:rPr>
          <w:rFonts w:eastAsia="IRNazanin" w:cs="IRNazanin"/>
          <w:color w:val="111111"/>
          <w:sz w:val="28"/>
          <w:szCs w:val="28"/>
          <w:rtl w:val="true"/>
          <w:lang w:bidi="fa-IR"/>
        </w:rPr>
        <w:t>»</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مهذّب الأحکام بعد التصریح بأنّه یشترط فیها البلوغ و العقل و الاختیار،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الثلاثة من الشرائط العامّة لصحّة کلّ عقد و إیقاع فرغنا عن أدلّة اعتبارها فی أوّل البیع</w:t>
      </w:r>
      <w:r>
        <w:rPr>
          <w:rFonts w:eastAsia="IRNazanin" w:cs="IRNazanin"/>
          <w:color w:val="111111"/>
          <w:sz w:val="28"/>
          <w:szCs w:val="28"/>
          <w:rtl w:val="true"/>
          <w:lang w:bidi="fa-IR"/>
        </w:rPr>
        <w:t>»</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هذه الشرائط ثابتة فی جمیع العقود، و فی المقام لا إشکال فی اعتبارها فی المحیل و المحال، و أمّا المحال علیه فالظاهر عدم اشتراطها فیه، و سیأتی فی ذلک زیادة توضیح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عدم صحّة حوالة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الأدلّة المتقدّمة التی تدلّ علی عدم صحّة بیعه إذا استقلّ به،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أمره فی الشراء و البیع</w:t>
      </w:r>
      <w:r>
        <w:rPr>
          <w:rFonts w:eastAsia="IRNazanin" w:cs="IRNazanin"/>
          <w:color w:val="111111"/>
          <w:sz w:val="28"/>
          <w:szCs w:val="28"/>
          <w:rtl w:val="true"/>
          <w:lang w:bidi="fa-IR"/>
        </w:rPr>
        <w:t>»</w:t>
      </w:r>
      <w:r>
        <w:rPr>
          <w:rStyle w:val="FootnoteAnchor"/>
          <w:rtl w:val="true"/>
        </w:rPr>
        <w:footnoteReference w:id="1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الفقهاء اشترطوا فی الحوالة رضی الثلاثة</w:t>
      </w:r>
      <w:r>
        <w:rPr>
          <w:rStyle w:val="FootnoteAnchor"/>
          <w:rtl w:val="true"/>
        </w:rPr>
        <w:footnoteReference w:id="1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المحیل و المحتال و المحال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علیه الإجماع فی کلام جماعة</w:t>
      </w:r>
      <w:r>
        <w:rPr>
          <w:rStyle w:val="FootnoteAnchor"/>
          <w:rtl w:val="true"/>
        </w:rPr>
        <w:footnoteReference w:id="1557"/>
      </w:r>
      <w:r>
        <w:rPr>
          <w:rFonts w:ascii="IRNazanin" w:hAnsi="IRNazanin" w:eastAsia="IRNazanin"/>
          <w:color w:val="111111"/>
          <w:sz w:val="28"/>
          <w:sz w:val="28"/>
          <w:szCs w:val="28"/>
          <w:rtl w:val="true"/>
          <w:lang w:bidi="fa-IR"/>
        </w:rPr>
        <w:t>، و جعلوا ذلک دلیلاً علی کمالهم، فإنّ الرضا بدون الکمال لا اعتبار به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یعتبر الرضا ممّن له أهلیّة التصرّف، فلا تصحّ من الصبیّ و إن کان ممیّزاً، أذن له الولیّ أولا، و لا المجنون، سواء کانا محیلین أو محتالین أو محالاً علیهما</w:t>
      </w:r>
      <w:r>
        <w:rPr>
          <w:rFonts w:eastAsia="IRNazanin" w:cs="IRNazanin"/>
          <w:color w:val="111111"/>
          <w:sz w:val="28"/>
          <w:szCs w:val="28"/>
          <w:rtl w:val="true"/>
          <w:lang w:bidi="fa-IR"/>
        </w:rPr>
        <w:t>»</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bookmarkStart w:id="425" w:name="pg11757_135658"/>
    </w:p>
    <w:p>
      <w:pPr>
        <w:pStyle w:val="BookText"/>
        <w:rPr/>
      </w:pPr>
      <w:bookmarkEnd w:id="425"/>
      <w:r>
        <w:rPr>
          <w:rFonts w:ascii="IRNazanin" w:hAnsi="IRNazanin" w:eastAsia="IRNazanin"/>
          <w:color w:val="111111"/>
          <w:sz w:val="28"/>
          <w:sz w:val="28"/>
          <w:szCs w:val="28"/>
          <w:rtl w:val="true"/>
          <w:lang w:bidi="fa-IR"/>
        </w:rPr>
        <w:t>و بالجملة، أنّ الصبیّ ممنوع من التصرّف، سواء کان فی العین الخارجیّة أو فی الذمّة کما فی المقام، فلا یصحّ أن یکون طرفاً للعقد، سواء کان محیلاً أو محتالاً 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یعتبر رضی المحال علیه فلا یکفی رضی الصبیّ؛ لأنّ رضاه تصرّف فی ذمّته باشتغاله للمحیل و نقله للمحتال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استقلّ الصبیّ بتدبیر الحوالة و لو بتفویض ولیّه أمرها إلیه کتفویض الموکّل أمر المعاملة إلی الوکیل؛ نظراً إلی أنّ الشارع لم یفوّض أمر المعاملة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الحوالة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و أمّا إذا أذن له الولیّ أو أجازها بعد وقوعها فیمکن الحکم بصحّتها ظاهراً من جهة إضافتها إلی الولیّ علی ما مرّ فی بیع الصبیّ و الدلیل هو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القول بانعقاد عقد الحوالة من الصبیّ بأن یکون محیلاً أو محتالاً؛ لما تقدّم من أنّه لا مانع من أن یکون الصبیّ عاقداً بالإیجاب أو القبول أو کلیهما، و لکن کان نفاذه مشروطاً بإجازة ولیّه، إلاّ أنّه ینبغی لزوماً أن لا یترک الاحتیاط فی کون المحیل و المحتال بالغاً، حیث إنّه لم یرد فی المقام نصّ</w:t>
      </w:r>
      <w:r>
        <w:rPr>
          <w:rFonts w:eastAsia="IRNazanin" w:cs="IRNazanin"/>
          <w:color w:val="111111"/>
          <w:sz w:val="28"/>
          <w:szCs w:val="28"/>
          <w:rtl w:val="true"/>
          <w:lang w:bidi="fa-IR"/>
        </w:rPr>
        <w:t>.</w:t>
      </w:r>
    </w:p>
    <w:p>
      <w:pPr>
        <w:pStyle w:val="Heading5"/>
        <w:numPr>
          <w:ilvl w:val="4"/>
          <w:numId w:val="1"/>
        </w:numPr>
        <w:rPr/>
      </w:pPr>
      <w:bookmarkStart w:id="426" w:name="__RefHeading___Toc9696829_73709187"/>
      <w:bookmarkStart w:id="427" w:name="_Toc158"/>
      <w:bookmarkEnd w:id="426"/>
      <w:r>
        <w:rPr>
          <w:rtl w:val="true"/>
        </w:rPr>
        <w:t>تکملة</w:t>
      </w:r>
      <w:bookmarkEnd w:id="427"/>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خلاف فی أنّه یشترط فی الحوالة رضی المحیل و المحتال، کما صرّح به فی المبسوط‌</w:t>
      </w:r>
      <w:r>
        <w:rPr>
          <w:rStyle w:val="FootnoteAnchor"/>
          <w:rtl w:val="true"/>
        </w:rPr>
        <w:footnoteReference w:id="1559"/>
      </w:r>
      <w:r>
        <w:rPr>
          <w:rFonts w:ascii="IRNazanin" w:hAnsi="IRNazanin" w:eastAsia="IRNazanin"/>
          <w:color w:val="111111"/>
          <w:sz w:val="28"/>
          <w:sz w:val="28"/>
          <w:szCs w:val="28"/>
          <w:rtl w:val="true"/>
          <w:lang w:bidi="fa-IR"/>
        </w:rPr>
        <w:t>و الخلاف</w:t>
      </w:r>
      <w:r>
        <w:rPr>
          <w:rStyle w:val="FootnoteAnchor"/>
          <w:rtl w:val="true"/>
        </w:rPr>
        <w:footnoteReference w:id="1560"/>
      </w:r>
      <w:r>
        <w:rPr>
          <w:rFonts w:ascii="IRNazanin" w:hAnsi="IRNazanin" w:eastAsia="IRNazanin"/>
          <w:color w:val="111111"/>
          <w:sz w:val="28"/>
          <w:sz w:val="28"/>
          <w:szCs w:val="28"/>
          <w:rtl w:val="true"/>
          <w:lang w:bidi="fa-IR"/>
        </w:rPr>
        <w:t>و الشرائع</w:t>
      </w:r>
      <w:r>
        <w:rPr>
          <w:rStyle w:val="FootnoteAnchor"/>
          <w:rtl w:val="true"/>
        </w:rPr>
        <w:footnoteReference w:id="1561"/>
      </w:r>
      <w:r>
        <w:rPr>
          <w:rFonts w:ascii="IRNazanin" w:hAnsi="IRNazanin" w:eastAsia="IRNazanin"/>
          <w:color w:val="111111"/>
          <w:sz w:val="28"/>
          <w:sz w:val="28"/>
          <w:szCs w:val="28"/>
          <w:rtl w:val="true"/>
          <w:lang w:bidi="fa-IR"/>
        </w:rPr>
        <w:t>و جامع المقاصد</w:t>
      </w:r>
      <w:r>
        <w:rPr>
          <w:rStyle w:val="FootnoteAnchor"/>
          <w:rtl w:val="true"/>
        </w:rPr>
        <w:footnoteReference w:id="1562"/>
      </w:r>
      <w:r>
        <w:rPr>
          <w:rFonts w:ascii="Amiri" w:hAnsi="Amiri" w:eastAsia="Amiri" w:cs="Amiri"/>
          <w:color w:val="111111"/>
          <w:sz w:val="28"/>
          <w:sz w:val="28"/>
          <w:szCs w:val="28"/>
          <w:rtl w:val="true"/>
          <w:lang w:bidi="ar-SA"/>
        </w:rPr>
        <w:t xml:space="preserve">و مجمع الفائدة </w:t>
      </w:r>
      <w:r>
        <w:rPr>
          <w:rStyle w:val="FootnoteAnchor"/>
          <w:rtl w:val="true"/>
        </w:rPr>
        <w:footnoteReference w:id="1563"/>
      </w:r>
    </w:p>
    <w:p>
      <w:pPr>
        <w:pStyle w:val="BookText"/>
        <w:rPr/>
      </w:pPr>
      <w:r>
        <w:rPr>
          <w:rFonts w:ascii="IRNazanin" w:hAnsi="IRNazanin" w:eastAsia="IRNazanin"/>
          <w:color w:val="111111"/>
          <w:sz w:val="28"/>
          <w:sz w:val="28"/>
          <w:szCs w:val="28"/>
          <w:rtl w:val="true"/>
          <w:lang w:bidi="fa-IR"/>
        </w:rPr>
        <w:t>و غیرها</w:t>
      </w:r>
      <w:r>
        <w:rPr>
          <w:rStyle w:val="FootnoteAnchor"/>
          <w:rtl w:val="true"/>
        </w:rPr>
        <w:footnoteReference w:id="1564"/>
      </w:r>
      <w:r>
        <w:rPr>
          <w:rFonts w:ascii="IRNazanin" w:hAnsi="IRNazanin" w:eastAsia="IRNazanin"/>
          <w:color w:val="111111"/>
          <w:sz w:val="28"/>
          <w:sz w:val="28"/>
          <w:szCs w:val="28"/>
          <w:rtl w:val="true"/>
          <w:lang w:bidi="fa-IR"/>
        </w:rPr>
        <w:t>، و ادّعی علیه الإجماع فی الغنیة</w:t>
      </w:r>
      <w:r>
        <w:rPr>
          <w:rStyle w:val="FootnoteAnchor"/>
          <w:rtl w:val="true"/>
        </w:rPr>
        <w:footnoteReference w:id="1565"/>
      </w:r>
      <w:r>
        <w:rPr>
          <w:rFonts w:ascii="IRNazanin" w:hAnsi="IRNazanin" w:eastAsia="IRNazanin"/>
          <w:color w:val="111111"/>
          <w:sz w:val="28"/>
          <w:sz w:val="28"/>
          <w:szCs w:val="28"/>
          <w:rtl w:val="true"/>
          <w:lang w:bidi="fa-IR"/>
        </w:rPr>
        <w:t>و التذکرة</w:t>
      </w:r>
      <w:r>
        <w:rPr>
          <w:rStyle w:val="FootnoteAnchor"/>
          <w:rtl w:val="true"/>
        </w:rPr>
        <w:footnoteReference w:id="1566"/>
      </w:r>
      <w:r>
        <w:rPr>
          <w:rFonts w:ascii="IRNazanin" w:hAnsi="IRNazanin" w:eastAsia="IRNazanin"/>
          <w:color w:val="111111"/>
          <w:sz w:val="28"/>
          <w:sz w:val="28"/>
          <w:szCs w:val="28"/>
          <w:rtl w:val="true"/>
          <w:lang w:bidi="fa-IR"/>
        </w:rPr>
        <w:t>و المسالک</w:t>
      </w:r>
      <w:r>
        <w:rPr>
          <w:rStyle w:val="FootnoteAnchor"/>
          <w:rtl w:val="true"/>
        </w:rPr>
        <w:footnoteReference w:id="1567"/>
      </w:r>
      <w:r>
        <w:rPr>
          <w:rFonts w:ascii="IRNazanin" w:hAnsi="IRNazanin" w:eastAsia="IRNazanin"/>
          <w:color w:val="111111"/>
          <w:sz w:val="28"/>
          <w:sz w:val="28"/>
          <w:szCs w:val="28"/>
          <w:rtl w:val="true"/>
          <w:lang w:bidi="fa-IR"/>
        </w:rPr>
        <w:t>و الجواهر</w:t>
      </w:r>
      <w:r>
        <w:rPr>
          <w:rStyle w:val="FootnoteAnchor"/>
          <w:rtl w:val="true"/>
        </w:rPr>
        <w:footnoteReference w:id="1568"/>
      </w:r>
      <w:r>
        <w:rPr>
          <w:rFonts w:ascii="IRNazanin" w:hAnsi="IRNazanin" w:eastAsia="IRNazanin"/>
          <w:color w:val="111111"/>
          <w:sz w:val="28"/>
          <w:sz w:val="28"/>
          <w:szCs w:val="28"/>
          <w:rtl w:val="true"/>
          <w:lang w:bidi="fa-IR"/>
        </w:rPr>
        <w:t>؛ لأنّ من علیه الحق مخیّر فی جهات القضاء، فلا یتعیّن علیه بعض الجهات قهراً، و المحتال حقّه ثابت فی ذمّة المحیل، فلا یلزمه نقله إلی ذمّة اخری إلّا برضاه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نقل الحقّ من ذمّة لاُخری مع اختلاف الذمم تابع لرضا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المحال علیه فالمشهور بین الفقهاء</w:t>
      </w:r>
      <w:r>
        <w:rPr>
          <w:rStyle w:val="FootnoteAnchor"/>
          <w:rtl w:val="true"/>
        </w:rPr>
        <w:footnoteReference w:id="1569"/>
      </w:r>
      <w:r>
        <w:rPr>
          <w:rFonts w:ascii="IRNazanin" w:hAnsi="IRNazanin" w:eastAsia="IRNazanin"/>
          <w:color w:val="111111"/>
          <w:sz w:val="28"/>
          <w:sz w:val="28"/>
          <w:szCs w:val="28"/>
          <w:rtl w:val="true"/>
          <w:lang w:bidi="fa-IR"/>
        </w:rPr>
        <w:t>اشتراط رضاه و احتجّ الشیخ فی الخلاف بأنّ الإجماع واقع علی صحّة الحوالة مع رضی المحال علیه، و لا دلیل علی صحّتها من غیر رضاه</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یظهر من التذکرة أیضاً الإجماع علیه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عندنا رضا المحال علیه، فلو لم یرض المحال علیه أو لم یُعلم هل رضی أم لا لم تصحّ الحوالة</w:t>
      </w:r>
      <w:r>
        <w:rPr>
          <w:rFonts w:eastAsia="IRNazanin" w:cs="IRNazanin"/>
          <w:color w:val="111111"/>
          <w:sz w:val="28"/>
          <w:szCs w:val="28"/>
          <w:rtl w:val="true"/>
          <w:lang w:bidi="fa-IR"/>
        </w:rPr>
        <w:t>»</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له بأنّ الأصل بقاء الحقّ فی ذمّة المحیل، فیستصحب و یقتصر علی المتیقّن، و أنّ نقل المال من ذمّة المحیل إلی ذمّة المحال علیه تابع لرضاه، و أنّه أحد الموارد التی تتمّ به الحوالة فأشبه المحیل و المحتال، و أنّ الناس متفاوتون فی</w:t>
      </w:r>
    </w:p>
    <w:p>
      <w:pPr>
        <w:pStyle w:val="BookText"/>
        <w:rPr/>
      </w:pPr>
      <w:r>
        <w:rPr>
          <w:rFonts w:ascii="Amiri" w:hAnsi="Amiri" w:eastAsia="Amiri" w:cs="Amiri"/>
          <w:color w:val="111111"/>
          <w:sz w:val="28"/>
          <w:sz w:val="28"/>
          <w:szCs w:val="28"/>
          <w:rtl w:val="true"/>
          <w:lang w:bidi="ar-SA"/>
        </w:rPr>
        <w:t>المعاملات و الاقتضاء سهولة و صعوبة</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مقابل المشهور قول لبعض الأصحاب بأنّه لا یشترط رضی المحال علیه، و یلوح من المختلف المیل إلیه،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کلام ابن حمزة فی اعتبار رضی المحال علیه علی الصحیح</w:t>
      </w:r>
      <w:r>
        <w:rPr>
          <w:rStyle w:val="FootnoteAnchor"/>
          <w:rtl w:val="true"/>
        </w:rPr>
        <w:footnoteReference w:id="15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یشعر بوجود قول لبعض أصحابنا فیه، و أنّه لا یعتبر رضاه</w:t>
      </w:r>
      <w:r>
        <w:rPr>
          <w:rFonts w:eastAsia="IRNazanin" w:cs="IRNazanin"/>
          <w:color w:val="111111"/>
          <w:sz w:val="28"/>
          <w:szCs w:val="28"/>
          <w:rtl w:val="true"/>
          <w:lang w:bidi="fa-IR"/>
        </w:rPr>
        <w:t>»</w:t>
      </w:r>
      <w:r>
        <w:rPr>
          <w:rStyle w:val="FootnoteAnchor"/>
          <w:rtl w:val="true"/>
        </w:rPr>
        <w:footnoteReference w:id="1574"/>
      </w:r>
      <w:r>
        <w:rPr>
          <w:rFonts w:ascii="IRNazanin" w:hAnsi="IRNazanin" w:eastAsia="IRNazanin"/>
          <w:color w:val="111111"/>
          <w:sz w:val="28"/>
          <w:sz w:val="28"/>
          <w:szCs w:val="28"/>
          <w:rtl w:val="true"/>
          <w:lang w:bidi="fa-IR"/>
        </w:rPr>
        <w:t>، و اختاره فی التنقیح</w:t>
      </w:r>
      <w:r>
        <w:rPr>
          <w:rStyle w:val="FootnoteAnchor"/>
          <w:rtl w:val="true"/>
        </w:rPr>
        <w:footnoteReference w:id="1575"/>
      </w:r>
      <w:r>
        <w:rPr>
          <w:rFonts w:ascii="IRNazanin" w:hAnsi="IRNazanin" w:eastAsia="IRNazanin"/>
          <w:color w:val="111111"/>
          <w:sz w:val="28"/>
          <w:sz w:val="28"/>
          <w:szCs w:val="28"/>
          <w:rtl w:val="true"/>
          <w:lang w:bidi="fa-IR"/>
        </w:rPr>
        <w:t>، و قوّاه فی الروضة</w:t>
      </w:r>
      <w:r>
        <w:rPr>
          <w:rStyle w:val="FootnoteAnchor"/>
          <w:rtl w:val="true"/>
        </w:rPr>
        <w:footnoteReference w:id="1576"/>
      </w:r>
      <w:r>
        <w:rPr>
          <w:rFonts w:ascii="IRNazanin" w:hAnsi="IRNazanin" w:eastAsia="IRNazanin"/>
          <w:color w:val="111111"/>
          <w:sz w:val="28"/>
          <w:sz w:val="28"/>
          <w:szCs w:val="28"/>
          <w:rtl w:val="true"/>
          <w:lang w:bidi="fa-IR"/>
        </w:rPr>
        <w:t>، و به قال فی المسالک</w:t>
      </w:r>
      <w:r>
        <w:rPr>
          <w:rStyle w:val="FootnoteAnchor"/>
          <w:rtl w:val="true"/>
        </w:rPr>
        <w:footnoteReference w:id="1577"/>
      </w:r>
      <w:r>
        <w:rPr>
          <w:rFonts w:ascii="IRNazanin" w:hAnsi="IRNazanin" w:eastAsia="IRNazanin"/>
          <w:color w:val="111111"/>
          <w:sz w:val="28"/>
          <w:sz w:val="28"/>
          <w:szCs w:val="28"/>
          <w:rtl w:val="true"/>
          <w:lang w:bidi="fa-IR"/>
        </w:rPr>
        <w:t>و المفاتیح</w:t>
      </w:r>
      <w:r>
        <w:rPr>
          <w:rStyle w:val="FootnoteAnchor"/>
          <w:rtl w:val="true"/>
        </w:rPr>
        <w:footnoteReference w:id="1578"/>
      </w:r>
      <w:r>
        <w:rPr>
          <w:rFonts w:ascii="IRNazanin" w:hAnsi="IRNazanin" w:eastAsia="IRNazanin"/>
          <w:color w:val="111111"/>
          <w:sz w:val="28"/>
          <w:sz w:val="28"/>
          <w:szCs w:val="28"/>
          <w:rtl w:val="true"/>
          <w:lang w:bidi="fa-IR"/>
        </w:rPr>
        <w:t>و الریاض</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فالقول بعدم اعتبار رضاه لا یخلو من قوّة</w:t>
      </w:r>
      <w:r>
        <w:rPr>
          <w:rStyle w:val="FootnoteAnchor"/>
          <w:rtl w:val="true"/>
        </w:rPr>
        <w:footnoteReference w:id="1580"/>
      </w:r>
      <w:r>
        <w:rPr>
          <w:rFonts w:ascii="IRNazanin" w:hAnsi="IRNazanin" w:eastAsia="IRNazanin"/>
          <w:color w:val="111111"/>
          <w:sz w:val="28"/>
          <w:sz w:val="28"/>
          <w:szCs w:val="28"/>
          <w:rtl w:val="true"/>
          <w:lang w:bidi="fa-IR"/>
        </w:rPr>
        <w:t>، و إن کان الأحوط خلافه</w:t>
      </w:r>
      <w:r>
        <w:rPr>
          <w:rFonts w:eastAsia="IRNazanin" w:cs="IRNazanin"/>
          <w:color w:val="111111"/>
          <w:sz w:val="28"/>
          <w:szCs w:val="28"/>
          <w:rtl w:val="true"/>
          <w:lang w:bidi="fa-IR"/>
        </w:rPr>
        <w:t>»</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فصّل فی تفصیل الشریعة بین صورة اشتغال ذمّته للمحیل بمثل ما أحال علیه، فاحتاط وجوباً باعتباره، و بین صورة الحوالة علی البریء بناءً علی صحّتها، أو بغیر جنس ما أحال علیه، فقد قوّی الاعتبار</w:t>
      </w:r>
      <w:r>
        <w:rPr>
          <w:rStyle w:val="FootnoteAnchor"/>
          <w:rtl w:val="true"/>
        </w:rPr>
        <w:footnoteReference w:id="15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تحریر</w:t>
      </w:r>
    </w:p>
    <w:p>
      <w:pPr>
        <w:pStyle w:val="BookText"/>
        <w:rPr/>
      </w:pPr>
      <w:r>
        <w:rPr>
          <w:rFonts w:ascii="IRNazanin" w:hAnsi="IRNazanin" w:eastAsia="IRNazanin"/>
          <w:color w:val="111111"/>
          <w:sz w:val="28"/>
          <w:sz w:val="28"/>
          <w:szCs w:val="28"/>
          <w:rtl w:val="true"/>
          <w:lang w:bidi="fa-IR"/>
        </w:rPr>
        <w:t>الوسیلة</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عدم اشتراط رضی المحال علیه موافق لعموم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إطلاق نصوص الحوالة و مفهومها المتحقّق بالإیجاب من المحیل و القبول من المحتال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أجاب فی مفتاح الکرامة عمّا استدلّوا به علی اشتراط رضاه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الأصل معارض بأصل عدم الاشتراط بعد وجود الدلیل و هو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إطلاق ما سیأتی من النصوص، و إنّما نمنع أنّ الحوالة تقتضی النقل، بل هی إیفاء لما فی ذمّة الغیر، فلا تقصر عن بیع ما فی ذمّة الغیر، و لا یشترط فیه الرضا إجماعاً</w:t>
      </w:r>
      <w:r>
        <w:rPr>
          <w:rFonts w:eastAsia="IRNazanin" w:cs="IRNazanin"/>
          <w:color w:val="111111"/>
          <w:sz w:val="28"/>
          <w:szCs w:val="28"/>
          <w:rtl w:val="true"/>
          <w:lang w:bidi="fa-IR"/>
        </w:rPr>
        <w:t>»</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المحیل قد أقام المحتال مقام نفسه فی القبض بالحوالة، فلا وجه للافتقار إلی رضا مَن علیه الحقّ، کما لو وکّله فی القبض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الناس فی الاقتضاء لا یمنع من مطالبة المستحقّ و مَن ینصبه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التوقّف علی رضاه محلّ النزاع، فلا یجعل دلیلاً</w:t>
      </w:r>
      <w:r>
        <w:rPr>
          <w:rFonts w:eastAsia="IRNazanin" w:cs="IRNazanin"/>
          <w:color w:val="111111"/>
          <w:sz w:val="28"/>
          <w:szCs w:val="28"/>
          <w:rtl w:val="true"/>
          <w:lang w:bidi="fa-IR"/>
        </w:rPr>
        <w:t>»</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المحال علیه إن کان بریئاً فلا إشکال فی رضاه، و أمّا إذا لم یکن بریئاً فالظاهر أنّه لا وجه لاعتبار رضاه؛ إذ المحال علیه غیر البریء مدیون للمحیل و ما فی ذمّته مملوک له و اختیاره بیده، فعلی هذا المبنی یمکن أن یکون المحال علیه صبیّاً غیر بالغ، و لا یشترط فیه البلوغ و الرشد؛ لعدم المقتضی للاشتراط، کما صرّح به بعض المعاصرین</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bookmarkStart w:id="428" w:name="pg11757_135662"/>
    </w:p>
    <w:p>
      <w:pPr>
        <w:pStyle w:val="BookText"/>
        <w:rPr/>
      </w:pPr>
      <w:bookmarkEnd w:id="428"/>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الکلام یصیر الصبیّ ضامناً للمحتال، و الإجماع قائم علی أنّه یشترط فی الضامن أن یکون مکلّفاً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صار الصبیّ ضامناً بالعقد أمّا فی الصورة التی یکون ضمانه قهریّاً فلا یشمله الإجماع، کما إذا أتلف مال الغیر فیصیر ضامناً و لم ینکره أحد من الفقهاء، و ما نحن فیه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 تقدیر عدم اشتراط رضی المحال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لم یکن بریئاً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أن یکون صبیّاً و إن لم یکن ممیّزاً، و لکن حیث إنّه لا إلزام علی الصبیّ لا یجب علیه أداء المحال به قبل البلوغ،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الحوالة تحتاج إلی القبول و لا اعتبار بقبول الصبیّ، و أیضاً یعتبر المحال علیه ممّن لا تتم الحوالة إلّا به، فیشترط أن یکون بالغاً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یکون هذا مخالفاً للاحتیاط حیث إنّ المشهور قالوا باشتراط رضی المحال علیه، و ادّعی علیه الإجماع کما تقدّم، و لا اعتبار برضی الصبیّ کما لا یخفی، و اللّه العالم بحکمه</w:t>
      </w:r>
      <w:r>
        <w:rPr>
          <w:rFonts w:eastAsia="IRNazanin" w:cs="IRNazanin"/>
          <w:color w:val="111111"/>
          <w:sz w:val="28"/>
          <w:szCs w:val="28"/>
          <w:rtl w:val="true"/>
          <w:lang w:bidi="fa-IR"/>
        </w:rPr>
        <w:t>.</w:t>
      </w:r>
    </w:p>
    <w:p>
      <w:pPr>
        <w:pStyle w:val="Heading5"/>
        <w:numPr>
          <w:ilvl w:val="4"/>
          <w:numId w:val="1"/>
        </w:numPr>
        <w:rPr/>
      </w:pPr>
      <w:bookmarkStart w:id="429" w:name="__RefHeading___Toc9696831_73709187"/>
      <w:bookmarkStart w:id="430" w:name="_Toc159"/>
      <w:bookmarkEnd w:id="429"/>
      <w:r>
        <w:rPr>
          <w:rtl w:val="true"/>
        </w:rPr>
        <w:t>حوالة الصبیّ عند أهل السنّة</w:t>
      </w:r>
      <w:bookmarkEnd w:id="430"/>
    </w:p>
    <w:p>
      <w:pPr>
        <w:pStyle w:val="BookText"/>
        <w:rPr/>
      </w:pPr>
      <w:r>
        <w:rPr>
          <w:rFonts w:ascii="IRNazanin" w:hAnsi="IRNazanin" w:eastAsia="IRNazanin"/>
          <w:color w:val="111111"/>
          <w:sz w:val="28"/>
          <w:sz w:val="28"/>
          <w:szCs w:val="28"/>
          <w:rtl w:val="true"/>
          <w:lang w:bidi="fa-IR"/>
        </w:rPr>
        <w:t>اشترطوا لصحّة الحوالة عدّة شروط، و هی إمّا تتعلّق بالمحیل أو بالمحتال أو بالمحال علیه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جاء فی البدائع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الذی یرجع إلی المحیل فأنواع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عاقلاً، فلا تصحّ حوالة المجنون و الصبیّ الذی لا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بالغاً و هو شرط النفاذ دون الانعقاد، فتنعقد حوالة الصبیّ العاقل موقوفاً نفاذه علی إجازة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الذی یرجع إلی المحال فأنواع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 أنّه شرط</w:t>
      </w:r>
    </w:p>
    <w:p>
      <w:pPr>
        <w:pStyle w:val="BookText"/>
        <w:rPr/>
      </w:pPr>
      <w:r>
        <w:rPr>
          <w:rFonts w:ascii="IRNazanin" w:hAnsi="IRNazanin" w:eastAsia="IRNazanin"/>
          <w:color w:val="111111"/>
          <w:sz w:val="28"/>
          <w:sz w:val="28"/>
          <w:szCs w:val="28"/>
          <w:rtl w:val="true"/>
          <w:lang w:bidi="fa-IR"/>
        </w:rPr>
        <w:t>النفاذ لا شرط الانعقاد، فینعقد احتیاله موقوفاً علی إجازة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الذی یرجع إلی المحال علیه فأنواع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من الصبیّ قبول الحوالة أصلاً</w:t>
      </w:r>
      <w:r>
        <w:rPr>
          <w:rFonts w:eastAsia="IRNazanin" w:cs="IRNazanin"/>
          <w:color w:val="111111"/>
          <w:sz w:val="28"/>
          <w:szCs w:val="28"/>
          <w:rtl w:val="true"/>
          <w:lang w:bidi="fa-IR"/>
        </w:rPr>
        <w:t>»</w:t>
      </w:r>
      <w:r>
        <w:rPr>
          <w:rStyle w:val="FootnoteAnchor"/>
          <w:rtl w:val="true"/>
        </w:rPr>
        <w:footnoteReference w:id="1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حاشیة ردّ المحتار</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تصحّ الحوالة من غیر رضا المحتال؛ لأنّه نقل حقّ من ذمّة إلی غیرها، فلم یجز من غیر رضی صاحب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تصحّ من غیر رضی المحال علیه ینظر فیه، فإن کان علی من لا حقّ له علیه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تصحّ الحوالة علی من لا حقّ له علیه لم تجز إلّا برضاه، و إن کان علی من له علیه حقّ ففیه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تجوز إلّا برضاه؛ لأنّه أحد من تتمّ به الحوالة فاعتبر رضاه فی الحوالة کالمحتال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لأنّه تفویض قبض فلا یعتبر فیه رضی من علیه کالتوکیل فی قبضه و یخالف المحتال، فإنّ الحقّ له فلا ینتقل بغیر رضاه کالبائع، و هاهنا الحقّ علیه فلا یعتبر رضاه کالعبد فی البیع</w:t>
      </w:r>
      <w:r>
        <w:rPr>
          <w:rFonts w:eastAsia="IRNazanin" w:cs="IRNazanin"/>
          <w:color w:val="111111"/>
          <w:sz w:val="28"/>
          <w:szCs w:val="28"/>
          <w:rtl w:val="true"/>
          <w:lang w:bidi="fa-IR"/>
        </w:rPr>
        <w:t>»</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فی المجموع</w:t>
      </w:r>
      <w:r>
        <w:rPr>
          <w:rStyle w:val="FootnoteAnchor"/>
          <w:rtl w:val="true"/>
        </w:rPr>
        <w:footnoteReference w:id="1590"/>
      </w:r>
      <w:r>
        <w:rPr>
          <w:rFonts w:ascii="IRNazanin" w:hAnsi="IRNazanin" w:eastAsia="IRNazanin"/>
          <w:color w:val="111111"/>
          <w:sz w:val="28"/>
          <w:sz w:val="28"/>
          <w:szCs w:val="28"/>
          <w:rtl w:val="true"/>
          <w:lang w:bidi="fa-IR"/>
        </w:rPr>
        <w:t>و روضة الطالبین</w:t>
      </w:r>
      <w:r>
        <w:rPr>
          <w:rStyle w:val="FootnoteAnchor"/>
          <w:rtl w:val="true"/>
        </w:rPr>
        <w:footnoteReference w:id="1591"/>
      </w:r>
      <w:r>
        <w:rPr>
          <w:rFonts w:ascii="Amiri" w:hAnsi="Amiri" w:eastAsia="Amiri" w:cs="Amiri"/>
          <w:color w:val="111111"/>
          <w:sz w:val="28"/>
          <w:sz w:val="28"/>
          <w:szCs w:val="28"/>
          <w:rtl w:val="true"/>
          <w:lang w:bidi="ar-SA"/>
        </w:rPr>
        <w:t xml:space="preserve">و البیان، و علّله فی الأخیر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المحیل أقام المحتالَ مقامه فی القبض، فلم یُعتَبر رضا مَن علیه الحقُّ، کما لو وکّل مَن له الحقُّ وکیلاً فی القبض، فإنّه لا یُعتَبر رضا مَنْ علیه الحقُّ</w:t>
      </w:r>
      <w:r>
        <w:rPr>
          <w:rFonts w:eastAsia="Amiri" w:cs="Amiri" w:ascii="Amiri" w:hAnsi="Amiri"/>
          <w:color w:val="111111"/>
          <w:sz w:val="28"/>
          <w:szCs w:val="28"/>
          <w:rtl w:val="true"/>
          <w:lang w:bidi="ar-SA"/>
        </w:rPr>
        <w:t>»</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bookmarkStart w:id="431" w:name="pg11757_135664"/>
    </w:p>
    <w:p>
      <w:pPr>
        <w:pStyle w:val="Heading4"/>
        <w:numPr>
          <w:ilvl w:val="3"/>
          <w:numId w:val="1"/>
        </w:numPr>
        <w:rPr/>
      </w:pPr>
      <w:bookmarkStart w:id="432" w:name="__RefHeading___Toc9696833_73709187"/>
      <w:bookmarkStart w:id="433" w:name="_Toc160"/>
      <w:bookmarkEnd w:id="431"/>
      <w:bookmarkEnd w:id="432"/>
      <w:r>
        <w:rPr>
          <w:rtl w:val="true"/>
        </w:rPr>
        <w:t>المبحث الثالث</w:t>
      </w:r>
      <w:r>
        <w:rPr>
          <w:rtl w:val="true"/>
        </w:rPr>
        <w:t>:</w:t>
      </w:r>
      <w:bookmarkEnd w:id="433"/>
    </w:p>
    <w:p>
      <w:pPr>
        <w:pStyle w:val="Heading5"/>
        <w:numPr>
          <w:ilvl w:val="4"/>
          <w:numId w:val="1"/>
        </w:numPr>
        <w:rPr/>
      </w:pPr>
      <w:bookmarkStart w:id="434" w:name="__RefHeading___Toc9696835_73709187"/>
      <w:bookmarkStart w:id="435" w:name="_Toc161"/>
      <w:bookmarkEnd w:id="434"/>
      <w:r>
        <w:rPr>
          <w:rtl w:val="true"/>
        </w:rPr>
        <w:t>اشارة</w:t>
      </w:r>
      <w:bookmarkEnd w:id="435"/>
    </w:p>
    <w:p>
      <w:pPr>
        <w:pStyle w:val="BookText"/>
        <w:rPr/>
      </w:pPr>
      <w:r>
        <w:rPr>
          <w:rFonts w:ascii="IRNazanin" w:hAnsi="IRNazanin" w:eastAsia="IRNazanin"/>
          <w:color w:val="111111"/>
          <w:sz w:val="28"/>
          <w:sz w:val="28"/>
          <w:szCs w:val="28"/>
          <w:rtl w:val="true"/>
          <w:lang w:bidi="fa-IR"/>
        </w:rPr>
        <w:t>کفالة الصبیّ</w:t>
      </w:r>
    </w:p>
    <w:p>
      <w:pPr>
        <w:pStyle w:val="BookText"/>
        <w:rPr/>
      </w:pPr>
      <w:r>
        <w:rPr>
          <w:rFonts w:ascii="IRNazanin" w:hAnsi="IRNazanin" w:eastAsia="IRNazanin"/>
          <w:color w:val="111111"/>
          <w:sz w:val="28"/>
          <w:sz w:val="28"/>
          <w:szCs w:val="28"/>
          <w:rtl w:val="true"/>
          <w:lang w:bidi="fa-IR"/>
        </w:rPr>
        <w:t>الکفالة لغةً من کفل المال و بالمال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کفل بالرجل یکفُلُ و یکفِلُ کفلاً و کفولاً و کفالةً و تکفّل به،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ضمنه، و أکفله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ضمّنه بالمال و بالنفس، و الکفیل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الضامن</w:t>
      </w:r>
      <w:r>
        <w:rPr>
          <w:rStyle w:val="FootnoteAnchor"/>
          <w:rtl w:val="true"/>
        </w:rPr>
        <w:footnoteReference w:id="1593"/>
      </w:r>
      <w:r>
        <w:rPr>
          <w:rFonts w:ascii="IRNazanin" w:hAnsi="IRNazanin" w:eastAsia="IRNazanin"/>
          <w:color w:val="111111"/>
          <w:sz w:val="28"/>
          <w:sz w:val="28"/>
          <w:szCs w:val="28"/>
          <w:rtl w:val="true"/>
          <w:lang w:bidi="fa-IR"/>
        </w:rPr>
        <w:t>، و الفرق بینهما أنّ الکفالة تکون بالنفس و الضمان یکون بالمال</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شرّع للتعهّد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بتعبیر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عبارة عن التعهّد و الالتزام للدائن بإحضار نفس له علیها حقّ حتّی یمکن له قضاء دینه منه و الوصول إلی الحقّ الذی علیه، و یعبّر عن صاحب الحقّ بالمکفول له، و عن الملتزم بالإحضار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الکفیل، و هی عقد و إنشاء واقع بینهما، غایة الأمر أنّ الإیجاب من المتعهّد بالإحضار، و القبول من صاحب الحقّ، و لا مدخلیّة للفظ</w:t>
      </w:r>
    </w:p>
    <w:p>
      <w:pPr>
        <w:pStyle w:val="BookText"/>
        <w:rPr/>
      </w:pPr>
      <w:r>
        <w:rPr>
          <w:rFonts w:ascii="IRNazanin" w:hAnsi="IRNazanin" w:eastAsia="IRNazanin"/>
          <w:color w:val="111111"/>
          <w:sz w:val="28"/>
          <w:sz w:val="28"/>
          <w:szCs w:val="28"/>
          <w:rtl w:val="true"/>
          <w:lang w:bidi="fa-IR"/>
        </w:rPr>
        <w:t>خاصّ و صیغة مخصوصة لهذا العقد، بل یکفی فی الإیجاب کلّ لفظ دالّ علی المقصود،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کفلت لک نفس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کفیل لک بإحضاره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نحو ذلک، و فی القبول ما یدلّ علی الرضا بذلک، أیّ لفظ کان، کما فی تفصیل الشریعة</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تصحّ الکفالة ببدن کلّ من یجب إحضاره فی مجلس الحکم بدین أو حقّ تصحّ المطالبة منه، و قد تطلق الکفالة علی ضمان المال لکن مع القید، فیقال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کفالة المال، و هی عقد صحیح عند عامّة أهل العلم</w:t>
      </w:r>
      <w:r>
        <w:rPr>
          <w:rStyle w:val="FootnoteAnchor"/>
          <w:rtl w:val="true"/>
        </w:rPr>
        <w:footnoteReference w:id="1595"/>
      </w:r>
      <w:r>
        <w:rPr>
          <w:rFonts w:ascii="Amiri" w:hAnsi="Amiri" w:eastAsia="Amiri" w:cs="Amiri"/>
          <w:color w:val="111111"/>
          <w:sz w:val="28"/>
          <w:sz w:val="28"/>
          <w:szCs w:val="28"/>
          <w:rtl w:val="true"/>
          <w:lang w:bidi="ar-SA"/>
        </w:rPr>
        <w:t>و ثابتة بالکتاب و السنّة،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لَنْ أُرْسِلَهُ مَعَکُمْ حَتّی تُؤْتُونِ مَوْثِقاً مِنَ اللّهِ لَتَأْتُنَّنِی بِهِ إِلاّ أَنْ یُحاطَ بِکُمْ فَلَمّا آتَوْهُ مَوْثِقَهُمْ قالَ اللّهُ عَلی ما نَقُولُ وَکِیلٌ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فطلب یعقوب من بنیه کفیلاً بالبدن، و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أَحَدَنا مَکانَهُ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ذلک کفالة بالبدن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السنّة فقد وردت أخبار مستفیضة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متواترة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مشروعیّتها</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مدار الکفالة علی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الکفیل، و هو هنا بمعنی الفاعل و أرادوا به الکافل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المکفول له، و هو صاحب الدّین و لو بالدعوی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المکفول، و هو من علیه الحقّ أو الدعوی</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خلاف فی اعتبار رضا الأوّلین لیتمّ العقد؛ لأنّ الکفالة من جملة العقود اللازمة المتوقّفة علی الإیجاب و القبول و غیرهما من شرائط العقد</w:t>
      </w:r>
      <w:r>
        <w:rPr>
          <w:rFonts w:eastAsia="IRNazanin" w:cs="IRNazanin"/>
          <w:color w:val="111111"/>
          <w:sz w:val="28"/>
          <w:szCs w:val="28"/>
          <w:rtl w:val="true"/>
          <w:lang w:bidi="fa-IR"/>
        </w:rPr>
        <w:t>.</w:t>
      </w:r>
      <w:bookmarkStart w:id="436" w:name="pg11757_135666"/>
    </w:p>
    <w:p>
      <w:pPr>
        <w:pStyle w:val="Heading5"/>
        <w:numPr>
          <w:ilvl w:val="4"/>
          <w:numId w:val="1"/>
        </w:numPr>
        <w:rPr/>
      </w:pPr>
      <w:bookmarkStart w:id="437" w:name="__RefHeading___Toc9696837_73709187"/>
      <w:bookmarkStart w:id="438" w:name="_Toc162"/>
      <w:bookmarkEnd w:id="436"/>
      <w:bookmarkEnd w:id="437"/>
      <w:r>
        <w:rPr>
          <w:rtl w:val="true"/>
        </w:rPr>
        <w:t>اعتبار البلوغ فی الکفیل</w:t>
      </w:r>
      <w:bookmarkEnd w:id="438"/>
    </w:p>
    <w:p>
      <w:pPr>
        <w:pStyle w:val="BookText"/>
        <w:rPr/>
      </w:pPr>
      <w:r>
        <w:rPr>
          <w:rFonts w:ascii="IRNazanin" w:hAnsi="IRNazanin" w:eastAsia="IRNazanin"/>
          <w:color w:val="111111"/>
          <w:sz w:val="28"/>
          <w:sz w:val="28"/>
          <w:szCs w:val="28"/>
          <w:rtl w:val="true"/>
          <w:lang w:bidi="fa-IR"/>
        </w:rPr>
        <w:t>یشترط فی انعقاد الکفالة کون الکفیل عاقلاً و بالغاً و جائز التصرّف، فلا تصحّ کفالة الصبیّ و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فی الکفیل البلوغُ و العقلُ و الحرّیة و جواز التصرّف، فلا تصحّ کفالة الصبیّ و لا المجنون و لا العبد و لا من لا یجوز تصرّفه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ذلک فی المکفول و لا فی المکفول له، فإنّه تجوز الکفالة للصبیّ و المجنون و غیرهما إذا قبل الولیّ</w:t>
      </w:r>
      <w:r>
        <w:rPr>
          <w:rFonts w:eastAsia="IRNazanin" w:cs="IRNazanin"/>
          <w:color w:val="111111"/>
          <w:sz w:val="28"/>
          <w:szCs w:val="28"/>
          <w:rtl w:val="true"/>
          <w:lang w:bidi="fa-IR"/>
        </w:rPr>
        <w:t>»</w:t>
      </w:r>
      <w:r>
        <w:rPr>
          <w:rStyle w:val="FootnoteAnchor"/>
          <w:rtl w:val="true"/>
        </w:rPr>
        <w:footnoteReference w:id="1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غیرها</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الخوئی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یعتبر فی الکفیل العقل و البلوغ و الاختیار و القدرة علی إحضار المدین، و عدم السفه، و لا یشترط فی الدائن البلوغ و الرشد و العقل و الاختیار، فتصحّ الکفالة للصبیّ و السفیه و المجنون إذا قبلها الولیّ</w:t>
      </w:r>
      <w:r>
        <w:rPr>
          <w:rFonts w:eastAsia="IRNazanin" w:cs="IRNazanin"/>
          <w:color w:val="111111"/>
          <w:sz w:val="28"/>
          <w:szCs w:val="28"/>
          <w:rtl w:val="true"/>
          <w:lang w:bidi="fa-IR"/>
        </w:rPr>
        <w:t>»</w:t>
      </w:r>
      <w:r>
        <w:rPr>
          <w:rStyle w:val="FootnoteAnchor"/>
          <w:rtl w:val="true"/>
        </w:rPr>
        <w:footnoteReference w:id="1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وسیلة النجاة</w:t>
      </w:r>
      <w:r>
        <w:rPr>
          <w:rStyle w:val="FootnoteAnchor"/>
          <w:rtl w:val="true"/>
        </w:rPr>
        <w:footnoteReference w:id="1600"/>
      </w:r>
      <w:r>
        <w:rPr>
          <w:rFonts w:ascii="IRNazanin" w:hAnsi="IRNazanin" w:eastAsia="IRNazanin"/>
          <w:color w:val="111111"/>
          <w:sz w:val="28"/>
          <w:sz w:val="28"/>
          <w:szCs w:val="28"/>
          <w:rtl w:val="true"/>
          <w:lang w:bidi="fa-IR"/>
        </w:rPr>
        <w:t>و تحریرها</w:t>
      </w:r>
      <w:r>
        <w:rPr>
          <w:rStyle w:val="FootnoteAnchor"/>
          <w:rtl w:val="true"/>
        </w:rPr>
        <w:footnoteReference w:id="1601"/>
      </w:r>
      <w:r>
        <w:rPr>
          <w:rFonts w:ascii="IRNazanin" w:hAnsi="IRNazanin" w:eastAsia="IRNazanin"/>
          <w:color w:val="111111"/>
          <w:sz w:val="28"/>
          <w:sz w:val="28"/>
          <w:szCs w:val="28"/>
          <w:rtl w:val="true"/>
          <w:lang w:bidi="fa-IR"/>
        </w:rPr>
        <w:t>و تفصیل الشریعة</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9" w:name="__RefHeading___Toc9696839_73709187"/>
      <w:bookmarkStart w:id="440" w:name="_Toc163"/>
      <w:bookmarkEnd w:id="439"/>
      <w:r>
        <w:rPr>
          <w:rtl w:val="true"/>
        </w:rPr>
        <w:t>أدلّة اشتراط البلوغ فی الکفیل</w:t>
      </w:r>
      <w:bookmarkEnd w:id="440"/>
    </w:p>
    <w:p>
      <w:pPr>
        <w:pStyle w:val="BookText"/>
        <w:rPr/>
      </w:pPr>
      <w:r>
        <w:rPr>
          <w:rFonts w:ascii="Amiri" w:hAnsi="Amiri" w:eastAsia="Amiri" w:cs="Amiri"/>
          <w:color w:val="111111"/>
          <w:sz w:val="28"/>
          <w:sz w:val="28"/>
          <w:szCs w:val="28"/>
          <w:rtl w:val="true"/>
          <w:lang w:bidi="ar-SA"/>
        </w:rPr>
        <w:t>و استدلّ لذلک باُمور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کما ادّعاه فی المسالک</w:t>
      </w:r>
      <w:r>
        <w:rPr>
          <w:rStyle w:val="FootnoteAnchor"/>
          <w:rtl w:val="true"/>
        </w:rPr>
        <w:footnoteReference w:id="1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الریاض</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فی أنّه یشترط فی الضامن جواز التصرّف المالی، فلا یصحّ ضمان الصبیّ و لا المجنون</w:t>
      </w:r>
      <w:r>
        <w:rPr>
          <w:rFonts w:eastAsia="IRNazanin" w:cs="IRNazanin"/>
          <w:color w:val="111111"/>
          <w:sz w:val="28"/>
          <w:szCs w:val="28"/>
          <w:rtl w:val="true"/>
          <w:lang w:bidi="fa-IR"/>
        </w:rPr>
        <w:t>»</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العناوین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الإجماع المحصّل من الأصحاب الظاهر بالتتبّع فی کلامهم، حیث إنّهم یشترطون ذلک فی جمیع العقود و الإیقاعات، و هو الحجّة</w:t>
      </w:r>
      <w:r>
        <w:rPr>
          <w:rFonts w:eastAsia="IRNazanin" w:cs="IRNazanin"/>
          <w:color w:val="111111"/>
          <w:sz w:val="28"/>
          <w:szCs w:val="28"/>
          <w:rtl w:val="true"/>
          <w:lang w:bidi="fa-IR"/>
        </w:rPr>
        <w:t>»</w:t>
      </w:r>
      <w:r>
        <w:rPr>
          <w:rStyle w:val="FootnoteAnchor"/>
          <w:rtl w:val="true"/>
        </w:rPr>
        <w:footnoteReference w:id="1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 فی تحریر المجلّة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المستفیضة الدالّة علی عدم صحّة معاملات الصبیّ و عقوده، المنجبر ضعفها بعمل الأصحاب، و تقدّم ذکرها فی المباحث المتقدّمة و تأتی أیضاً فی المباحث القادمة</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الصبیّ محجور علیه فی التصرّفات مسلوب الأهلیّة، و عقد الکفالة من تلک التصرّفات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الکفالة تستلزم ترتّب الآثار و الأحکام علی الکفیل من وجوب إحضار المکفول عند طلب المکفول له ذلک، و غرم المال مع عدم الإحضار، أو حبس الکفیل عند الامتناع من الإحضار، و الصبیّ محجور علیه، فلا یصحّ منه ذلک، کما أشار إلیه فی التذکرة</w:t>
      </w:r>
      <w:r>
        <w:rPr>
          <w:rStyle w:val="FootnoteAnchor"/>
          <w:rtl w:val="true"/>
        </w:rPr>
        <w:footnoteReference w:id="1609"/>
      </w:r>
      <w:r>
        <w:rPr>
          <w:rFonts w:ascii="IRNazanin" w:hAnsi="IRNazanin" w:eastAsia="IRNazanin"/>
          <w:color w:val="111111"/>
          <w:sz w:val="28"/>
          <w:sz w:val="28"/>
          <w:szCs w:val="28"/>
          <w:rtl w:val="true"/>
          <w:lang w:bidi="fa-IR"/>
        </w:rPr>
        <w:t>و القواعد</w:t>
      </w:r>
      <w:r>
        <w:rPr>
          <w:rStyle w:val="FootnoteAnchor"/>
          <w:rtl w:val="true"/>
        </w:rPr>
        <w:footnoteReference w:id="1610"/>
      </w:r>
      <w:r>
        <w:rPr>
          <w:rFonts w:ascii="IRNazanin" w:hAnsi="IRNazanin" w:eastAsia="IRNazanin"/>
          <w:color w:val="111111"/>
          <w:sz w:val="28"/>
          <w:sz w:val="28"/>
          <w:szCs w:val="28"/>
          <w:rtl w:val="true"/>
          <w:lang w:bidi="fa-IR"/>
        </w:rPr>
        <w:t>و غیرهما</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مبانی منهاج الصالحین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غیر البالغ لا اعتبار بالتزاماته</w:t>
      </w:r>
      <w:r>
        <w:rPr>
          <w:rFonts w:eastAsia="IRNazanin" w:cs="IRNazanin"/>
          <w:color w:val="111111"/>
          <w:sz w:val="28"/>
          <w:szCs w:val="28"/>
          <w:rtl w:val="true"/>
          <w:lang w:bidi="fa-IR"/>
        </w:rPr>
        <w:t>»</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عدم اعتبار البلوغ فی المکفول فلأنّه لیس طرفاً للعقد، قال الشیخ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الکفالة ببدن صبیّ فی ذمّته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جائزة إذا کان بأمر الولیّ، و أمّا بأمر الصبیّ و المجنون لا یصحّ</w:t>
      </w:r>
      <w:r>
        <w:rPr>
          <w:rFonts w:eastAsia="IRNazanin" w:cs="IRNazanin"/>
          <w:color w:val="111111"/>
          <w:sz w:val="28"/>
          <w:szCs w:val="28"/>
          <w:rtl w:val="true"/>
          <w:lang w:bidi="fa-IR"/>
        </w:rPr>
        <w:t>»</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الجامع للشرائع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یصحّ التکفّل بإحضار الصبیّ و المعتوه بإذن ولیّهما</w:t>
      </w:r>
      <w:r>
        <w:rPr>
          <w:rFonts w:eastAsia="IRNazanin" w:cs="IRNazanin"/>
          <w:color w:val="111111"/>
          <w:sz w:val="28"/>
          <w:szCs w:val="28"/>
          <w:rtl w:val="true"/>
          <w:lang w:bidi="fa-IR"/>
        </w:rPr>
        <w:t>»</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الکفالة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و مؤجّلة علی کلّ من یجب علیه حضور مجلس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زوجة یدّعی الغریم زوجیّتها، أو کفیل تدّعی علیه الکفالة، أو صبیّ أو مجنون؛ إذ قد یجب إحضارهما للشهادة علیهما بالاتلاف</w:t>
      </w:r>
      <w:r>
        <w:rPr>
          <w:rFonts w:eastAsia="IRNazanin" w:cs="IRNazanin"/>
          <w:color w:val="111111"/>
          <w:sz w:val="28"/>
          <w:szCs w:val="28"/>
          <w:rtl w:val="true"/>
          <w:lang w:bidi="fa-IR"/>
        </w:rPr>
        <w:t>»</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الثانی فی شرحه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ربّما لم یکن الشاهدان بحیث یمکنهما تمییزهما فی الشهادة بدون الإحضار</w:t>
      </w:r>
      <w:r>
        <w:rPr>
          <w:rFonts w:eastAsia="IRNazanin" w:cs="IRNazanin"/>
          <w:color w:val="111111"/>
          <w:sz w:val="28"/>
          <w:szCs w:val="28"/>
          <w:rtl w:val="true"/>
          <w:lang w:bidi="fa-IR"/>
        </w:rPr>
        <w:t>»</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أنّ الغرض من الکفالة هو حضور المکفول حیث یطلب، فلا یعتبر فیها البلوغ و العقل و الرشد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اشتراط البلوغ فی المکفول له فلأنّ الصغر لیس مانعاً عن صحّة الکفالة، فإنّ الولیّ یقوم مقام الصبیّ، و مع قبوله لا یبقی مجال للحکم بالبطلان، خصوصاً أنّ الکفالة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بإحضار المکفول لیتمکّن المکفول له من الوصول إلی حقّه علیه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المکفول له فلا یعتبر فیه البلوغ و العقل و إن کان طرفاً للعقد قطعاً، فتصحّ الکفالة للصبیّ و المجنون مع قبول الولیّ</w:t>
      </w:r>
      <w:bookmarkStart w:id="441" w:name="pg11757_135669"/>
    </w:p>
    <w:p>
      <w:pPr>
        <w:pStyle w:val="BookText"/>
        <w:rPr/>
      </w:pPr>
      <w:bookmarkEnd w:id="441"/>
      <w:r>
        <w:rPr>
          <w:rFonts w:ascii="IRNazanin" w:hAnsi="IRNazanin" w:eastAsia="IRNazanin"/>
          <w:color w:val="111111"/>
          <w:sz w:val="28"/>
          <w:sz w:val="28"/>
          <w:szCs w:val="28"/>
          <w:rtl w:val="true"/>
          <w:lang w:bidi="fa-IR"/>
        </w:rPr>
        <w:t>و إذنه فی ذلک؛ لأنّه لا یبقی مع قبوله مجال للحکم بالبطلان، خصوصاً مع أنّها تعهّد بالالتزام بالإحضار لیتمکّن المکفول له من الوصول إلی حقّه علیه</w:t>
      </w:r>
      <w:r>
        <w:rPr>
          <w:rFonts w:eastAsia="IRNazanin" w:cs="IRNazanin"/>
          <w:color w:val="111111"/>
          <w:sz w:val="28"/>
          <w:szCs w:val="28"/>
          <w:rtl w:val="true"/>
          <w:lang w:bidi="fa-IR"/>
        </w:rPr>
        <w:t>»</w:t>
      </w:r>
      <w:r>
        <w:rPr>
          <w:rStyle w:val="FootnoteAnchor"/>
          <w:rtl w:val="true"/>
        </w:rPr>
        <w:footnoteReference w:id="1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مهذّب الأحکام</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2" w:name="__RefHeading___Toc9696841_73709187"/>
      <w:bookmarkStart w:id="443" w:name="_Toc164"/>
      <w:bookmarkEnd w:id="442"/>
      <w:r>
        <w:rPr>
          <w:rtl w:val="true"/>
        </w:rPr>
        <w:t>کفالة الصبیّ عند أهل السنّة</w:t>
      </w:r>
      <w:bookmarkEnd w:id="443"/>
    </w:p>
    <w:p>
      <w:pPr>
        <w:pStyle w:val="BookText"/>
        <w:rPr/>
      </w:pPr>
      <w:r>
        <w:rPr>
          <w:rFonts w:ascii="IRNazanin" w:hAnsi="IRNazanin" w:eastAsia="IRNazanin"/>
          <w:color w:val="111111"/>
          <w:sz w:val="28"/>
          <w:sz w:val="28"/>
          <w:szCs w:val="28"/>
          <w:rtl w:val="true"/>
          <w:lang w:bidi="fa-IR"/>
        </w:rPr>
        <w:t xml:space="preserve">اتّفق 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الحنفیّة و المالکیّة و الحنابلة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صحّة الکفالة بالبدن، و أمّا الشافعیّة فلهم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صحیحة، جاء فی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المنصوص للشّافعی فی أکثر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الکفالة بالبدن صحیحة؛ و هو قول شریح و الشعبیّ و مالک و أبی حنیفة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الصحیح؛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أَحَدَنا مَکانَهُ إِنّا نَراکَ مِنَ الْمُحْسِنِینَ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قلنا 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تصحّ الکفالة ببدن کلّ من یلزمه الحضور إلی مجلس الحکم بدین؛ لأنّه دین لازم، فصحّت الکفالة ببدن من علیه الحقّ کالدّین</w:t>
      </w:r>
      <w:r>
        <w:rPr>
          <w:rFonts w:eastAsia="Amiri" w:cs="Amiri" w:ascii="Amiri" w:hAnsi="Amiri"/>
          <w:color w:val="111111"/>
          <w:sz w:val="28"/>
          <w:szCs w:val="28"/>
          <w:rtl w:val="true"/>
          <w:lang w:bidi="ar-SA"/>
        </w:rPr>
        <w:t>»</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المجموع</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الکفالة بالنّفس صحیحة فی قول أکثر أهل العلم، هذا مذهب شریح و مالک و الثوری و اللیث و أبی حنیفة، و قال الشافعی فی بعض أقواله الکفالة بالبدن ضعیفة، و اختلف أصحابه فمنهم من قال هی صحیحة</w:t>
      </w:r>
    </w:p>
    <w:p>
      <w:pPr>
        <w:pStyle w:val="BookText"/>
        <w:rPr/>
      </w:pPr>
      <w:r>
        <w:rPr>
          <w:rFonts w:ascii="IRNazanin" w:hAnsi="IRNazanin" w:eastAsia="IRNazanin"/>
          <w:color w:val="111111"/>
          <w:sz w:val="28"/>
          <w:sz w:val="28"/>
          <w:szCs w:val="28"/>
          <w:rtl w:val="true"/>
          <w:lang w:bidi="fa-IR"/>
        </w:rPr>
        <w:t>قولا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غیر صحیحة؛ لأنّها کفالة بعین، فلم تصحّ کالکفالة بالوجه و بدن الشاهدین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لَنْ أُرْسِلَهُ مَعَکُمْ حَتّی تُؤْتُونِ مَوْثِقاً مِنَ اللّهِ لَتَأْتُنَّنِی بِهِ إِلاّ أَنْ یُحاطَ بِکُمْ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لأنّ ما وجب تسلیمه بعقد وجب تسلیمه بعقد الکفالة کالمال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تصحّ الکفالة ببدن کلّ من یلزم حضوره فی مجلس الحکم بدین لازم، سواء کان الدّین معلوماً أو مجهولاً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تصحّ الکفالة ببدن من علیه حدّ، سواء کان حقّاً 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کحدّ الزنا و السرقة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لآدمیّ کحدّ القذف و القصاص، و هذا قول أکثر أهل العلم</w:t>
      </w:r>
      <w:r>
        <w:rPr>
          <w:rFonts w:eastAsia="Amiri" w:cs="Amiri" w:ascii="Amiri" w:hAnsi="Amiri"/>
          <w:color w:val="111111"/>
          <w:sz w:val="28"/>
          <w:szCs w:val="28"/>
          <w:rtl w:val="true"/>
          <w:lang w:bidi="ar-SA"/>
        </w:rPr>
        <w:t>»</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فی مسألة کفالة الصبیّ فیستفاد من إطلاق کلماتهم أنّه یعتبر فی صحّته الکفالة بالنفس ما یعتبر فی غیرها من العقود من البلوغ و العقل و نحوهما</w:t>
      </w:r>
      <w:r>
        <w:rPr>
          <w:rStyle w:val="FootnoteAnchor"/>
          <w:rtl w:val="true"/>
        </w:rPr>
        <w:footnoteReference w:id="1622"/>
      </w:r>
      <w:r>
        <w:rPr>
          <w:rFonts w:ascii="IRNazanin" w:hAnsi="IRNazanin" w:eastAsia="IRNazanin"/>
          <w:color w:val="111111"/>
          <w:sz w:val="28"/>
          <w:sz w:val="28"/>
          <w:szCs w:val="28"/>
          <w:rtl w:val="true"/>
          <w:lang w:bidi="fa-IR"/>
        </w:rPr>
        <w:t>، فلا تصحّ عندهم کفالة الصبیّ و إن کان ممیّزاً، و لکن لم یصرّح به بعضهم، و جاء فی الفقه الإسلامی و أدلّته فی مبحث شروط الکفالة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اشترط فقهاء الحنفیّة و غیرهم فی الکفیل شرطین</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أهلیّة العقل و البلوغ؛ فلا تنعقد کفالة الصبیّ و المجنون؛ لأنّ الکفالة عقد تبرّع بالتزام المال، فلا تنعقد ممّن لیس من أهل التبرّع، و هذا شرط متّفق علیه، و هو المعبّر عنه بالرّشد، أی صلاح الدین و المال عند الشافعیّة؛ لأنّ الکفالة تصرّف مالیّ، فلا تصحّ من مجنون و صبیّ و محجور علیه بسفه؛ لعدم</w:t>
      </w:r>
    </w:p>
    <w:p>
      <w:pPr>
        <w:pStyle w:val="BookText"/>
        <w:rPr/>
      </w:pPr>
      <w:r>
        <w:rPr>
          <w:rFonts w:ascii="IRNazanin" w:hAnsi="IRNazanin" w:eastAsia="IRNazanin"/>
          <w:color w:val="111111"/>
          <w:sz w:val="28"/>
          <w:sz w:val="28"/>
          <w:szCs w:val="28"/>
          <w:rtl w:val="true"/>
          <w:lang w:bidi="fa-IR"/>
        </w:rPr>
        <w:t>رشدهم</w:t>
      </w:r>
      <w:r>
        <w:rPr>
          <w:rFonts w:eastAsia="IRNazanin" w:cs="IRNazanin"/>
          <w:color w:val="111111"/>
          <w:sz w:val="28"/>
          <w:szCs w:val="28"/>
          <w:rtl w:val="true"/>
          <w:lang w:bidi="fa-IR"/>
        </w:rPr>
        <w:t>»</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البدائع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الذی یرجع إلی الکفیل فأنواع،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البلوغ، و أنّهما من شرائط الانعقاد لهذا التصرّف، فلا تنعقد کفالة الصبیّ و المجنون؛ لأنّها عقد تبرّع فلا تنعقد ممّن لیس من أهل التبرّع إلاّ أنّ الأب أو الوصیّ لو استدان دیناً فی نفقة الیتیم و أمر الیتیم أن یضمن المال عنه جاز، و لو أمره أن یکفل عنه النفس لم یجز؛ لأنّ ضمان الدین قد لزمه من غیر شرط</w:t>
      </w:r>
      <w:r>
        <w:rPr>
          <w:rFonts w:eastAsia="IRNazanin" w:cs="IRNazanin"/>
          <w:color w:val="111111"/>
          <w:sz w:val="28"/>
          <w:szCs w:val="28"/>
          <w:rtl w:val="true"/>
          <w:lang w:bidi="fa-IR"/>
        </w:rPr>
        <w:t>»</w:t>
      </w:r>
      <w:r>
        <w:rPr>
          <w:rStyle w:val="FootnoteAnchor"/>
          <w:rtl w:val="true"/>
        </w:rPr>
        <w:footnoteReference w:id="16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البحر الرائق</w:t>
      </w:r>
      <w:r>
        <w:rPr>
          <w:rStyle w:val="FootnoteAnchor"/>
          <w:rtl w:val="true"/>
        </w:rPr>
        <w:footnoteReference w:id="1625"/>
      </w:r>
      <w:r>
        <w:rPr>
          <w:rFonts w:ascii="IRNazanin" w:hAnsi="IRNazanin" w:eastAsia="IRNazanin"/>
          <w:color w:val="111111"/>
          <w:sz w:val="28"/>
          <w:sz w:val="28"/>
          <w:szCs w:val="28"/>
          <w:rtl w:val="true"/>
          <w:lang w:bidi="fa-IR"/>
        </w:rPr>
        <w:t>، و صرّح باشتراط البلوغ فی الکفالة أیضاً فی الإنصاف</w:t>
      </w:r>
      <w:r>
        <w:rPr>
          <w:rStyle w:val="FootnoteAnchor"/>
          <w:rtl w:val="true"/>
        </w:rPr>
        <w:footnoteReference w:id="1626"/>
      </w:r>
      <w:r>
        <w:rPr>
          <w:rFonts w:ascii="Amiri" w:hAnsi="Amiri" w:eastAsia="Amiri" w:cs="Amiri"/>
          <w:color w:val="111111"/>
          <w:sz w:val="28"/>
          <w:sz w:val="28"/>
          <w:szCs w:val="28"/>
          <w:rtl w:val="true"/>
          <w:lang w:bidi="ar-SA"/>
        </w:rPr>
        <w:t>و مجمع الأنْهُر</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المکفول له فلا یشترط فیه البلوغ، فتصحّ الکفالة بالصبیّ</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الماوردی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 مذهب أبی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 الکفالة بالصبیّ و المجنون؛ لأنّهما قد تلزمهما حقوق الأموال، فصحّت الکفالة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الظاهر من مذهب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الکفالة بالصبیّ و المجنون لا تصحّ؛ لأنّ أمرهما لا یتعلّق به حکم</w:t>
      </w:r>
      <w:r>
        <w:rPr>
          <w:rFonts w:eastAsia="IRNazanin" w:cs="IRNazanin"/>
          <w:color w:val="111111"/>
          <w:sz w:val="28"/>
          <w:szCs w:val="28"/>
          <w:rtl w:val="true"/>
          <w:lang w:bidi="fa-IR"/>
        </w:rPr>
        <w:t>»</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bookmarkStart w:id="444" w:name="pg11757_135674"/>
    </w:p>
    <w:p>
      <w:pPr>
        <w:pStyle w:val="Heading3"/>
        <w:numPr>
          <w:ilvl w:val="2"/>
          <w:numId w:val="1"/>
        </w:numPr>
        <w:rPr/>
      </w:pPr>
      <w:bookmarkStart w:id="445" w:name="__RefHeading___Toc9696843_73709187"/>
      <w:bookmarkStart w:id="446" w:name="_Toc165"/>
      <w:bookmarkEnd w:id="444"/>
      <w:bookmarkEnd w:id="445"/>
      <w:r>
        <w:rPr>
          <w:rtl w:val="true"/>
        </w:rPr>
        <w:t>الفصل الثامن</w:t>
      </w:r>
      <w:r>
        <w:rPr>
          <w:rtl w:val="true"/>
        </w:rPr>
        <w:t xml:space="preserve">: </w:t>
      </w:r>
      <w:r>
        <w:rPr>
          <w:rtl w:val="true"/>
        </w:rPr>
        <w:t>صُلح الصبیّ</w:t>
      </w:r>
      <w:bookmarkEnd w:id="446"/>
    </w:p>
    <w:p>
      <w:pPr>
        <w:pStyle w:val="Heading4"/>
        <w:numPr>
          <w:ilvl w:val="3"/>
          <w:numId w:val="1"/>
        </w:numPr>
        <w:rPr/>
      </w:pPr>
      <w:bookmarkStart w:id="447" w:name="__RefHeading___Toc9696845_73709187"/>
      <w:bookmarkStart w:id="448" w:name="_Toc166"/>
      <w:bookmarkEnd w:id="447"/>
      <w:r>
        <w:rPr>
          <w:rtl w:val="true"/>
        </w:rPr>
        <w:t>الصلح لغةً و اصطلاحاً</w:t>
      </w:r>
      <w:bookmarkEnd w:id="448"/>
    </w:p>
    <w:p>
      <w:pPr>
        <w:pStyle w:val="BookText"/>
        <w:rPr/>
      </w:pPr>
      <w:r>
        <w:rPr>
          <w:rFonts w:ascii="IRNazanin" w:hAnsi="IRNazanin" w:eastAsia="IRNazanin"/>
          <w:color w:val="111111"/>
          <w:sz w:val="28"/>
          <w:sz w:val="28"/>
          <w:szCs w:val="28"/>
          <w:rtl w:val="true"/>
          <w:lang w:bidi="fa-IR"/>
        </w:rPr>
        <w:t>الصلح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بمعنی المصالحة و التصالح، خلاف المخاصمة و التخاصم</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المصالحة، و الاسم الصلُح</w:t>
      </w:r>
      <w:r>
        <w:rPr>
          <w:rStyle w:val="FootnoteAnchor"/>
          <w:rtl w:val="true"/>
        </w:rPr>
        <w:footnoteReference w:id="1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السلم، و هو التوفیق،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الحدیبیّة</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قطع الخصومة بین المتداعیین</w:t>
      </w:r>
      <w:r>
        <w:rPr>
          <w:rStyle w:val="FootnoteAnchor"/>
          <w:rtl w:val="true"/>
        </w:rPr>
        <w:footnoteReference w:id="1632"/>
      </w:r>
      <w:r>
        <w:rPr>
          <w:rFonts w:ascii="Amiri" w:hAnsi="Amiri" w:eastAsia="Amiri" w:cs="Amiri"/>
          <w:color w:val="111111"/>
          <w:sz w:val="28"/>
          <w:sz w:val="28"/>
          <w:szCs w:val="28"/>
          <w:rtl w:val="true"/>
          <w:lang w:bidi="ar-SA"/>
        </w:rPr>
        <w:t>، أو هو عقد شُرِّع لقطع التجاذب</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شُرّع لقطع التنازع بین المتخاصمین</w:t>
      </w:r>
      <w:r>
        <w:rPr>
          <w:rFonts w:eastAsia="IRNazanin" w:cs="IRNazanin"/>
          <w:color w:val="111111"/>
          <w:sz w:val="28"/>
          <w:szCs w:val="28"/>
          <w:rtl w:val="true"/>
          <w:lang w:bidi="fa-IR"/>
        </w:rPr>
        <w:t>»</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الصّلح عقد شرّع للتراضی بین شخصین فی أمر، من</w:t>
      </w:r>
    </w:p>
    <w:p>
      <w:pPr>
        <w:pStyle w:val="BookText"/>
        <w:rPr/>
      </w:pPr>
      <w:r>
        <w:rPr>
          <w:rFonts w:ascii="IRNazanin" w:hAnsi="IRNazanin" w:eastAsia="IRNazanin"/>
          <w:color w:val="111111"/>
          <w:sz w:val="28"/>
          <w:sz w:val="28"/>
          <w:szCs w:val="28"/>
          <w:rtl w:val="true"/>
          <w:lang w:bidi="fa-IR"/>
        </w:rPr>
        <w:t>تملیک عین أو منفعة أو إسقاط دین أو حقّ أو غیر ذلک مجّاناً أو بعوض</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الصلح عند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قائم بنفسه و لا یتّبع غیره فی الأحکام؛ لعدم الدلیل علی تبعیّته للغیر، و الأصل فی العقود الأصالة، خلافاً لجمهور الفقهاء من أهل السنّة 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عقد الصلح لیس عقداً مستقلاًّ بل هو متفرّع عن غیره،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الصُّلحُ جائز بین المسلمین ما لم یؤدِّ إلی تحلیل حرام أو تحریم حلال</w:t>
      </w:r>
      <w:r>
        <w:rPr>
          <w:rFonts w:eastAsia="IRNazanin" w:cs="IRNazanin"/>
          <w:color w:val="111111"/>
          <w:sz w:val="28"/>
          <w:szCs w:val="28"/>
          <w:rtl w:val="true"/>
          <w:lang w:bidi="fa-IR"/>
        </w:rPr>
        <w:t>»</w:t>
      </w:r>
      <w:r>
        <w:rPr>
          <w:rStyle w:val="FootnoteAnchor"/>
          <w:rtl w:val="true"/>
        </w:rPr>
        <w:footnoteReference w:id="1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السرائر</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إصباح الشیعة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نفسان لکلّ منهما حقّ عند صاحبه، أحاط علماً بمقداره أولا، فاصطلحا علی أن یتتارکا و یتحلّلا جاز، و لا رجوع لأحدهما علی الآخر إن کان بطیبة نفس منهما</w:t>
      </w:r>
      <w:r>
        <w:rPr>
          <w:rFonts w:eastAsia="IRNazanin" w:cs="IRNazanin"/>
          <w:color w:val="111111"/>
          <w:sz w:val="28"/>
          <w:szCs w:val="28"/>
          <w:rtl w:val="true"/>
          <w:lang w:bidi="fa-IR"/>
        </w:rPr>
        <w:t>»</w:t>
      </w:r>
      <w:r>
        <w:rPr>
          <w:rStyle w:val="FootnoteAnchor"/>
          <w:rtl w:val="true"/>
        </w:rPr>
        <w:footnoteReference w:id="16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 هذا فی الوسیلة</w:t>
      </w:r>
      <w:r>
        <w:rPr>
          <w:rStyle w:val="FootnoteAnchor"/>
          <w:rtl w:val="true"/>
        </w:rPr>
        <w:footnoteReference w:id="1639"/>
      </w:r>
      <w:r>
        <w:rPr>
          <w:rFonts w:ascii="IRNazanin" w:hAnsi="IRNazanin" w:eastAsia="IRNazanin"/>
          <w:color w:val="111111"/>
          <w:sz w:val="28"/>
          <w:sz w:val="28"/>
          <w:szCs w:val="28"/>
          <w:rtl w:val="true"/>
          <w:lang w:bidi="fa-IR"/>
        </w:rPr>
        <w:t>و الشرائع</w:t>
      </w:r>
      <w:r>
        <w:rPr>
          <w:rStyle w:val="FootnoteAnchor"/>
          <w:rtl w:val="true"/>
        </w:rPr>
        <w:footnoteReference w:id="1640"/>
      </w:r>
      <w:r>
        <w:rPr>
          <w:rFonts w:ascii="IRNazanin" w:hAnsi="IRNazanin" w:eastAsia="IRNazanin"/>
          <w:color w:val="111111"/>
          <w:sz w:val="28"/>
          <w:sz w:val="28"/>
          <w:szCs w:val="28"/>
          <w:rtl w:val="true"/>
          <w:lang w:bidi="fa-IR"/>
        </w:rPr>
        <w:t>و الجامع للشرائع</w:t>
      </w:r>
      <w:r>
        <w:rPr>
          <w:rStyle w:val="FootnoteAnchor"/>
          <w:rtl w:val="true"/>
        </w:rPr>
        <w:footnoteReference w:id="1641"/>
      </w:r>
      <w:r>
        <w:rPr>
          <w:rFonts w:ascii="IRNazanin" w:hAnsi="IRNazanin" w:eastAsia="IRNazanin"/>
          <w:color w:val="111111"/>
          <w:sz w:val="28"/>
          <w:sz w:val="28"/>
          <w:szCs w:val="28"/>
          <w:rtl w:val="true"/>
          <w:lang w:bidi="fa-IR"/>
        </w:rPr>
        <w:t>و القواعد</w:t>
      </w:r>
      <w:r>
        <w:rPr>
          <w:rStyle w:val="FootnoteAnchor"/>
          <w:rtl w:val="true"/>
        </w:rPr>
        <w:footnoteReference w:id="1642"/>
      </w:r>
      <w:r>
        <w:rPr>
          <w:rFonts w:ascii="IRNazanin" w:hAnsi="IRNazanin" w:eastAsia="IRNazanin"/>
          <w:color w:val="111111"/>
          <w:sz w:val="28"/>
          <w:sz w:val="28"/>
          <w:szCs w:val="28"/>
          <w:rtl w:val="true"/>
          <w:lang w:bidi="fa-IR"/>
        </w:rPr>
        <w:t>و غیرها</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تثبت مشروعیّة الصلح بالکتاب و السنّة و الإجماع</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الکتاب</w:t>
      </w:r>
      <w:r>
        <w:rPr>
          <w:rStyle w:val="FootnoteAnchor"/>
          <w:rtl w:val="true"/>
        </w:rPr>
        <w:footnoteReference w:id="1644"/>
      </w: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جُناحَ عَلَیْهِما أَنْ یُصْلِحا بَیْنَهُما صُلْحاً</w:t>
      </w:r>
    </w:p>
    <w:p>
      <w:pPr>
        <w:pStyle w:val="BookText"/>
        <w:rPr/>
      </w:pPr>
      <w:r>
        <w:rPr>
          <w:rFonts w:ascii="Amiri" w:hAnsi="Amiri" w:eastAsia="Amiri" w:cs="Amiri"/>
          <w:color w:val="111111"/>
          <w:sz w:val="28"/>
          <w:sz w:val="28"/>
          <w:szCs w:val="28"/>
          <w:rtl w:val="true"/>
          <w:lang w:bidi="ar-SA"/>
        </w:rPr>
        <w:t>وَ الصُّلْحُ خَیْرٌ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أفادت الآیة مشروعیّة الصلح، حیث إنّه سبحانه وصف الصلح بأنّه خیر، و لا یوصف بالخیریّة إلّا ما کان مشروعاً مأذوناً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یُرِیدا إِصْلاحاً یُوَفِّقِ اللّهُ بَیْنَهُما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طائِفَتانِ مِنَ الْمُؤْمِنِینَ اقْتَتَلُوا فَأَصْلِحُوا بَیْنَهُما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السنّة فقد وردت روایات مستفیضة علی جواز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حفص بن البختریّ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الصّلح جائز بین النّاس</w:t>
      </w:r>
      <w:r>
        <w:rPr>
          <w:rFonts w:eastAsia="IRNazanin" w:cs="IRNazanin"/>
          <w:color w:val="111111"/>
          <w:sz w:val="28"/>
          <w:szCs w:val="28"/>
          <w:rtl w:val="true"/>
          <w:lang w:bidi="fa-IR"/>
        </w:rPr>
        <w:t>»</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رحمه الله فی الفقیه،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 علی المدّعی و الیمین علی المدّعی علیه، و الصّلح جائز بین المسلمین إلّا صلحاً أحلّ حراماً أو حرّم حلالاً</w:t>
      </w:r>
      <w:r>
        <w:rPr>
          <w:rFonts w:eastAsia="IRNazanin" w:cs="IRNazanin"/>
          <w:color w:val="111111"/>
          <w:sz w:val="28"/>
          <w:szCs w:val="28"/>
          <w:rtl w:val="true"/>
          <w:lang w:bidi="fa-IR"/>
        </w:rPr>
        <w:t>»</w:t>
      </w:r>
      <w:r>
        <w:rPr>
          <w:rStyle w:val="FootnoteAnchor"/>
          <w:rtl w:val="true"/>
        </w:rPr>
        <w:footnoteReference w:id="1646"/>
      </w:r>
      <w:r>
        <w:rPr>
          <w:rFonts w:ascii="IRNazanin" w:hAnsi="IRNazanin" w:eastAsia="IRNazanin"/>
          <w:color w:val="111111"/>
          <w:sz w:val="28"/>
          <w:sz w:val="28"/>
          <w:szCs w:val="28"/>
          <w:rtl w:val="true"/>
          <w:lang w:bidi="fa-IR"/>
        </w:rPr>
        <w:t>، و غیرهما</w:t>
      </w:r>
      <w:r>
        <w:rPr>
          <w:rStyle w:val="FootnoteAnchor"/>
          <w:rtl w:val="true"/>
        </w:rPr>
        <w:footnoteReference w:id="1647"/>
      </w:r>
      <w:r>
        <w:rPr>
          <w:rFonts w:ascii="Amiri" w:hAnsi="Amiri" w:eastAsia="Amiri" w:cs="Amiri"/>
          <w:color w:val="111111"/>
          <w:sz w:val="28"/>
          <w:sz w:val="28"/>
          <w:szCs w:val="28"/>
          <w:rtl w:val="true"/>
          <w:lang w:bidi="ar-SA"/>
        </w:rPr>
        <w:t>، و الدّلالة واضحة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الإجماع فقد صرّح الشیخ بأنّ علیه إجماع المسلمین</w:t>
      </w:r>
      <w:r>
        <w:rPr>
          <w:rStyle w:val="FootnoteAnchor"/>
          <w:rtl w:val="true"/>
        </w:rPr>
        <w:footnoteReference w:id="16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السرائر</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أجمع العلماء کافّة علی تسویغه</w:t>
      </w:r>
      <w:r>
        <w:rPr>
          <w:rFonts w:eastAsia="IRNazanin" w:cs="IRNazanin"/>
          <w:color w:val="111111"/>
          <w:sz w:val="28"/>
          <w:szCs w:val="28"/>
          <w:rtl w:val="true"/>
          <w:lang w:bidi="fa-IR"/>
        </w:rPr>
        <w:t>»</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ادّعاه أیضاً فی التذکرة</w:t>
      </w:r>
      <w:r>
        <w:rPr>
          <w:rStyle w:val="FootnoteAnchor"/>
          <w:rtl w:val="true"/>
        </w:rPr>
        <w:footnoteReference w:id="1651"/>
      </w:r>
      <w:r>
        <w:rPr>
          <w:rFonts w:ascii="IRNazanin" w:hAnsi="IRNazanin" w:eastAsia="IRNazanin"/>
          <w:color w:val="111111"/>
          <w:sz w:val="28"/>
          <w:sz w:val="28"/>
          <w:szCs w:val="28"/>
          <w:rtl w:val="true"/>
          <w:lang w:bidi="fa-IR"/>
        </w:rPr>
        <w:t>و الغنیة</w:t>
      </w:r>
      <w:r>
        <w:rPr>
          <w:rStyle w:val="FootnoteAnchor"/>
          <w:rtl w:val="true"/>
        </w:rPr>
        <w:footnoteReference w:id="1652"/>
      </w:r>
      <w:r>
        <w:rPr>
          <w:rFonts w:ascii="Amiri" w:hAnsi="Amiri" w:eastAsia="Amiri" w:cs="Amiri"/>
          <w:color w:val="111111"/>
          <w:sz w:val="28"/>
          <w:sz w:val="28"/>
          <w:szCs w:val="28"/>
          <w:rtl w:val="true"/>
          <w:lang w:bidi="ar-SA"/>
        </w:rPr>
        <w:t>و المهذّب</w:t>
      </w:r>
      <w:r>
        <w:rPr>
          <w:rStyle w:val="FootnoteAnchor"/>
          <w:rtl w:val="true"/>
        </w:rPr>
        <w:footnoteReference w:id="1653"/>
      </w:r>
      <w:r>
        <w:rPr>
          <w:rFonts w:ascii="IRNazanin" w:hAnsi="IRNazanin" w:eastAsia="IRNazanin"/>
          <w:color w:val="111111"/>
          <w:sz w:val="28"/>
          <w:sz w:val="28"/>
          <w:szCs w:val="28"/>
          <w:rtl w:val="true"/>
          <w:lang w:bidi="fa-IR"/>
        </w:rPr>
        <w:t>، و قد اتّفق أصحابنا علی</w:t>
      </w:r>
      <w:bookmarkStart w:id="449" w:name="pg11757_135677"/>
    </w:p>
    <w:p>
      <w:pPr>
        <w:pStyle w:val="BookText"/>
        <w:rPr/>
      </w:pPr>
      <w:bookmarkEnd w:id="449"/>
      <w:r>
        <w:rPr>
          <w:rFonts w:ascii="IRNazanin" w:hAnsi="IRNazanin" w:eastAsia="IRNazanin"/>
          <w:color w:val="111111"/>
          <w:sz w:val="28"/>
          <w:sz w:val="28"/>
          <w:szCs w:val="28"/>
          <w:rtl w:val="true"/>
          <w:lang w:bidi="fa-IR"/>
        </w:rPr>
        <w:t>أنّ عقد الصّلح لازم من الطرفین</w:t>
      </w:r>
      <w:r>
        <w:rPr>
          <w:rStyle w:val="FootnoteAnchor"/>
          <w:rtl w:val="true"/>
        </w:rPr>
        <w:footnoteReference w:id="1654"/>
      </w:r>
      <w:r>
        <w:rPr>
          <w:rFonts w:ascii="IRNazanin" w:hAnsi="IRNazanin" w:eastAsia="IRNazanin"/>
          <w:color w:val="111111"/>
          <w:sz w:val="28"/>
          <w:sz w:val="28"/>
          <w:szCs w:val="28"/>
          <w:rtl w:val="true"/>
          <w:lang w:bidi="fa-IR"/>
        </w:rPr>
        <w:t>، فلا یجوز لأحدهما العدول عنه إلاّ برضا الآخر، و یبطل بالتقایل، بأن یتّفقا علی فسخه</w:t>
      </w:r>
      <w:r>
        <w:rPr>
          <w:rFonts w:eastAsia="IRNazanin" w:cs="IRNazanin"/>
          <w:color w:val="111111"/>
          <w:sz w:val="28"/>
          <w:szCs w:val="28"/>
          <w:rtl w:val="true"/>
          <w:lang w:bidi="fa-IR"/>
        </w:rPr>
        <w:t>.</w:t>
      </w:r>
    </w:p>
    <w:p>
      <w:pPr>
        <w:pStyle w:val="Heading4"/>
        <w:numPr>
          <w:ilvl w:val="3"/>
          <w:numId w:val="1"/>
        </w:numPr>
        <w:rPr/>
      </w:pPr>
      <w:bookmarkStart w:id="450" w:name="__RefHeading___Toc9696847_73709187"/>
      <w:bookmarkStart w:id="451" w:name="_Toc167"/>
      <w:bookmarkEnd w:id="450"/>
      <w:r>
        <w:rPr>
          <w:rtl w:val="true"/>
        </w:rPr>
        <w:t>أرکانُ الصّلح</w:t>
      </w:r>
      <w:bookmarkEnd w:id="451"/>
    </w:p>
    <w:p>
      <w:pPr>
        <w:pStyle w:val="BookText"/>
        <w:rPr/>
      </w:pPr>
      <w:r>
        <w:rPr>
          <w:rFonts w:ascii="IRNazanin" w:hAnsi="IRNazanin" w:eastAsia="IRNazanin"/>
          <w:color w:val="111111"/>
          <w:sz w:val="28"/>
          <w:sz w:val="28"/>
          <w:szCs w:val="28"/>
          <w:rtl w:val="true"/>
          <w:lang w:bidi="fa-IR"/>
        </w:rPr>
        <w:t>و هی 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المتصالحان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اللّذان یعقدان الصّلح</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المصالح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بدل الصّلح و العوض الذی اصطلحا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المصالح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الشّیء المتنازع فیه، أو خیف حدوث الاختلاف من أجله، و المقصود بالبحث هنا بیان شرائط المتصالحین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یشترط فیهما الکمال، بأن یکونا بالغین رشیدین جائزی التصرّف فیما وقع الصّلح علیه، فلا یجوز صلح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بدّ من متعاقدین کاملین</w:t>
      </w:r>
      <w:r>
        <w:rPr>
          <w:rFonts w:eastAsia="IRNazanin" w:cs="IRNazanin"/>
          <w:color w:val="111111"/>
          <w:sz w:val="28"/>
          <w:szCs w:val="28"/>
          <w:rtl w:val="true"/>
          <w:lang w:bidi="fa-IR"/>
        </w:rPr>
        <w:t>»</w:t>
      </w:r>
      <w:r>
        <w:rPr>
          <w:rStyle w:val="FootnoteAnchor"/>
          <w:rtl w:val="true"/>
        </w:rPr>
        <w:footnoteReference w:id="16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إیضاح الفوائد</w:t>
      </w:r>
      <w:r>
        <w:rPr>
          <w:rStyle w:val="FootnoteAnchor"/>
          <w:rtl w:val="true"/>
        </w:rPr>
        <w:footnoteReference w:id="1656"/>
      </w:r>
      <w:r>
        <w:rPr>
          <w:rFonts w:ascii="IRNazanin" w:hAnsi="IRNazanin" w:eastAsia="IRNazanin"/>
          <w:color w:val="111111"/>
          <w:sz w:val="28"/>
          <w:sz w:val="28"/>
          <w:szCs w:val="28"/>
          <w:rtl w:val="true"/>
          <w:lang w:bidi="fa-IR"/>
        </w:rPr>
        <w:t>و جامع المقاصد</w:t>
      </w:r>
      <w:r>
        <w:rPr>
          <w:rStyle w:val="FootnoteAnchor"/>
          <w:rtl w:val="true"/>
        </w:rPr>
        <w:footnoteReference w:id="1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ادّعی فی التذکرة و مفتاح الکرامة علیه الإجماع</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السیّد الخوئی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یعتبر فی المتصالحین البلوغ و العقل و الاختیار و القصد و عدم الحجر لسفه أو غیره</w:t>
      </w:r>
      <w:r>
        <w:rPr>
          <w:rFonts w:eastAsia="IRNazanin" w:cs="IRNazanin"/>
          <w:color w:val="111111"/>
          <w:sz w:val="28"/>
          <w:szCs w:val="28"/>
          <w:rtl w:val="true"/>
          <w:lang w:bidi="fa-IR"/>
        </w:rPr>
        <w:t>»</w:t>
      </w:r>
      <w:r>
        <w:rPr>
          <w:rStyle w:val="FootnoteAnchor"/>
          <w:rtl w:val="true"/>
        </w:rPr>
        <w:footnoteReference w:id="16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الوسیلة</w:t>
      </w:r>
      <w:r>
        <w:rPr>
          <w:rStyle w:val="FootnoteAnchor"/>
          <w:rtl w:val="true"/>
        </w:rPr>
        <w:footnoteReference w:id="1660"/>
      </w:r>
      <w:r>
        <w:rPr>
          <w:rFonts w:ascii="IRNazanin" w:hAnsi="IRNazanin" w:eastAsia="IRNazanin"/>
          <w:color w:val="111111"/>
          <w:sz w:val="28"/>
          <w:sz w:val="28"/>
          <w:szCs w:val="28"/>
          <w:rtl w:val="true"/>
          <w:lang w:bidi="fa-IR"/>
        </w:rPr>
        <w:t xml:space="preserve">و تحریرها </w:t>
      </w:r>
      <w:r>
        <w:rPr>
          <w:rStyle w:val="FootnoteAnchor"/>
          <w:rtl w:val="true"/>
        </w:rPr>
        <w:footnoteReference w:id="1661"/>
      </w:r>
      <w:bookmarkStart w:id="452" w:name="pg11757_135678"/>
    </w:p>
    <w:p>
      <w:pPr>
        <w:pStyle w:val="BookText"/>
        <w:rPr/>
      </w:pPr>
      <w:bookmarkEnd w:id="452"/>
      <w:r>
        <w:rPr>
          <w:rFonts w:ascii="IRNazanin" w:hAnsi="IRNazanin" w:eastAsia="IRNazanin"/>
          <w:color w:val="111111"/>
          <w:sz w:val="28"/>
          <w:sz w:val="28"/>
          <w:szCs w:val="28"/>
          <w:rtl w:val="true"/>
          <w:lang w:bidi="fa-IR"/>
        </w:rPr>
        <w:t>و مهذّب الأحکام</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3" w:name="__RefHeading___Toc9696849_73709187"/>
      <w:bookmarkStart w:id="454" w:name="_Toc168"/>
      <w:bookmarkEnd w:id="453"/>
      <w:r>
        <w:rPr>
          <w:rtl w:val="true"/>
        </w:rPr>
        <w:t>أدلّة عدم جواز صلح الصبیّ‌</w:t>
      </w:r>
      <w:bookmarkEnd w:id="454"/>
    </w:p>
    <w:p>
      <w:pPr>
        <w:pStyle w:val="BookText"/>
        <w:rPr/>
      </w:pPr>
      <w:r>
        <w:rPr>
          <w:rFonts w:ascii="Amiri" w:hAnsi="Amiri" w:eastAsia="Amiri" w:cs="Amiri"/>
          <w:color w:val="111111"/>
          <w:sz w:val="28"/>
          <w:sz w:val="28"/>
          <w:szCs w:val="28"/>
          <w:rtl w:val="true"/>
          <w:lang w:bidi="ar-SA"/>
        </w:rPr>
        <w:t>و استدلّ لذلک باُمور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الضرورة و الإجماع کما تقدّم، قال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محجور علیه بالنّص و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ممیّزاً أو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التصرّفات، إلّا ما یستثنی</w:t>
      </w:r>
      <w:r>
        <w:rPr>
          <w:rFonts w:eastAsia="IRNazanin" w:cs="IRNazanin"/>
          <w:color w:val="111111"/>
          <w:sz w:val="28"/>
          <w:szCs w:val="28"/>
          <w:rtl w:val="true"/>
          <w:lang w:bidi="fa-IR"/>
        </w:rPr>
        <w:t>»</w:t>
      </w:r>
      <w:r>
        <w:rPr>
          <w:rStyle w:val="FootnoteAnchor"/>
          <w:rtl w:val="true"/>
        </w:rPr>
        <w:footnoteReference w:id="16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الکلام فی هذا الإجماع عند البحث عن بیع الصبیّ‌</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الصبیّ لا یکون أهلاً للتصرّف، و الأهلیّة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صلاحیّة الإنسان لصدور الفعل منه علی وجه یعتدّ به شرعاً، و أقوال الصبیّ و أفعاله غیر معتبرة، و لا یترتّب علیها حکم، فلا یعتدّ بأقواله و أفعاله کما تقدّم فی مبحث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الصغیر فمحجور علیه ما لم یحصل له وصفان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 الرشد</w:t>
      </w:r>
      <w:r>
        <w:rPr>
          <w:rFonts w:eastAsia="IRNazanin" w:cs="IRNazanin"/>
          <w:color w:val="111111"/>
          <w:sz w:val="28"/>
          <w:szCs w:val="28"/>
          <w:rtl w:val="true"/>
          <w:lang w:bidi="fa-IR"/>
        </w:rPr>
        <w:t>»</w:t>
      </w:r>
      <w:r>
        <w:rPr>
          <w:rStyle w:val="FootnoteAnchor"/>
          <w:rtl w:val="true"/>
        </w:rPr>
        <w:footnoteReference w:id="1665"/>
      </w:r>
      <w:r>
        <w:rPr>
          <w:rFonts w:ascii="IRNazanin" w:hAnsi="IRNazanin" w:eastAsia="IRNazanin"/>
          <w:color w:val="111111"/>
          <w:sz w:val="28"/>
          <w:sz w:val="28"/>
          <w:szCs w:val="28"/>
          <w:rtl w:val="true"/>
          <w:lang w:bidi="fa-IR"/>
        </w:rPr>
        <w:t>، و زاد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أجده فیه، بل الإجماع بقسمیه علیه، بل الکتاب و السنّة دالّان علیه أیضاً</w:t>
      </w:r>
      <w:r>
        <w:rPr>
          <w:rFonts w:eastAsia="IRNazanin" w:cs="IRNazanin"/>
          <w:color w:val="111111"/>
          <w:sz w:val="28"/>
          <w:szCs w:val="28"/>
          <w:rtl w:val="true"/>
          <w:lang w:bidi="fa-IR"/>
        </w:rPr>
        <w:t>»</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الدروس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یعنی بکمال المتعاقدین بلوغهما و عقلهما، فعقد الصبیّ باطل</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 الَّذِی عَلَیْهِ الْحَقُّ سَفِیهاً أَوْ ضَعِیفاً أَوْ</w:t>
      </w:r>
    </w:p>
    <w:p>
      <w:pPr>
        <w:pStyle w:val="BookText"/>
        <w:rPr/>
      </w:pPr>
      <w:r>
        <w:rPr>
          <w:rFonts w:ascii="Amiri" w:hAnsi="Amiri" w:eastAsia="Amiri" w:cs="Amiri"/>
          <w:color w:val="111111"/>
          <w:sz w:val="28"/>
          <w:sz w:val="28"/>
          <w:szCs w:val="28"/>
          <w:rtl w:val="true"/>
          <w:lang w:bidi="ar-SA"/>
        </w:rPr>
        <w:t>لا یَسْتَطِیعُ أَنْ یُمِلَّ هُوَ فَلْیُمْلِلْ وَلِیُّهُ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أثبت اللّه علی السّفیه و الضعیف الولایة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مجمع الفائدة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السفیه المبذّر، و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الصبیّ؛ لأنّ العرب تسمّی کلّ قلیل العقل ضعیفاً</w:t>
      </w:r>
      <w:r>
        <w:rPr>
          <w:rFonts w:eastAsia="IRNazanin" w:cs="IRNazanin"/>
          <w:color w:val="111111"/>
          <w:sz w:val="28"/>
          <w:szCs w:val="28"/>
          <w:rtl w:val="true"/>
          <w:lang w:bidi="fa-IR"/>
        </w:rPr>
        <w:t>»</w:t>
      </w:r>
      <w:r>
        <w:rPr>
          <w:rStyle w:val="FootnoteAnchor"/>
          <w:rtl w:val="true"/>
        </w:rPr>
        <w:footnoteReference w:id="1667"/>
      </w:r>
      <w:r>
        <w:rPr>
          <w:rFonts w:ascii="IRNazanin" w:hAnsi="IRNazanin" w:eastAsia="IRNazanin"/>
          <w:color w:val="111111"/>
          <w:sz w:val="28"/>
          <w:sz w:val="28"/>
          <w:szCs w:val="28"/>
          <w:rtl w:val="true"/>
          <w:lang w:bidi="fa-IR"/>
        </w:rPr>
        <w:t>، و کذا فی الخلاف</w:t>
      </w:r>
      <w:r>
        <w:rPr>
          <w:rStyle w:val="FootnoteAnchor"/>
          <w:rtl w:val="true"/>
        </w:rPr>
        <w:footnoteReference w:id="1668"/>
      </w:r>
      <w:r>
        <w:rPr>
          <w:rFonts w:ascii="IRNazanin" w:hAnsi="IRNazanin" w:eastAsia="IRNazanin"/>
          <w:color w:val="111111"/>
          <w:sz w:val="28"/>
          <w:sz w:val="28"/>
          <w:szCs w:val="28"/>
          <w:rtl w:val="true"/>
          <w:lang w:bidi="fa-IR"/>
        </w:rPr>
        <w:t>و التذکرة</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المتقدِّمة فی مبحث الحجر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حمران عن أبی جعفر علیه السلام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الغلام لا یجوز أمره فی الشراء و البیع و لا یخرج من الیتم حتّی یبلغ خمس عشرة سنة، أو یحتلم أو یشعر أو ینبت قبل ذلک</w:t>
      </w:r>
      <w:r>
        <w:rPr>
          <w:rFonts w:eastAsia="IRNazanin" w:cs="IRNazanin"/>
          <w:color w:val="111111"/>
          <w:sz w:val="28"/>
          <w:szCs w:val="28"/>
          <w:rtl w:val="true"/>
          <w:lang w:bidi="fa-IR"/>
        </w:rPr>
        <w:t>»</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دلالته علی الحکم واضحة؛ لأنّ مفهوم الشرط یکون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الجاریة إذا لم یکن لها تسع سنین لم یذهب عنها الیُتم و لم یدفع إلیها مالها و لم یجز أمرها فی الشراء و البیع، و کذلک الغلام لا یجوز أمره قبل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بجواز الأمر جواز تصرّف الصبیّ بالبیع و الشراء و نحوهما، فهذا الخبر دلّ علی عدم جواز تصرّفه بجمیع التصرّفات، و الصلح الواقع من الصبیّ لو کان جائزاً و موجباً لنقل الملک فهو التصرّف الذی دلّ الخبر علی المنع منه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 اللّه بن سنان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سأله أبی و أنا حاضر عن الیتیم متی یجوز أمره؟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یبلغ أشدّه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و کتب علیه الشیء جاز أمره إلاّ أن یکون سفیهاً أو</w:t>
      </w:r>
      <w:bookmarkStart w:id="455" w:name="pg11757_135680"/>
    </w:p>
    <w:p>
      <w:pPr>
        <w:pStyle w:val="BookText"/>
        <w:rPr/>
      </w:pPr>
      <w:bookmarkEnd w:id="455"/>
      <w:r>
        <w:rPr>
          <w:rFonts w:ascii="Amiri" w:hAnsi="Amiri" w:eastAsia="Amiri" w:cs="Amiri"/>
          <w:color w:val="111111"/>
          <w:sz w:val="28"/>
          <w:sz w:val="28"/>
          <w:szCs w:val="28"/>
          <w:rtl w:val="true"/>
          <w:lang w:bidi="ar-SA"/>
        </w:rPr>
        <w:t>ضعیفاً</w:t>
      </w:r>
      <w:r>
        <w:rPr>
          <w:rFonts w:eastAsia="Amiri" w:cs="Amiri" w:ascii="Amiri" w:hAnsi="Amiri"/>
          <w:color w:val="111111"/>
          <w:sz w:val="28"/>
          <w:szCs w:val="28"/>
          <w:rtl w:val="true"/>
          <w:lang w:bidi="ar-SA"/>
        </w:rPr>
        <w:t>»</w:t>
      </w:r>
      <w:r>
        <w:rPr>
          <w:rStyle w:val="FootnoteAnchor"/>
          <w:rtl w:val="true"/>
        </w:rPr>
        <w:footnoteReference w:id="1671"/>
      </w:r>
      <w:r>
        <w:rPr>
          <w:rFonts w:ascii="IRNazanin" w:hAnsi="IRNazanin" w:eastAsia="IRNazanin"/>
          <w:color w:val="111111"/>
          <w:sz w:val="28"/>
          <w:sz w:val="28"/>
          <w:szCs w:val="28"/>
          <w:rtl w:val="true"/>
          <w:lang w:bidi="fa-IR"/>
        </w:rPr>
        <w:t>، و قریب منها صحیحة ثانیة له</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مفاد تلک الأدلّة أنّه لا ینعقد صلح الصبیّ، فلو ادّعی أحد علی الصبیّ شیئاً أو کان له علی إنسان مال لا یجوز للصبیّ أن یصالحه، بل لولیّه أن یصالح عنه بما یراه مصلحة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متی کان للیتامَی علی إنسان مال جاز لولیّهم أن یصالحه علی شیء یراه صلاحاً فی الحال و یأخذ الباقی، و تَبرَأ بذلک ذمّة من کان علیه المال</w:t>
      </w:r>
      <w:r>
        <w:rPr>
          <w:rFonts w:eastAsia="IRNazanin" w:cs="IRNazanin"/>
          <w:color w:val="111111"/>
          <w:sz w:val="28"/>
          <w:szCs w:val="28"/>
          <w:rtl w:val="true"/>
          <w:lang w:bidi="fa-IR"/>
        </w:rPr>
        <w:t>»</w:t>
      </w:r>
      <w:r>
        <w:rPr>
          <w:rStyle w:val="FootnoteAnchor"/>
          <w:rtl w:val="true"/>
        </w:rPr>
        <w:footnoteReference w:id="1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المختلف</w:t>
      </w:r>
      <w:r>
        <w:rPr>
          <w:rStyle w:val="FootnoteAnchor"/>
          <w:rtl w:val="true"/>
        </w:rPr>
        <w:footnoteReference w:id="1674"/>
      </w:r>
      <w:r>
        <w:rPr>
          <w:rFonts w:ascii="IRNazanin" w:hAnsi="IRNazanin" w:eastAsia="IRNazanin"/>
          <w:color w:val="111111"/>
          <w:sz w:val="28"/>
          <w:sz w:val="28"/>
          <w:szCs w:val="28"/>
          <w:rtl w:val="true"/>
          <w:lang w:bidi="fa-IR"/>
        </w:rPr>
        <w:t>و التحریر</w:t>
      </w:r>
      <w:r>
        <w:rPr>
          <w:rStyle w:val="FootnoteAnchor"/>
          <w:rtl w:val="true"/>
        </w:rPr>
        <w:footnoteReference w:id="1675"/>
      </w:r>
      <w:r>
        <w:rPr>
          <w:rFonts w:ascii="IRNazanin" w:hAnsi="IRNazanin" w:eastAsia="IRNazanin"/>
          <w:color w:val="111111"/>
          <w:sz w:val="28"/>
          <w:sz w:val="28"/>
          <w:szCs w:val="28"/>
          <w:rtl w:val="true"/>
          <w:lang w:bidi="fa-IR"/>
        </w:rPr>
        <w:t>و السرائر</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6" w:name="__RefHeading___Toc9696851_73709187"/>
      <w:bookmarkStart w:id="457" w:name="_Toc169"/>
      <w:bookmarkEnd w:id="456"/>
      <w:r>
        <w:rPr>
          <w:rtl w:val="true"/>
        </w:rPr>
        <w:t>صلح الصبیّ عند أهل السنّة</w:t>
      </w:r>
      <w:bookmarkEnd w:id="457"/>
    </w:p>
    <w:p>
      <w:pPr>
        <w:pStyle w:val="Heading5"/>
        <w:numPr>
          <w:ilvl w:val="4"/>
          <w:numId w:val="1"/>
        </w:numPr>
        <w:rPr/>
      </w:pPr>
      <w:bookmarkStart w:id="458" w:name="__RefHeading___Toc9696853_73709187"/>
      <w:bookmarkStart w:id="459" w:name="_Toc170"/>
      <w:bookmarkEnd w:id="458"/>
      <w:r>
        <w:rPr>
          <w:rtl w:val="true"/>
        </w:rPr>
        <w:t xml:space="preserve">أ </w:t>
      </w:r>
      <w:r>
        <w:rPr>
          <w:rtl w:val="true"/>
        </w:rPr>
        <w:t xml:space="preserve">- </w:t>
      </w:r>
      <w:r>
        <w:rPr>
          <w:rtl w:val="true"/>
        </w:rPr>
        <w:t>الحنفیّة</w:t>
      </w:r>
      <w:bookmarkEnd w:id="459"/>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یشترط فی عقد الصّلح عند الحنفیّة شروط تتعلّق بالمصالح أو بالمصالح عنه أو بالمصالح علیه، و ما هو المقصود هنا شروط المصالح، و یشترط عندهم أن یکون عاقلاً، و هذا شرط عام فی جمیع التصرّفات، فلا یصحّ صلح المجنون و الصبیّ الذی لا یعقل؛ لانعدام أهلیّة التصرّف بانعدام العقل، و لا یشترط البلوغ فیصحّ صلح الصبیّ الممیّز المأذون فی التصرّف إذا کان فیه نفع أو لا یکون فیه ضرر ظاهر</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bookmarkStart w:id="460" w:name="pg11757_135681"/>
    </w:p>
    <w:p>
      <w:pPr>
        <w:pStyle w:val="BookText"/>
        <w:rPr/>
      </w:pPr>
      <w:bookmarkEnd w:id="460"/>
      <w:r>
        <w:rPr>
          <w:rFonts w:ascii="IRNazanin" w:hAnsi="IRNazanin" w:eastAsia="IRNazanin"/>
          <w:color w:val="111111"/>
          <w:sz w:val="28"/>
          <w:sz w:val="28"/>
          <w:szCs w:val="28"/>
          <w:rtl w:val="true"/>
          <w:lang w:bidi="fa-IR"/>
        </w:rPr>
        <w:t>و جاء فی المجلّة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یصحّ صلح الصبیّ المأذون إن لم یکن فیه ضرر بیّن، کما إذا ادّعی أحد علی الصبیّ المأذون شیئاً و أقرّ به، فیصحّ صلحه عن إقرار، و للصبیّ المأذون أن یعقِد الصّلح علی تأجیل و إمهال طلبه</w:t>
      </w:r>
      <w:r>
        <w:rPr>
          <w:rFonts w:eastAsia="IRNazanin" w:cs="IRNazanin"/>
          <w:color w:val="111111"/>
          <w:sz w:val="28"/>
          <w:szCs w:val="28"/>
          <w:rtl w:val="true"/>
          <w:lang w:bidi="fa-IR"/>
        </w:rPr>
        <w:t>»</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1" w:name="__RefHeading___Toc9696855_73709187"/>
      <w:bookmarkStart w:id="462" w:name="_Toc171"/>
      <w:bookmarkEnd w:id="461"/>
      <w:r>
        <w:rPr>
          <w:rtl w:val="true"/>
        </w:rPr>
        <w:t xml:space="preserve">ب </w:t>
      </w:r>
      <w:r>
        <w:rPr>
          <w:rtl w:val="true"/>
        </w:rPr>
        <w:t xml:space="preserve">- </w:t>
      </w:r>
      <w:r>
        <w:rPr>
          <w:rtl w:val="true"/>
        </w:rPr>
        <w:t>الحنابلة</w:t>
      </w:r>
      <w:bookmarkEnd w:id="462"/>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الصّلح من العقود اللازمة، و لکنّه لیس عقداً مستقلّاً قائماً بذاته، بل هو یرجع إمّا إلی البیع أو الإبراء أو الهبة أو الإجارة، فیعتبر فیه أحکام البیع و الإبراء و الهبة، و لکی ینعقد الصلح صحیحاً نافذاً یشترط فی العاقد أن یکون أهلاً للتصرّف، و هو البالغ الرّشید، فلا یصحّ من صغیر غیر ممیّز و مجنون و مبرسم، أمّا الصبیّ الممیّز فتصحّ عقوده و تصرّفاته النافعة نفعاً محضاً، و أمّا التصرّفات الدائرة بین النفع و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کالبیع و الإجارة و الصّلح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فتصحّ من الصبیّ الممیّز بإجازة الولیّ، و لا تصحّ بدونها</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قال فی الشرح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یصحّ ذلک ممّن لا یملک التبرّع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کالمکاتب و المأذون له و ولیّ الیتیم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 حال الإنکار و عدم البیّنة؛ لأنّه تبرّع و لیس لهم التبرّع، فأمّا إذا لم یکن بالدّین أو کان علی الإنکار صحّ؛ لأنّ استیفائهم البعض عند العجز عن استیفاء الکلّ أولی من ترکه</w:t>
      </w:r>
      <w:r>
        <w:rPr>
          <w:rFonts w:eastAsia="IRNazanin" w:cs="IRNazanin"/>
          <w:color w:val="111111"/>
          <w:sz w:val="28"/>
          <w:szCs w:val="28"/>
          <w:rtl w:val="true"/>
          <w:lang w:bidi="fa-IR"/>
        </w:rPr>
        <w:t>»</w:t>
      </w:r>
      <w:r>
        <w:rPr>
          <w:rStyle w:val="FootnoteAnchor"/>
          <w:rtl w:val="true"/>
        </w:rPr>
        <w:footnoteReference w:id="1680"/>
      </w:r>
      <w:r>
        <w:rPr>
          <w:rFonts w:ascii="IRNazanin" w:hAnsi="IRNazanin" w:eastAsia="IRNazanin"/>
          <w:color w:val="111111"/>
          <w:sz w:val="28"/>
          <w:sz w:val="28"/>
          <w:szCs w:val="28"/>
          <w:rtl w:val="true"/>
          <w:lang w:bidi="fa-IR"/>
        </w:rPr>
        <w:t>، و قریب من هذا فی المبدع</w:t>
      </w:r>
      <w:r>
        <w:rPr>
          <w:rStyle w:val="FootnoteAnchor"/>
          <w:rtl w:val="true"/>
        </w:rPr>
        <w:footnoteReference w:id="1681"/>
      </w:r>
      <w:r>
        <w:rPr>
          <w:rFonts w:ascii="IRNazanin" w:hAnsi="IRNazanin" w:eastAsia="IRNazanin"/>
          <w:color w:val="111111"/>
          <w:sz w:val="28"/>
          <w:sz w:val="28"/>
          <w:szCs w:val="28"/>
          <w:rtl w:val="true"/>
          <w:lang w:bidi="fa-IR"/>
        </w:rPr>
        <w:t>و کشّاف القناع</w:t>
      </w:r>
      <w:r>
        <w:rPr>
          <w:rStyle w:val="FootnoteAnchor"/>
          <w:rtl w:val="true"/>
        </w:rPr>
        <w:footnoteReference w:id="1682"/>
      </w:r>
      <w:r>
        <w:rPr>
          <w:rFonts w:ascii="IRNazanin" w:hAnsi="IRNazanin" w:eastAsia="IRNazanin"/>
          <w:color w:val="111111"/>
          <w:sz w:val="28"/>
          <w:sz w:val="28"/>
          <w:szCs w:val="28"/>
          <w:rtl w:val="true"/>
          <w:lang w:bidi="fa-IR"/>
        </w:rPr>
        <w:t>و غیرها</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bookmarkStart w:id="463" w:name="pg11757_135682"/>
    </w:p>
    <w:p>
      <w:pPr>
        <w:pStyle w:val="Heading5"/>
        <w:numPr>
          <w:ilvl w:val="4"/>
          <w:numId w:val="1"/>
        </w:numPr>
        <w:rPr/>
      </w:pPr>
      <w:bookmarkStart w:id="464" w:name="__RefHeading___Toc9696857_73709187"/>
      <w:bookmarkStart w:id="465" w:name="_Toc172"/>
      <w:bookmarkEnd w:id="463"/>
      <w:bookmarkEnd w:id="464"/>
      <w:r>
        <w:rPr>
          <w:rtl w:val="true"/>
        </w:rPr>
        <w:t xml:space="preserve">ج </w:t>
      </w:r>
      <w:r>
        <w:rPr>
          <w:rtl w:val="true"/>
        </w:rPr>
        <w:t xml:space="preserve">- </w:t>
      </w:r>
      <w:r>
        <w:rPr>
          <w:rtl w:val="true"/>
        </w:rPr>
        <w:t>الشافعیّة</w:t>
      </w:r>
      <w:bookmarkEnd w:id="465"/>
    </w:p>
    <w:p>
      <w:pPr>
        <w:pStyle w:val="BookText"/>
        <w:rPr/>
      </w:pPr>
      <w:r>
        <w:rPr>
          <w:rFonts w:ascii="IRNazanin" w:hAnsi="IRNazanin" w:eastAsia="IRNazanin"/>
          <w:color w:val="111111"/>
          <w:sz w:val="28"/>
          <w:sz w:val="28"/>
          <w:szCs w:val="28"/>
          <w:rtl w:val="true"/>
          <w:lang w:bidi="fa-IR"/>
        </w:rPr>
        <w:t>و هم أیضاً صرّحوا بأنّ عقد الصّلح لیس عقداً مستقلاًّ قائماً بذاته فی شروطه و أحکامه، بل هو متفرّع علی غیره فی ذلک، جاء فی الوسیط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الصلح عند الشافعی لیس عقداً مخالفاً للبیع أو للهبة</w:t>
      </w:r>
      <w:r>
        <w:rPr>
          <w:rFonts w:eastAsia="IRNazanin" w:cs="IRNazanin"/>
          <w:color w:val="111111"/>
          <w:sz w:val="28"/>
          <w:szCs w:val="28"/>
          <w:rtl w:val="true"/>
          <w:lang w:bidi="fa-IR"/>
        </w:rPr>
        <w:t>»</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الوجیز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معاوضة له حکم البیع</w:t>
      </w:r>
      <w:r>
        <w:rPr>
          <w:rFonts w:eastAsia="IRNazanin" w:cs="IRNazanin"/>
          <w:color w:val="111111"/>
          <w:sz w:val="28"/>
          <w:szCs w:val="28"/>
          <w:rtl w:val="true"/>
          <w:lang w:bidi="fa-IR"/>
        </w:rPr>
        <w:t>»</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 الصّلح أنّه بمنزلة البیع، فما جاز فی البیع جاز فی الصّلح، و ما لم یجز فی البیع لم یجز فی الصّلح</w:t>
      </w:r>
      <w:r>
        <w:rPr>
          <w:rFonts w:eastAsia="IRNazanin" w:cs="IRNazanin"/>
          <w:color w:val="111111"/>
          <w:sz w:val="28"/>
          <w:szCs w:val="28"/>
          <w:rtl w:val="true"/>
          <w:lang w:bidi="fa-IR"/>
        </w:rPr>
        <w:t>»</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هذا یشترط فی المتصالحین ما یشترط فی المتبایعین، و منه التکلیف، فلا یصحّ صلح الصبیّ مطلقاً و لا یترتّب علیه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المجموع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الصبیّ فلا یصحّ بیعه و لا شراؤه و لا إجارته و سائر عقوده، لا لنفسه و لا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باع بإذن الولیّ أو بغیر إذنه</w:t>
      </w:r>
      <w:r>
        <w:rPr>
          <w:rFonts w:eastAsia="IRNazanin" w:cs="IRNazanin"/>
          <w:color w:val="111111"/>
          <w:sz w:val="28"/>
          <w:szCs w:val="28"/>
          <w:rtl w:val="true"/>
          <w:lang w:bidi="fa-IR"/>
        </w:rPr>
        <w:t>»</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إعانة الطالبین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الصبیّ مسلوب العِبارة و الولایة، فلا یصحّ عقوده و لا إسلامه و لو ممیّزاً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استثنی من عبادة الممیّز</w:t>
      </w:r>
      <w:r>
        <w:rPr>
          <w:rFonts w:eastAsia="IRNazanin" w:cs="IRNazanin"/>
          <w:color w:val="111111"/>
          <w:sz w:val="28"/>
          <w:szCs w:val="28"/>
          <w:rtl w:val="true"/>
          <w:lang w:bidi="fa-IR"/>
        </w:rPr>
        <w:t>»</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الفقه المنهجی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یشترط فی کلّ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المتصالحین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هی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التکلیف، أی أن یکون کلّ منهما عاقلاً بالغاً، فلا یصحّ الصّلح من الصبیّ و لو کان ممیّزاً، و لا من المجنون؛ لأنّ الصّلح عقد و تصرّف و تصرّفاتهما غیر</w:t>
      </w:r>
    </w:p>
    <w:p>
      <w:pPr>
        <w:pStyle w:val="BookText"/>
        <w:rPr/>
      </w:pPr>
      <w:r>
        <w:rPr>
          <w:rFonts w:ascii="IRNazanin" w:hAnsi="IRNazanin" w:eastAsia="IRNazanin"/>
          <w:color w:val="111111"/>
          <w:sz w:val="28"/>
          <w:sz w:val="28"/>
          <w:szCs w:val="28"/>
          <w:rtl w:val="true"/>
          <w:lang w:bidi="fa-IR"/>
        </w:rPr>
        <w:t>معتبرة شرعاً، و عقودهما باطلة، کما علمت مراراً</w:t>
      </w:r>
      <w:r>
        <w:rPr>
          <w:rFonts w:eastAsia="IRNazanin" w:cs="IRNazanin"/>
          <w:color w:val="111111"/>
          <w:sz w:val="28"/>
          <w:szCs w:val="28"/>
          <w:rtl w:val="true"/>
          <w:lang w:bidi="fa-IR"/>
        </w:rPr>
        <w:t>»</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نعثر علی نصّ فی صلح الصّبیّ للمالکیّة، و لکنّهم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تصرّفات الصّبیّ الممیّز تقع صحیحة، لکنّها لا تکون لازمةً، و یتوقّف لزومها علی إجازة الولیّ أو الوصیّ‌</w:t>
      </w:r>
      <w:r>
        <w:rPr>
          <w:rStyle w:val="FootnoteAnchor"/>
          <w:rtl w:val="true"/>
        </w:rPr>
        <w:footnoteReference w:id="1690"/>
      </w:r>
      <w:r>
        <w:rPr>
          <w:rFonts w:ascii="IRNazanin" w:hAnsi="IRNazanin" w:eastAsia="IRNazanin"/>
          <w:color w:val="111111"/>
          <w:sz w:val="28"/>
          <w:sz w:val="28"/>
          <w:szCs w:val="28"/>
          <w:rtl w:val="true"/>
          <w:lang w:bidi="fa-IR"/>
        </w:rPr>
        <w:t>، و علیه فلو صالح الصبیّ الممیّز و أجازه الولیّ کان صحیحاً</w:t>
      </w:r>
      <w:r>
        <w:rPr>
          <w:rFonts w:eastAsia="IRNazanin" w:cs="IRNazanin"/>
          <w:color w:val="111111"/>
          <w:sz w:val="28"/>
          <w:szCs w:val="28"/>
          <w:rtl w:val="true"/>
          <w:lang w:bidi="fa-IR"/>
        </w:rPr>
        <w:t>.</w:t>
      </w:r>
      <w:bookmarkStart w:id="466" w:name="pg11757_135686"/>
    </w:p>
    <w:p>
      <w:pPr>
        <w:pStyle w:val="Heading3"/>
        <w:numPr>
          <w:ilvl w:val="2"/>
          <w:numId w:val="1"/>
        </w:numPr>
        <w:rPr/>
      </w:pPr>
      <w:bookmarkStart w:id="467" w:name="__RefHeading___Toc9696859_73709187"/>
      <w:bookmarkStart w:id="468" w:name="_Toc173"/>
      <w:bookmarkEnd w:id="466"/>
      <w:bookmarkEnd w:id="467"/>
      <w:r>
        <w:rPr>
          <w:rtl w:val="true"/>
        </w:rPr>
        <w:t>الفصل التاسع</w:t>
      </w:r>
      <w:r>
        <w:rPr>
          <w:rtl w:val="true"/>
        </w:rPr>
        <w:t xml:space="preserve">: </w:t>
      </w:r>
      <w:r>
        <w:rPr>
          <w:rtl w:val="true"/>
        </w:rPr>
        <w:t>شرکة الصبیّ</w:t>
      </w:r>
      <w:bookmarkEnd w:id="468"/>
    </w:p>
    <w:p>
      <w:pPr>
        <w:pStyle w:val="Heading4"/>
        <w:numPr>
          <w:ilvl w:val="3"/>
          <w:numId w:val="1"/>
        </w:numPr>
        <w:rPr/>
      </w:pPr>
      <w:bookmarkStart w:id="469" w:name="__RefHeading___Toc9696861_73709187"/>
      <w:bookmarkStart w:id="470" w:name="_Toc174"/>
      <w:bookmarkEnd w:id="469"/>
      <w:r>
        <w:rPr>
          <w:rtl w:val="true"/>
        </w:rPr>
        <w:t>الشرکة لغةً و اصطلاحاً</w:t>
      </w:r>
      <w:bookmarkEnd w:id="470"/>
    </w:p>
    <w:p>
      <w:pPr>
        <w:pStyle w:val="BookText"/>
        <w:rPr/>
      </w:pPr>
      <w:r>
        <w:rPr>
          <w:rFonts w:ascii="IRNazanin" w:hAnsi="IRNazanin" w:eastAsia="IRNazanin"/>
          <w:color w:val="111111"/>
          <w:sz w:val="28"/>
          <w:sz w:val="28"/>
          <w:szCs w:val="28"/>
          <w:rtl w:val="true"/>
          <w:lang w:bidi="fa-IR"/>
        </w:rPr>
        <w:t>الشِّرْکة بکسر الشین و سکون الراء کنعمة، أو بفتح الشین و کسر الراء علی وزن کَلِمَة،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فلاناً فی الأمر شرْکاً و شِرکة کان لکُلّ منهما نصیب منه، فهو شریک، و هی عقد بین اثنین أو أکثر للقیام بعمل مشترک</w:t>
      </w:r>
      <w:r>
        <w:rPr>
          <w:rStyle w:val="FootnoteAnchor"/>
          <w:rtl w:val="true"/>
        </w:rPr>
        <w:footnoteReference w:id="1691"/>
      </w:r>
      <w:r>
        <w:rPr>
          <w:rFonts w:ascii="IRNazanin" w:hAnsi="IRNazanin" w:eastAsia="IRNazanin"/>
          <w:color w:val="111111"/>
          <w:sz w:val="28"/>
          <w:sz w:val="28"/>
          <w:szCs w:val="28"/>
          <w:rtl w:val="true"/>
          <w:lang w:bidi="fa-IR"/>
        </w:rPr>
        <w:t>، هذا فی اللغة،</w:t>
      </w:r>
    </w:p>
    <w:p>
      <w:pPr>
        <w:pStyle w:val="BookText"/>
        <w:rPr/>
      </w:pPr>
      <w:r>
        <w:rPr>
          <w:rFonts w:ascii="IRNazanin" w:hAnsi="IRNazanin" w:eastAsia="IRNazanin"/>
          <w:color w:val="111111"/>
          <w:sz w:val="28"/>
          <w:sz w:val="28"/>
          <w:szCs w:val="28"/>
          <w:rtl w:val="true"/>
          <w:lang w:bidi="fa-IR"/>
        </w:rPr>
        <w:t>و تستعمل فی الکتاب و السنّة و المتون الفقهیّة بما لها من المعنی اللغوی و العرفی و 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 بحث الفقهاء لبعض أنواع الشرکة العرفیّة اللغویّة لا یوجب ذلک أن یکون لهم اصطلاح خاصّ فی مقابل العرف و اللغة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تختلف استعمالاته بحسب اختلاف المتعلّق و الأغراض</w:t>
      </w:r>
      <w:r>
        <w:rPr>
          <w:rStyle w:val="FootnoteAnchor"/>
          <w:rtl w:val="true"/>
        </w:rPr>
        <w:footnoteReference w:id="1692"/>
      </w:r>
      <w:r>
        <w:rPr>
          <w:rFonts w:ascii="IRNazanin" w:hAnsi="IRNazanin" w:eastAsia="IRNazanin"/>
          <w:color w:val="111111"/>
          <w:sz w:val="28"/>
          <w:sz w:val="28"/>
          <w:szCs w:val="28"/>
          <w:rtl w:val="true"/>
          <w:lang w:bidi="fa-IR"/>
        </w:rPr>
        <w:t>، و تُطلق علی معنیین، أو فقل تنقسم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شرکة ملک، و شرکة عقد، أمّا شرکة الملک</w:t>
      </w:r>
    </w:p>
    <w:p>
      <w:pPr>
        <w:pStyle w:val="BookText"/>
        <w:rPr/>
      </w:pP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حقوق المُلّاک فی الشیء الواحد علی سبیل الشیاع</w:t>
      </w:r>
      <w:r>
        <w:rPr>
          <w:rStyle w:val="FootnoteAnchor"/>
          <w:rtl w:val="true"/>
        </w:rPr>
        <w:footnoteReference w:id="1693"/>
      </w:r>
      <w:r>
        <w:rPr>
          <w:rFonts w:ascii="IRNazanin" w:hAnsi="IRNazanin" w:eastAsia="IRNazanin"/>
          <w:color w:val="111111"/>
          <w:sz w:val="28"/>
          <w:sz w:val="28"/>
          <w:szCs w:val="28"/>
          <w:rtl w:val="true"/>
          <w:lang w:bidi="fa-IR"/>
        </w:rPr>
        <w:t>، أو هی عبارة عن کون الشیء الواحد لاثنین أو أزید ملکاً أو حقّاً، کما فی العروة</w:t>
      </w:r>
      <w:r>
        <w:rPr>
          <w:rStyle w:val="FootnoteAnchor"/>
          <w:rtl w:val="true"/>
        </w:rPr>
        <w:footnoteReference w:id="1694"/>
      </w:r>
      <w:r>
        <w:rPr>
          <w:rFonts w:ascii="IRNazanin" w:hAnsi="IRNazanin" w:eastAsia="IRNazanin"/>
          <w:color w:val="111111"/>
          <w:sz w:val="28"/>
          <w:sz w:val="28"/>
          <w:szCs w:val="28"/>
          <w:rtl w:val="true"/>
          <w:lang w:bidi="fa-IR"/>
        </w:rPr>
        <w:t>، و قریب من ذلک فی الوسیلة</w:t>
      </w:r>
      <w:r>
        <w:rPr>
          <w:rStyle w:val="FootnoteAnchor"/>
          <w:rtl w:val="true"/>
        </w:rPr>
        <w:footnoteReference w:id="1695"/>
      </w:r>
      <w:r>
        <w:rPr>
          <w:rFonts w:ascii="IRNazanin" w:hAnsi="IRNazanin" w:eastAsia="IRNazanin"/>
          <w:color w:val="111111"/>
          <w:sz w:val="28"/>
          <w:sz w:val="28"/>
          <w:szCs w:val="28"/>
          <w:rtl w:val="true"/>
          <w:lang w:bidi="fa-IR"/>
        </w:rPr>
        <w:t>و تحریرها</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استحقاق شخصین فصاعداً علی سبیل الشیاع أمراً من الاُمور</w:t>
      </w:r>
      <w:r>
        <w:rPr>
          <w:rFonts w:eastAsia="IRNazanin" w:cs="IRNazanin"/>
          <w:color w:val="111111"/>
          <w:sz w:val="28"/>
          <w:szCs w:val="28"/>
          <w:rtl w:val="true"/>
          <w:lang w:bidi="fa-IR"/>
        </w:rPr>
        <w:t>»</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 بالشخص؛ لأنّ ذلک هو المتبادر إلی الأفهام، لا الواحد بالجنس و لا النوع و لا الصنف، إذ لا تتحقّق الشرکة فی شیء مع تعدّد الشخص، و المراد بالواحد ما هو متعلّق الشرکة و إن تعدّد؛ لصدق الاجتماع بالمعنی المذکور فی کلّ فرد من أفراد المتعدّد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سبیل الشیاع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به اجتماع حقوقهم فی الشیء الواحد المرکّب من أجزاء متعدّدة، کالبیت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خشبه لواحدٍ و حائطه لآخر و أرضه لثالث، فإنّه لا شرکة هنا؛ إذ لا شیاع مع صدق اجتماع حقوقهم فی الشیء الواحد</w:t>
      </w:r>
      <w:r>
        <w:rPr>
          <w:rStyle w:val="FootnoteAnchor"/>
          <w:rtl w:val="true"/>
        </w:rPr>
        <w:footnoteReference w:id="16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شرکة العقد فسیأتی الکلام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مشروعیّة شرکة الأملاک الکتاب و السنّة و الإجماع</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الکتاب فقوله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شَیْ‌ءٍ فَأَنَّ لِلّهِ خُمُسَهُ</w:t>
      </w:r>
    </w:p>
    <w:p>
      <w:pPr>
        <w:pStyle w:val="BookText"/>
        <w:rPr/>
      </w:pPr>
      <w:r>
        <w:rPr>
          <w:rFonts w:ascii="Amiri" w:hAnsi="Amiri" w:eastAsia="Amiri" w:cs="Amiri"/>
          <w:color w:val="111111"/>
          <w:sz w:val="28"/>
          <w:sz w:val="28"/>
          <w:szCs w:val="28"/>
          <w:rtl w:val="true"/>
          <w:lang w:bidi="ar-SA"/>
        </w:rPr>
        <w:t>وَ لِلرَّسُولِ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الآیة، فجعل الغنیمة مشترکة بین الغانمین و بین أهل الخمس، و الخمس مشترکاً بین أهله، و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یُوصِیکُمُ اللّهُ فِی أَوْلادِکُمْ لِلذَّکَرِ مِثْلُ حَظِّ الْأُنْثَیَیْنِ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فجعل الترکة مشترکة بین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 الْمَساکِینِ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تکون الصّدقات مشترکة بین أهلها؛ لأنّ اللام للتملیک، و الواو للتشریک، فجعلها مشترکة بین ثمانیة أصناف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السنّة فروایات مستفیضة، بل متواترة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هشام بن سالم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یشارک فی السلعة،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ربح فله، و إن وضع فعلیه</w:t>
      </w:r>
      <w:r>
        <w:rPr>
          <w:rFonts w:eastAsia="IRNazanin" w:cs="IRNazanin"/>
          <w:color w:val="111111"/>
          <w:sz w:val="28"/>
          <w:szCs w:val="28"/>
          <w:rtl w:val="true"/>
          <w:lang w:bidi="fa-IR"/>
        </w:rPr>
        <w:t>»</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یشتری الدابّة و لیس عنده نقدها، فأتی رجل من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انقد عنّی ثمن هذه الدابّة و الربح بینی و بینک، فنقد عنه، فنفقت الدابّة،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ثمنها علیهما؛ لأنّه لو کان ربح فیها لکان بینهما</w:t>
      </w:r>
      <w:r>
        <w:rPr>
          <w:rFonts w:eastAsia="IRNazanin" w:cs="IRNazanin"/>
          <w:color w:val="111111"/>
          <w:sz w:val="28"/>
          <w:szCs w:val="28"/>
          <w:rtl w:val="true"/>
          <w:lang w:bidi="fa-IR"/>
        </w:rPr>
        <w:t>»</w:t>
      </w:r>
      <w:r>
        <w:rPr>
          <w:rStyle w:val="FootnoteAnchor"/>
          <w:rtl w:val="true"/>
        </w:rPr>
        <w:footnoteReference w:id="17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غیرهما</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الإجماع فقد صرّح الشیخ بأنّ علیه إجماع الفرقة، بل إجماع المسلمین</w:t>
      </w:r>
      <w:r>
        <w:rPr>
          <w:rStyle w:val="FootnoteAnchor"/>
          <w:rtl w:val="true"/>
        </w:rPr>
        <w:footnoteReference w:id="17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السرائر</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bookmarkStart w:id="471" w:name="pg11757_135689"/>
    </w:p>
    <w:p>
      <w:pPr>
        <w:pStyle w:val="BookText"/>
        <w:rPr/>
      </w:pPr>
      <w:bookmarkEnd w:id="471"/>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الشرکة جائزة بالنصّ و الإجماع</w:t>
      </w:r>
      <w:r>
        <w:rPr>
          <w:rFonts w:eastAsia="IRNazanin" w:cs="IRNazanin"/>
          <w:color w:val="111111"/>
          <w:sz w:val="28"/>
          <w:szCs w:val="28"/>
          <w:rtl w:val="true"/>
          <w:lang w:bidi="fa-IR"/>
        </w:rPr>
        <w:t>»</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قامت السیرة الشرعیّة علی ذلک؛ لأنّه ما زال الناس یتعاملون بها من غیر نکیر من عصر رسول اللّه صلی الله علیه و آله إلی یومنا هذا</w:t>
      </w:r>
      <w:r>
        <w:rPr>
          <w:rFonts w:eastAsia="IRNazanin" w:cs="IRNazanin"/>
          <w:color w:val="111111"/>
          <w:sz w:val="28"/>
          <w:szCs w:val="28"/>
          <w:rtl w:val="true"/>
          <w:lang w:bidi="fa-IR"/>
        </w:rPr>
        <w:t>.</w:t>
      </w:r>
    </w:p>
    <w:p>
      <w:pPr>
        <w:pStyle w:val="Heading4"/>
        <w:numPr>
          <w:ilvl w:val="3"/>
          <w:numId w:val="1"/>
        </w:numPr>
        <w:rPr/>
      </w:pPr>
      <w:bookmarkStart w:id="472" w:name="__RefHeading___Toc9696863_73709187"/>
      <w:bookmarkStart w:id="473" w:name="_Toc175"/>
      <w:bookmarkEnd w:id="472"/>
      <w:r>
        <w:rPr>
          <w:rtl w:val="true"/>
        </w:rPr>
        <w:t>أقسام شرکة الأملاک</w:t>
      </w:r>
      <w:bookmarkEnd w:id="473"/>
    </w:p>
    <w:p>
      <w:pPr>
        <w:pStyle w:val="BookText"/>
        <w:rPr/>
      </w:pPr>
      <w:r>
        <w:rPr>
          <w:rFonts w:ascii="IRNazanin" w:hAnsi="IRNazanin" w:eastAsia="IRNazanin"/>
          <w:color w:val="111111"/>
          <w:sz w:val="28"/>
          <w:sz w:val="28"/>
          <w:szCs w:val="28"/>
          <w:rtl w:val="true"/>
          <w:lang w:bidi="fa-IR"/>
        </w:rPr>
        <w:t>تنقسم شرکة الأملاک إلی أقسام کثیرة، أهمّها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شرکة الدّین و غیره، فشرکة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الدّین مستحقّاً لاثنین فأکثر، کمائة دینار فی ذمّة شخص لأصحاب الشرکة، أو یموت شخص فتکون ترکته دیوناً علی الناس، فیرث الورثة تلک الدیون ملکاً لهم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شرکة غیر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الشرکة الحاصلة فی العین أو الحقّ أو المنفعة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باعتبار آخر تنقسم إلی ما لا یتعلّق بالمال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کالقصاص و حدّ القذف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ما یتعلّق بالمال، و ثالثة إلی ما یکون مجرّد منفعة کما لو استأجروا داراً أو أوصی لهم بسکنی دار، و رابعةً یتعلّق بحقّ یتوسّل به إلی مال کحقّ الشفعة التی یثبت لجماعة، و حقّ الخیار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باعتبار ثالث تنقسم إلی الاختیاریّة و الاضطراریّة، فالاختیاریّة هی التی تکون بإرادة الشریکین أو الشرکاء، و ذلک بأن یشترک اثنان أو أکثر فی شراء واحد، أو توهب عین من الأعیان لاثنین فأکثر، فیقبضونها أو یوصی لهم بها فیقبلوا الوصیّة، ففی هذه الحالة تثبت الملکیّة فی هذه الأشیاء للشرکاء جمیعاً، و تسمّی الشرکة الاختیاریّة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الشرکة التی تحدث بغیر اختیار الشرکاء، فهی کما لو ورثوا مالاً، أو</w:t>
      </w:r>
      <w:bookmarkStart w:id="474" w:name="pg11757_135690"/>
    </w:p>
    <w:p>
      <w:pPr>
        <w:pStyle w:val="BookText"/>
        <w:rPr/>
      </w:pPr>
      <w:bookmarkEnd w:id="474"/>
      <w:r>
        <w:rPr>
          <w:rFonts w:ascii="IRNazanin" w:hAnsi="IRNazanin" w:eastAsia="IRNazanin"/>
          <w:color w:val="111111"/>
          <w:sz w:val="28"/>
          <w:sz w:val="28"/>
          <w:szCs w:val="28"/>
          <w:rtl w:val="true"/>
          <w:lang w:bidi="fa-IR"/>
        </w:rPr>
        <w:t>امتزج مالهم من غیر اختیار لهم</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5" w:name="__RefHeading___Toc9696865_73709187"/>
      <w:bookmarkStart w:id="476" w:name="_Toc176"/>
      <w:bookmarkEnd w:id="475"/>
      <w:r>
        <w:rPr>
          <w:rtl w:val="true"/>
        </w:rPr>
        <w:t>أسباب شرکة الأملاک</w:t>
      </w:r>
      <w:bookmarkEnd w:id="476"/>
    </w:p>
    <w:p>
      <w:pPr>
        <w:pStyle w:val="BookText"/>
        <w:rPr/>
      </w:pPr>
      <w:r>
        <w:rPr>
          <w:rFonts w:ascii="IRNazanin" w:hAnsi="IRNazanin" w:eastAsia="IRNazanin"/>
          <w:color w:val="111111"/>
          <w:sz w:val="28"/>
          <w:sz w:val="28"/>
          <w:szCs w:val="28"/>
          <w:rtl w:val="true"/>
          <w:lang w:bidi="fa-IR"/>
        </w:rPr>
        <w:t>إنّ سبب الشرکة قد یکون إرثاً، بأن یرثا مالاً أو یرثا منفعة دار، أو استأجرها مورّثهما، أو یرثا حقّ شفعةٍ أو خیارٍ أو رهنٍ، و قد یکون سببها عقداً، و هو أیضاً یجری فی الأقسام الثلاثة المذکورة، فجریانه فی العین بأن یشتریا داراً، و فی المنفعة بأن یستأجراها، و فی الحقّ بأن یشتریا متاعاً بخیار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یکون سببها حیازة بأن یشترکا فی الاصطیاد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صار محوزاً لهما کان بینهما مشترکاً، و قد یکون سببها مزجاً، و هو إنّما یتصوّر فی العین خاصّة، و ینبغی أن یعلم أن سببیّة المزج فی الشرکة أعمّ من أن یکون اختیاراً أو وقع ذلک اتّفاقاً، بأن وقع أحد المالین علی الآخر و امتزجا علی الوجه المعتبر فی الشرکة</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7" w:name="__RefHeading___Toc9696867_73709187"/>
      <w:bookmarkStart w:id="478" w:name="_Toc177"/>
      <w:bookmarkEnd w:id="477"/>
      <w:r>
        <w:rPr>
          <w:rtl w:val="true"/>
        </w:rPr>
        <w:t>أحکام شرکة الأملاک</w:t>
      </w:r>
      <w:bookmarkEnd w:id="478"/>
    </w:p>
    <w:p>
      <w:pPr>
        <w:pStyle w:val="BookText"/>
        <w:rPr/>
      </w:pPr>
      <w:r>
        <w:rPr>
          <w:rFonts w:ascii="IRNazanin" w:hAnsi="IRNazanin" w:eastAsia="IRNazanin"/>
          <w:color w:val="111111"/>
          <w:sz w:val="28"/>
          <w:sz w:val="28"/>
          <w:szCs w:val="28"/>
          <w:rtl w:val="true"/>
          <w:lang w:bidi="fa-IR"/>
        </w:rPr>
        <w:t>إنّ کلّ واحد من الشرکاء یکون أجنبیّاً فی نصیب غیره، و یترتّب علی کونه کذلک أحکام، و هی ما یلی</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لیس لأحد من الشرکاء التصرّف فی المال المشترک</w:t>
      </w:r>
      <w:r>
        <w:rPr>
          <w:rStyle w:val="FootnoteAnchor"/>
          <w:rtl w:val="true"/>
        </w:rPr>
        <w:footnoteReference w:id="1707"/>
      </w:r>
      <w:r>
        <w:rPr>
          <w:rFonts w:ascii="Amiri" w:hAnsi="Amiri" w:eastAsia="Amiri" w:cs="Amiri"/>
          <w:color w:val="111111"/>
          <w:sz w:val="28"/>
          <w:sz w:val="28"/>
          <w:szCs w:val="28"/>
          <w:rtl w:val="true"/>
          <w:lang w:bidi="ar-SA"/>
        </w:rPr>
        <w:t>إلّا مع إذن</w:t>
      </w:r>
    </w:p>
    <w:p>
      <w:pPr>
        <w:pStyle w:val="BookText"/>
        <w:rPr/>
      </w:pPr>
      <w:r>
        <w:rPr>
          <w:rFonts w:ascii="IRNazanin" w:hAnsi="IRNazanin" w:eastAsia="IRNazanin"/>
          <w:color w:val="111111"/>
          <w:sz w:val="28"/>
          <w:sz w:val="28"/>
          <w:szCs w:val="28"/>
          <w:rtl w:val="true"/>
          <w:lang w:bidi="fa-IR"/>
        </w:rPr>
        <w:t>الباقین</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الروضة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لأحد الشرکاء التصرّف فی المال المشترک إلاّ بإذن الجمیع؛ لقبح التصرّف فی مال الغیر بغیر إذنه عقلاً و شرعاً، و یقتصر من التصرّف علی المأذون علی تقدیر حصول الإذن، فإن تعدّی المأذون ضمن</w:t>
      </w:r>
      <w:r>
        <w:rPr>
          <w:rFonts w:eastAsia="IRNazanin" w:cs="IRNazanin"/>
          <w:color w:val="111111"/>
          <w:sz w:val="28"/>
          <w:szCs w:val="28"/>
          <w:rtl w:val="true"/>
          <w:lang w:bidi="fa-IR"/>
        </w:rPr>
        <w:t>»</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لبعض الشرکاء التصرّف قبل القسمة فی مال المشترک و لو لم یکن زائداً علی مقدار سهمه، کالتّصرف فی النصف فقط فیما إذا کانت الشرکة بنحو التنصیف، لاستلزامه التصرّف فی مال الغیر، و لا یحلّ لأحد أن یتصرّف فی مال غیره بغیر إذنه</w:t>
      </w:r>
      <w:r>
        <w:rPr>
          <w:rStyle w:val="FootnoteAnchor"/>
          <w:rtl w:val="true"/>
        </w:rPr>
        <w:footnoteReference w:id="1710"/>
      </w:r>
      <w:r>
        <w:rPr>
          <w:rFonts w:ascii="IRNazanin" w:hAnsi="IRNazanin" w:eastAsia="IRNazanin"/>
          <w:color w:val="111111"/>
          <w:sz w:val="28"/>
          <w:sz w:val="28"/>
          <w:szCs w:val="28"/>
          <w:rtl w:val="true"/>
          <w:lang w:bidi="fa-IR"/>
        </w:rPr>
        <w:t xml:space="preserve">، فکلّ جزء مشترک یکون مرتبطاً بکلیهما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فمع الإذن یحلّ للشریک المأذون التصرّف فی المال المشترک، و لا ملازمة بین حلّیة التصرّف له، و بین حلّیة التصرّف للآذن، بل یحرم علیه ما لم یتحقّق له الإذن من الشریک الآذن قبلاً، و یجب علی المأذون أن یقتصر فیه علی المقدار المأذون فیه کمّاً و کیفاً</w:t>
      </w:r>
      <w:r>
        <w:rPr>
          <w:rFonts w:eastAsia="IRNazanin" w:cs="IRNazanin"/>
          <w:color w:val="111111"/>
          <w:sz w:val="28"/>
          <w:szCs w:val="28"/>
          <w:rtl w:val="true"/>
          <w:lang w:bidi="fa-IR"/>
        </w:rPr>
        <w:t>»</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لا یجوز لأحد الشرکاء بیع شیء من مال الشرکة بدون إذن الباقین و لا إجارته أو إعارته، و لکن یجوز لکلّ واحد منهم بیع نصیبه من شریکه، کما یجوز له أن یبیعه من أجنبیّ بغیر إذن الشرکاء، و عندئذٍ یکون</w:t>
      </w:r>
    </w:p>
    <w:p>
      <w:pPr>
        <w:pStyle w:val="BookText"/>
        <w:rPr/>
      </w:pPr>
      <w:r>
        <w:rPr>
          <w:rFonts w:ascii="IRNazanin" w:hAnsi="IRNazanin" w:eastAsia="IRNazanin"/>
          <w:color w:val="111111"/>
          <w:sz w:val="28"/>
          <w:sz w:val="28"/>
          <w:szCs w:val="28"/>
          <w:rtl w:val="true"/>
          <w:lang w:bidi="fa-IR"/>
        </w:rPr>
        <w:t>للشرکاء حقّ الأخذ بالشفعة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کان الإذن فی التصرّف بمعنی الوکالة فتکون جائزة فلکلِّ من الشرکاء الرجوع فی الإذن و المطالبة بالقسمة؛ لأنّ مقتضی الأصل أن یتصرّف کلّ واحد منهم فی ماله کیف یشاء، و لا ملزم للبقاء علی إذنه، بل له رفع الید عنه متی 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لأحد الشریکین الانتفاع بمال الشرکة إلاّ بإذن باقی الشرکاء؛ لأنّه بدون الإذن یکون غصباً، فإذا رکب الشریک الدابّة المشترکة أو حمل علیها بدون إذن شریکه، فتلفت أو هزلت و نقصت قیمتها ضمن حصّة شریکه فی حال التلف و ضمن نقص قیمتها فی حال الهزل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المطالبة بالقسمة، توضیحها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الشیء المشترک إمّا أن یکون ممّا یقبل القسمة، و القسمة لا تنقصه، و طلب أحد الشرکاء القسمة، اجیب إلیها، فإن أبی بعض الشرکاء القسمة اجبر علیها، و إن کان ممّا لا یقبل القسمة، أو کانت القسمة تنقصه و طلب أحد الشرکاء البیع، یبیع و إن طلب تأجیره أجّره</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إجمال أحکام شرکة الأموال، و أمّا بیان ما هو المقصود بالنسبة إلی الصبیّ فی المقام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البیع و التأجیر و الإعارة و الإذن و المطالبة بالقسمة و التراضی بها و غیرها من الأحکام تکون تصرّفاً فی الأموال، فیلزم أن یکون المباشر لتلک الاُمور أهلاً للتصرّف، و حیث إنّ الصبیّ لیس أهلاً للتصرّف فی ماله، فلا یصحّ تصرّفه و لا إذنه و لا مطالبته بالقسمة و التراضی بها، و لولیّه أن یباشر 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شرکة الأملاک</w:t>
      </w:r>
      <w:r>
        <w:rPr>
          <w:rFonts w:eastAsia="IRNazanin" w:cs="IRNazanin"/>
          <w:color w:val="111111"/>
          <w:sz w:val="28"/>
          <w:szCs w:val="28"/>
          <w:rtl w:val="true"/>
          <w:lang w:bidi="fa-IR"/>
        </w:rPr>
        <w:t>.</w:t>
      </w:r>
      <w:bookmarkStart w:id="479" w:name="pg11757_135693"/>
    </w:p>
    <w:p>
      <w:pPr>
        <w:pStyle w:val="Heading4"/>
        <w:numPr>
          <w:ilvl w:val="3"/>
          <w:numId w:val="1"/>
        </w:numPr>
        <w:rPr/>
      </w:pPr>
      <w:bookmarkStart w:id="480" w:name="__RefHeading___Toc9696869_73709187"/>
      <w:bookmarkStart w:id="481" w:name="_Toc178"/>
      <w:bookmarkEnd w:id="479"/>
      <w:bookmarkEnd w:id="480"/>
      <w:r>
        <w:rPr>
          <w:rtl w:val="true"/>
        </w:rPr>
        <w:t>شرکة العقد</w:t>
      </w:r>
      <w:bookmarkEnd w:id="481"/>
    </w:p>
    <w:p>
      <w:pPr>
        <w:pStyle w:val="BookText"/>
        <w:rPr/>
      </w:pPr>
      <w:r>
        <w:rPr>
          <w:rFonts w:ascii="IRNazanin" w:hAnsi="IRNazanin" w:eastAsia="IRNazanin"/>
          <w:color w:val="111111"/>
          <w:sz w:val="28"/>
          <w:sz w:val="28"/>
          <w:szCs w:val="28"/>
          <w:rtl w:val="true"/>
          <w:lang w:bidi="fa-IR"/>
        </w:rPr>
        <w:t>و أمّا شرکة العقد فإنّها عقد ثمرته جواز تصرّف المُلّاک للشیء الواحد علی سبیل الشیاع فیه</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فی الروضة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أنّ الشرکة کما تطلق علی اجتماع حقوق المُلّاک فی المال الواحد علی أحد الوجوه السابقة، کذلک تطلق علی العقد المثمر جواز تصرّف المُلّاک فی المال المشترک، و بهذا المعنی اندرجت الشرکة فی قسم العقود، و قبلت الحکم بالصحّة و الفساد، لا بالمعنی الأوّل</w:t>
      </w:r>
      <w:r>
        <w:rPr>
          <w:rFonts w:eastAsia="IRNazanin" w:cs="IRNazanin"/>
          <w:color w:val="111111"/>
          <w:sz w:val="28"/>
          <w:szCs w:val="28"/>
          <w:rtl w:val="true"/>
          <w:lang w:bidi="fa-IR"/>
        </w:rPr>
        <w:t>»</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القسم من الشرکة تسمّی بالشرکة التجاریّة أیضاً، بمعنی أنّها عقد بین اثنین أو أکثر علی أن یتّجروا فی رأس مال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تطلق علی معنی آخر، و هو العقد الواقع بین اثنین أو أزید علی المعاملة بمال مشترک بینهم، و تسمّی الشرکة العقدیّة و الاکتسابیّة، و ثمرته جواز تصرّف الشریکین فیما اشترکا فیه بالتکسّب به، و کون الربح و الخسران بینهما علی نسبة مالهما</w:t>
      </w:r>
      <w:r>
        <w:rPr>
          <w:rFonts w:eastAsia="IRNazanin" w:cs="IRNazanin"/>
          <w:color w:val="111111"/>
          <w:sz w:val="28"/>
          <w:szCs w:val="28"/>
          <w:rtl w:val="true"/>
          <w:lang w:bidi="fa-IR"/>
        </w:rPr>
        <w:t>»</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 علی أربعة أنواع</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شرکة العنان</w:t>
      </w:r>
      <w:r>
        <w:rPr>
          <w:rStyle w:val="FootnoteAnchor"/>
          <w:rtl w:val="true"/>
        </w:rPr>
        <w:footnoteReference w:id="1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یخرج کلّ من المشترکین مالاً و یمزجاه مزجاً</w:t>
      </w:r>
    </w:p>
    <w:p>
      <w:pPr>
        <w:pStyle w:val="BookText"/>
        <w:rPr/>
      </w:pPr>
      <w:r>
        <w:rPr>
          <w:rFonts w:ascii="IRNazanin" w:hAnsi="IRNazanin" w:eastAsia="IRNazanin"/>
          <w:color w:val="111111"/>
          <w:sz w:val="28"/>
          <w:sz w:val="28"/>
          <w:szCs w:val="28"/>
          <w:rtl w:val="true"/>
          <w:lang w:bidi="fa-IR"/>
        </w:rPr>
        <w:t>یرتفع معه التمیّز و یشترطا العمل فیه بأبدانهما، و یقتسمان الربح بینهما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شرکة الأبدان و تسمّی شرکة الأعمال أیضاً، فهی أن یشترک اثنان أو أکثر بأبدانهما فقط بدون مالهما، أی فی ما یکتسبانه بأیدیهما أو بجدّهما من عمل معیّن، سواء کان فکریّاً أو جسدیّاً، و ذلک کالصنّاع یشترکون علی أن یعملوا فی صناعاتهم، فما رزقهم اللّه فهو بینهم علی التساوی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إیضاح الفوائد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شرکة 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عقد لفظی یدلّ علی تراضیهما و اتّفاقهما علی اشتراکهما فی کسب الأعمال التی تصدر منهما علی قدر الشرط کاشتراک الدلّالین و الحمّالین و أرباب الصنائع، فرأس المال الأعمال، و عوضها و ما یحصل بها ربح</w:t>
      </w:r>
      <w:r>
        <w:rPr>
          <w:rFonts w:eastAsia="IRNazanin" w:cs="IRNazanin"/>
          <w:color w:val="111111"/>
          <w:sz w:val="28"/>
          <w:szCs w:val="28"/>
          <w:rtl w:val="true"/>
          <w:lang w:bidi="fa-IR"/>
        </w:rPr>
        <w:t>»</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شرکة المفاوضة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یشترک اثنان أو أزید علی أن یکون کلّ ما یحصل لأحدهما من ربح تجارة أو زراعة أو کسب آخر مشترکاً بینهما، و کذا کلّ غرامة ترد علی أحدهما تکون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التنقیح الرائع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هی عقد لفظیّ یدلّ علی اتّفاقهما علی اشتراکهما فی کلّ غنم و غرم یحدث لهما و علیهما، بأن یقولا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اشترکنا شرکة المفاوضة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یوجب أحدهما بهذا اللفظ و یقبل الآخر</w:t>
      </w:r>
      <w:r>
        <w:rPr>
          <w:rFonts w:eastAsia="IRNazanin" w:cs="IRNazanin"/>
          <w:color w:val="111111"/>
          <w:sz w:val="28"/>
          <w:szCs w:val="28"/>
          <w:rtl w:val="true"/>
          <w:lang w:bidi="fa-IR"/>
        </w:rPr>
        <w:t>»</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شرکة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یتعاقد وجهان لا مال لهما علی أن یبتاعا فی الذمّة إلی أجل، ثمّ یبیعان و یؤدّیان الأثمان تدریجاً و یقتسمان الفاضل، کما فی</w:t>
      </w:r>
    </w:p>
    <w:p>
      <w:pPr>
        <w:pStyle w:val="BookText"/>
        <w:rPr/>
      </w:pPr>
      <w:r>
        <w:rPr>
          <w:rFonts w:ascii="IRNazanin" w:hAnsi="IRNazanin" w:eastAsia="IRNazanin"/>
          <w:color w:val="111111"/>
          <w:sz w:val="28"/>
          <w:sz w:val="28"/>
          <w:szCs w:val="28"/>
          <w:rtl w:val="true"/>
          <w:lang w:bidi="fa-IR"/>
        </w:rPr>
        <w:t>تحریر المجلّة</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تصحّ الشرکة العقدیّة إلّا فی الأموال التی تسمّی بشرکة العنان، قال فی المقنعة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الشرکة لا تصحّ إلّا فی الأموال، و لا تصحّ بالأبدان و الأعمال</w:t>
      </w:r>
      <w:r>
        <w:rPr>
          <w:rFonts w:eastAsia="IRNazanin" w:cs="IRNazanin"/>
          <w:color w:val="111111"/>
          <w:sz w:val="28"/>
          <w:szCs w:val="28"/>
          <w:rtl w:val="true"/>
          <w:lang w:bidi="fa-IR"/>
        </w:rPr>
        <w:t>»</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تحریر الأحکام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شرکة الصحیحة</w:t>
      </w:r>
      <w:r>
        <w:rPr>
          <w:rFonts w:eastAsia="IRNazanin" w:cs="IRNazanin"/>
          <w:color w:val="111111"/>
          <w:sz w:val="28"/>
          <w:szCs w:val="28"/>
          <w:rtl w:val="true"/>
          <w:lang w:bidi="fa-IR"/>
        </w:rPr>
        <w:t>»</w:t>
      </w:r>
      <w:r>
        <w:rPr>
          <w:rStyle w:val="FootnoteAnchor"/>
          <w:rtl w:val="true"/>
        </w:rPr>
        <w:footnoteReference w:id="17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التنقیح الرائع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صحّتها إجماعیّة</w:t>
      </w:r>
      <w:r>
        <w:rPr>
          <w:rFonts w:eastAsia="IRNazanin" w:cs="IRNazanin"/>
          <w:color w:val="111111"/>
          <w:sz w:val="28"/>
          <w:szCs w:val="28"/>
          <w:rtl w:val="true"/>
          <w:lang w:bidi="fa-IR"/>
        </w:rPr>
        <w:t>»</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الإجماع علی بطلان ما عدا شرکة العنان من الأقسام الثلاثة</w:t>
      </w:r>
      <w:r>
        <w:rPr>
          <w:rFonts w:eastAsia="IRNazanin" w:cs="IRNazanin"/>
          <w:color w:val="111111"/>
          <w:sz w:val="28"/>
          <w:szCs w:val="28"/>
          <w:rtl w:val="true"/>
          <w:lang w:bidi="fa-IR"/>
        </w:rPr>
        <w:t>»</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بین المسلمین فی صحّة الشرکة بالأموال</w:t>
      </w:r>
      <w:r>
        <w:rPr>
          <w:rFonts w:eastAsia="IRNazanin" w:cs="IRNazanin"/>
          <w:color w:val="111111"/>
          <w:sz w:val="28"/>
          <w:szCs w:val="28"/>
          <w:rtl w:val="true"/>
          <w:lang w:bidi="fa-IR"/>
        </w:rPr>
        <w:t>»</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مشروعیّة هذه الشرکة الإجماع و النصوص و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شرکة العنان جائزة، و علیه إجماع العلماء فی جمیع الأعصار</w:t>
      </w:r>
      <w:r>
        <w:rPr>
          <w:rFonts w:eastAsia="IRNazanin" w:cs="IRNazanin"/>
          <w:color w:val="111111"/>
          <w:sz w:val="28"/>
          <w:szCs w:val="28"/>
          <w:rtl w:val="true"/>
          <w:lang w:bidi="fa-IR"/>
        </w:rPr>
        <w:t>»</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بالنصّ و الإجماع</w:t>
      </w:r>
      <w:r>
        <w:rPr>
          <w:rFonts w:eastAsia="IRNazanin" w:cs="IRNazanin"/>
          <w:color w:val="111111"/>
          <w:sz w:val="28"/>
          <w:szCs w:val="28"/>
          <w:rtl w:val="true"/>
          <w:lang w:bidi="fa-IR"/>
        </w:rPr>
        <w:t>»</w:t>
      </w:r>
      <w:r>
        <w:rPr>
          <w:rStyle w:val="FootnoteAnchor"/>
          <w:rtl w:val="true"/>
        </w:rPr>
        <w:footnoteReference w:id="172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ادّعاه أیضاً فی جامع المقاصد</w:t>
      </w:r>
      <w:r>
        <w:rPr>
          <w:rFonts w:eastAsia="IRNazanin" w:cs="IRNazanin"/>
          <w:color w:val="111111"/>
          <w:sz w:val="28"/>
          <w:szCs w:val="28"/>
          <w:rtl w:val="true"/>
          <w:lang w:bidi="fa-IR"/>
        </w:rPr>
        <w:t>»</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السیرة فلأنّ العمل بهذه الشرکة متداولة بین المسلمین من زمان الشارع إلی زماننا هذا، حیث إنّه صلی الله علیه و آله بعث و الناس یتعاملون بها فأقرّهم</w:t>
      </w:r>
      <w:bookmarkStart w:id="482" w:name="pg11757_135696"/>
    </w:p>
    <w:p>
      <w:pPr>
        <w:pStyle w:val="BookText"/>
        <w:rPr/>
      </w:pPr>
      <w:bookmarkEnd w:id="482"/>
      <w:r>
        <w:rPr>
          <w:rFonts w:ascii="IRNazanin" w:hAnsi="IRNazanin" w:eastAsia="IRNazanin"/>
          <w:color w:val="111111"/>
          <w:sz w:val="28"/>
          <w:sz w:val="28"/>
          <w:szCs w:val="28"/>
          <w:rtl w:val="true"/>
          <w:lang w:bidi="fa-IR"/>
        </w:rPr>
        <w:t>علیها، و کان إقراره صلی الله علیه و آله لتعامل الناس دلیلاً شرعیّاً علی جوازها</w:t>
      </w:r>
      <w:r>
        <w:rPr>
          <w:rFonts w:eastAsia="IRNazanin" w:cs="IRNazanin"/>
          <w:color w:val="111111"/>
          <w:sz w:val="28"/>
          <w:szCs w:val="28"/>
          <w:rtl w:val="true"/>
          <w:lang w:bidi="fa-IR"/>
        </w:rPr>
        <w:t>.</w:t>
      </w:r>
    </w:p>
    <w:p>
      <w:pPr>
        <w:pStyle w:val="Heading4"/>
        <w:numPr>
          <w:ilvl w:val="3"/>
          <w:numId w:val="1"/>
        </w:numPr>
        <w:rPr/>
      </w:pPr>
      <w:bookmarkStart w:id="483" w:name="__RefHeading___Toc9696871_73709187"/>
      <w:bookmarkStart w:id="484" w:name="_Toc179"/>
      <w:bookmarkEnd w:id="483"/>
      <w:r>
        <w:rPr>
          <w:rtl w:val="true"/>
        </w:rPr>
        <w:t>عدم صحّة شرکة العنان من الصبیّ‌</w:t>
      </w:r>
      <w:bookmarkEnd w:id="484"/>
    </w:p>
    <w:p>
      <w:pPr>
        <w:pStyle w:val="BookText"/>
        <w:rPr/>
      </w:pPr>
      <w:r>
        <w:rPr>
          <w:rFonts w:ascii="IRNazanin" w:hAnsi="IRNazanin" w:eastAsia="IRNazanin"/>
          <w:color w:val="111111"/>
          <w:sz w:val="28"/>
          <w:sz w:val="28"/>
          <w:szCs w:val="28"/>
          <w:rtl w:val="true"/>
          <w:lang w:bidi="fa-IR"/>
        </w:rPr>
        <w:t>لمّا کانت شرکة العنان عقداً من العقود المعاوضیّة فلا بدّ لها من أرکان معیّنة، و یتوقّف تحقّقها علیها، و هی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المتعاقدان، و الصیغة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اشترکنا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المال</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المتعاقدان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اللّذان هما موضوع بحثنا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فیشترط فیهما البلوغ 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الرکن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المتعاقدان، و یشترط فی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 العقل و الاختیار و القصد و جواز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أهلیّة التوکّل و التوکیل؛ لأنّ کلّ واحدٍ من الشریکین متصرّف فی جمیع المال، أمّا فیما یخصّه فبحقّ الملک، و أمّا فی مال غیره فبحقّ الإذن من ذلک الغیر، فهو وکیل عن صاحبه و موکّل لصاحبه بالتصرّف فی ماله، فلا تصحّ وکالة الصبیّ؛ لعدم اعتبار عبارته فی نظر الشرع</w:t>
      </w:r>
      <w:r>
        <w:rPr>
          <w:rFonts w:eastAsia="IRNazanin" w:cs="IRNazanin"/>
          <w:color w:val="111111"/>
          <w:sz w:val="28"/>
          <w:szCs w:val="28"/>
          <w:rtl w:val="true"/>
          <w:lang w:bidi="fa-IR"/>
        </w:rPr>
        <w:t>»</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شرکة العنان تصحّ بأربعة 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 الشریکین نافذی التصرّف فی مالهما</w:t>
      </w:r>
      <w:r>
        <w:rPr>
          <w:rFonts w:eastAsia="IRNazanin" w:cs="IRNazanin"/>
          <w:color w:val="111111"/>
          <w:sz w:val="28"/>
          <w:szCs w:val="28"/>
          <w:rtl w:val="true"/>
          <w:lang w:bidi="fa-IR"/>
        </w:rPr>
        <w:t>...»</w:t>
      </w:r>
      <w:r>
        <w:rPr>
          <w:rStyle w:val="FootnoteAnchor"/>
          <w:rtl w:val="true"/>
        </w:rPr>
        <w:footnoteReference w:id="1730"/>
      </w:r>
      <w:r>
        <w:rPr>
          <w:rFonts w:ascii="IRNazanin" w:hAnsi="IRNazanin" w:eastAsia="IRNazanin"/>
          <w:color w:val="111111"/>
          <w:sz w:val="28"/>
          <w:sz w:val="28"/>
          <w:szCs w:val="28"/>
          <w:rtl w:val="true"/>
          <w:lang w:bidi="fa-IR"/>
        </w:rPr>
        <w:t>، و قریب من هذا فی غیرهما</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یشترط علی ما هو ظاهر کلماتهم فی الشرکة العقدیّة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الإیجاب و القبول و البلوغ و العقل و الاختیار و عدم الحجر لفلس</w:t>
      </w:r>
    </w:p>
    <w:p>
      <w:pPr>
        <w:pStyle w:val="BookText"/>
        <w:rPr/>
      </w:pPr>
      <w:r>
        <w:rPr>
          <w:rFonts w:ascii="IRNazanin" w:hAnsi="IRNazanin" w:eastAsia="IRNazanin"/>
          <w:color w:val="111111"/>
          <w:sz w:val="28"/>
          <w:sz w:val="28"/>
          <w:szCs w:val="28"/>
          <w:rtl w:val="true"/>
          <w:lang w:bidi="fa-IR"/>
        </w:rPr>
        <w:t xml:space="preserve">أوسفه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امتزاج المالین</w:t>
      </w:r>
      <w:r>
        <w:rPr>
          <w:rFonts w:eastAsia="IRNazanin" w:cs="IRNazanin"/>
          <w:color w:val="111111"/>
          <w:sz w:val="28"/>
          <w:szCs w:val="28"/>
          <w:rtl w:val="true"/>
          <w:lang w:bidi="fa-IR"/>
        </w:rPr>
        <w:t>»</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المستمسک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صریح کلماتهم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ظاهرهم الإجماع علیه، و لعلّه ظاهر المصنّف</w:t>
      </w:r>
      <w:r>
        <w:rPr>
          <w:rFonts w:eastAsia="IRNazanin" w:cs="IRNazanin"/>
          <w:color w:val="111111"/>
          <w:sz w:val="28"/>
          <w:szCs w:val="28"/>
          <w:rtl w:val="true"/>
          <w:lang w:bidi="fa-IR"/>
        </w:rPr>
        <w:t>»</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صرّح به أیضاً فی وسیلة النّجاة</w:t>
      </w:r>
      <w:r>
        <w:rPr>
          <w:rStyle w:val="FootnoteAnchor"/>
          <w:rtl w:val="true"/>
        </w:rPr>
        <w:footnoteReference w:id="1734"/>
      </w:r>
      <w:r>
        <w:rPr>
          <w:rFonts w:ascii="IRNazanin" w:hAnsi="IRNazanin" w:eastAsia="IRNazanin"/>
          <w:color w:val="111111"/>
          <w:sz w:val="28"/>
          <w:sz w:val="28"/>
          <w:szCs w:val="28"/>
          <w:rtl w:val="true"/>
          <w:lang w:bidi="fa-IR"/>
        </w:rPr>
        <w:t>و تحریرها</w:t>
      </w:r>
      <w:r>
        <w:rPr>
          <w:rStyle w:val="FootnoteAnchor"/>
          <w:rtl w:val="true"/>
        </w:rPr>
        <w:footnoteReference w:id="1735"/>
      </w:r>
      <w:r>
        <w:rPr>
          <w:rFonts w:ascii="IRNazanin" w:hAnsi="IRNazanin" w:eastAsia="IRNazanin"/>
          <w:color w:val="111111"/>
          <w:sz w:val="28"/>
          <w:sz w:val="28"/>
          <w:szCs w:val="28"/>
          <w:rtl w:val="true"/>
          <w:lang w:bidi="fa-IR"/>
        </w:rPr>
        <w:t>و تفصیل الشریعة</w:t>
      </w:r>
      <w:r>
        <w:rPr>
          <w:rStyle w:val="FootnoteAnchor"/>
          <w:rtl w:val="true"/>
        </w:rPr>
        <w:footnoteReference w:id="1736"/>
      </w:r>
      <w:r>
        <w:rPr>
          <w:rFonts w:ascii="IRNazanin" w:hAnsi="IRNazanin" w:eastAsia="IRNazanin"/>
          <w:color w:val="111111"/>
          <w:sz w:val="28"/>
          <w:sz w:val="28"/>
          <w:szCs w:val="28"/>
          <w:rtl w:val="true"/>
          <w:lang w:bidi="fa-IR"/>
        </w:rPr>
        <w:t>و مهذّب الأحکام</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المسألة واضحة لا إشکال فیها؛ لأنّ الشرکة العقدیّة من العقود المالیّة، فیعتبر فیها جمیع ما یعتبر فی سائر العقود، مضافاً إلی أن جواز الإذن متوقّف علی صلاحیّة الآذن و أهلیّته للقیام بذلک التصرّف، و حیث إنّ الصبیّ لیس له التصرّف فی ماله، فلیس له حقّ الإذن فی ذلک، و لمّا کان الصبیّ محجوراً علیه و لا یجوز له التصرّف فی أمواله فلولیّه أن یقوم بمباشرة عقد الشرکة عن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مات أحد الشریکین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للآخر التصرّف فی مال الشرکة؛ لأنّ المال قد انتقل من الآذن إلی ورثته و بذلک بطل إذنه و یحتاج إلی إذن من له الولایة علی الشریک بالفعل</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السرائر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مات أحد الشریکین انفسخت الشرکة بموته، و معنی الانفساخ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الباقی منهما لا یتصرّف فی المال، فإذا ثبت هذا، فإن کان الوارث</w:t>
      </w:r>
      <w:bookmarkStart w:id="485" w:name="pg11757_135698"/>
    </w:p>
    <w:p>
      <w:pPr>
        <w:pStyle w:val="BookText"/>
        <w:rPr/>
      </w:pPr>
      <w:bookmarkEnd w:id="485"/>
      <w:r>
        <w:rPr>
          <w:rFonts w:ascii="IRNazanin" w:hAnsi="IRNazanin" w:eastAsia="IRNazanin"/>
          <w:color w:val="111111"/>
          <w:sz w:val="28"/>
          <w:sz w:val="28"/>
          <w:szCs w:val="28"/>
          <w:rtl w:val="true"/>
          <w:lang w:bidi="fa-IR"/>
        </w:rPr>
        <w:t xml:space="preserve">رشیداً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بالخیار بین أن یبقی علی الشرکة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أن یطالب بالقسمة، فإن اختار البقاء علی الشرکة استأنف الإذن للشریک فی التصرّف، فأمّا إن کان الوارث مولّی علیه، فإنّ الوصیّ أو الولیّ ینوب عنه و ینظر، فإن کان الحظّ فی البقاء علی الشرکة استأنف الإذن للشریک فی التصرّف، و إن کان الحظّ فی المفاصلة قاسمه، و لا یجوز له أن یترک ما فیه الحظّ إلی غیره؛ لأنّ النظر إلیه فی المال علی وجه الصلاح و الاحتیاط</w:t>
      </w:r>
      <w:r>
        <w:rPr>
          <w:rFonts w:eastAsia="IRNazanin" w:cs="IRNazanin"/>
          <w:color w:val="111111"/>
          <w:sz w:val="28"/>
          <w:szCs w:val="28"/>
          <w:rtl w:val="true"/>
          <w:lang w:bidi="fa-IR"/>
        </w:rPr>
        <w:t>»</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إصباح الشیعة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تنفسخ الشّرکة بموت أحد الشّریکین، و لا یجوز للثّانی التصرّف فی حصّة المیّت، و للوارث أو الوصیّ أو الولیّ أن یطالب بالقسمة، أو یبقی علی الشّرکة، فإن بقی علیها استأنف الإذن فی التصرّف</w:t>
      </w:r>
      <w:r>
        <w:rPr>
          <w:rFonts w:eastAsia="IRNazanin" w:cs="IRNazanin"/>
          <w:color w:val="111111"/>
          <w:sz w:val="28"/>
          <w:szCs w:val="28"/>
          <w:rtl w:val="true"/>
          <w:lang w:bidi="fa-IR"/>
        </w:rPr>
        <w:t>»</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مات أحد الشریکین کان لوارثه القیام علی الشرکة و المطالبة بالقسمة، و لو کان له ولیّ کان له فعل المصلحة من أحد الأمرین</w:t>
      </w:r>
      <w:r>
        <w:rPr>
          <w:rFonts w:eastAsia="IRNazanin" w:cs="IRNazanin"/>
          <w:color w:val="111111"/>
          <w:sz w:val="28"/>
          <w:szCs w:val="28"/>
          <w:rtl w:val="true"/>
          <w:lang w:bidi="fa-IR"/>
        </w:rPr>
        <w:t>»</w:t>
      </w:r>
      <w:r>
        <w:rPr>
          <w:rStyle w:val="FootnoteAnchor"/>
          <w:rtl w:val="true"/>
        </w:rPr>
        <w:footnoteReference w:id="17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التذکرة</w:t>
      </w:r>
      <w:r>
        <w:rPr>
          <w:rStyle w:val="FootnoteAnchor"/>
          <w:rtl w:val="true"/>
        </w:rPr>
        <w:footnoteReference w:id="1741"/>
      </w:r>
      <w:r>
        <w:rPr>
          <w:rFonts w:ascii="IRNazanin" w:hAnsi="IRNazanin" w:eastAsia="IRNazanin"/>
          <w:color w:val="111111"/>
          <w:sz w:val="28"/>
          <w:sz w:val="28"/>
          <w:szCs w:val="28"/>
          <w:rtl w:val="true"/>
          <w:lang w:bidi="fa-IR"/>
        </w:rPr>
        <w:t>و الحدائق</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6" w:name="__RefHeading___Toc9696873_73709187"/>
      <w:bookmarkStart w:id="487" w:name="_Toc180"/>
      <w:bookmarkEnd w:id="486"/>
      <w:r>
        <w:rPr>
          <w:rtl w:val="true"/>
        </w:rPr>
        <w:t>شرکة الصبیّ عند أهل السنّة</w:t>
      </w:r>
      <w:bookmarkEnd w:id="487"/>
    </w:p>
    <w:p>
      <w:pPr>
        <w:pStyle w:val="Heading5"/>
        <w:numPr>
          <w:ilvl w:val="4"/>
          <w:numId w:val="1"/>
        </w:numPr>
        <w:rPr/>
      </w:pPr>
      <w:bookmarkStart w:id="488" w:name="__RefHeading___Toc9696875_73709187"/>
      <w:bookmarkStart w:id="489" w:name="_Toc181"/>
      <w:bookmarkEnd w:id="488"/>
      <w:r>
        <w:rPr>
          <w:rtl w:val="true"/>
        </w:rPr>
        <w:t>اشارة</w:t>
      </w:r>
      <w:bookmarkEnd w:id="489"/>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خلاف بین المذاهب الأربعة علی أنّ عقود الشرکة مبنیّة علی الوکالة، و أنّ الشریک المأذون فی التصرّف یجب أن تتوفّر فیه أهلیّة الوکالة؛ لأنّهم یشترطون فی الموکّل أن یکون أهلاً لإجراء التصرّفات، و الأهلیّة مصدر</w:t>
      </w:r>
      <w:bookmarkStart w:id="490" w:name="pg11757_135699"/>
    </w:p>
    <w:p>
      <w:pPr>
        <w:pStyle w:val="BookText"/>
        <w:rPr/>
      </w:pPr>
      <w:bookmarkEnd w:id="490"/>
      <w:r>
        <w:rPr>
          <w:rFonts w:ascii="IRNazanin" w:hAnsi="IRNazanin" w:eastAsia="IRNazanin"/>
          <w:color w:val="111111"/>
          <w:sz w:val="28"/>
          <w:sz w:val="28"/>
          <w:szCs w:val="28"/>
          <w:rtl w:val="true"/>
          <w:lang w:bidi="fa-IR"/>
        </w:rPr>
        <w:t xml:space="preserve">صناعی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معناها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الصلاحیّة</w:t>
      </w:r>
      <w:r>
        <w:rPr>
          <w:rStyle w:val="FootnoteAnchor"/>
          <w:rtl w:val="true"/>
        </w:rPr>
        <w:footnoteReference w:id="1743"/>
      </w:r>
      <w:r>
        <w:rPr>
          <w:rFonts w:ascii="IRNazanin" w:hAnsi="IRNazanin" w:eastAsia="IRNazanin"/>
          <w:color w:val="111111"/>
          <w:sz w:val="28"/>
          <w:sz w:val="28"/>
          <w:szCs w:val="28"/>
          <w:rtl w:val="true"/>
          <w:lang w:bidi="fa-IR"/>
        </w:rPr>
        <w:t>،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لکذا، أی مستوجب و مستحقّ له، و هی فی الاصطلاح 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أهلیّة الوجوب، و أهلیّة الأداء، فأهلیّة الوجوب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صلاحیّة الإنسان لوجوب الحقوق المشروعة له 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أهلیّة 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صلاحیّة الإنسان لصدور الفعل منه علی وجه یعتدّ به شرعاً</w:t>
      </w:r>
      <w:r>
        <w:rPr>
          <w:rStyle w:val="FootnoteAnchor"/>
          <w:rtl w:val="true"/>
        </w:rPr>
        <w:footnoteReference w:id="1744"/>
      </w:r>
      <w:r>
        <w:rPr>
          <w:rFonts w:ascii="IRNazanin" w:hAnsi="IRNazanin" w:eastAsia="IRNazanin"/>
          <w:color w:val="111111"/>
          <w:sz w:val="28"/>
          <w:sz w:val="28"/>
          <w:szCs w:val="28"/>
          <w:rtl w:val="true"/>
          <w:lang w:bidi="fa-IR"/>
        </w:rPr>
        <w:t>، فلا یصحّ شیء من أنواع الشرکة إلّا من جائز التصرّف؛ لأنّها عقد علی تصرّف فی مال، فلم یصحّ إلّا ممّن له أهلیّة، و قد اتّفقوا علی أنّ الصبیّ قبل سنّ التمییز لیس له أهلیّة الأداء، فأقواله و أفعاله غیر معتبرة و لا یترتّب علیها أیّ أثر من الآثار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الصبیّ الممیّز فقد اختلفوا فی صحّة تصرّفاته، و نذکر فیما یلی أقوالهم</w:t>
      </w:r>
      <w:r>
        <w:rPr>
          <w:rFonts w:eastAsia="IRNazanin" w:cs="IRNazanin"/>
          <w:color w:val="111111"/>
          <w:sz w:val="28"/>
          <w:szCs w:val="28"/>
          <w:rtl w:val="true"/>
          <w:lang w:bidi="fa-IR"/>
        </w:rPr>
        <w:t>:</w:t>
      </w:r>
    </w:p>
    <w:p>
      <w:pPr>
        <w:pStyle w:val="Heading5"/>
        <w:numPr>
          <w:ilvl w:val="4"/>
          <w:numId w:val="1"/>
        </w:numPr>
        <w:rPr/>
      </w:pPr>
      <w:bookmarkStart w:id="491" w:name="__RefHeading___Toc9696877_73709187"/>
      <w:bookmarkStart w:id="492" w:name="_Toc182"/>
      <w:bookmarkEnd w:id="491"/>
      <w:r>
        <w:rPr>
          <w:rtl w:val="true"/>
        </w:rPr>
        <w:t xml:space="preserve">أ </w:t>
      </w:r>
      <w:r>
        <w:rPr>
          <w:rtl w:val="true"/>
        </w:rPr>
        <w:t xml:space="preserve">- </w:t>
      </w:r>
      <w:r>
        <w:rPr>
          <w:rtl w:val="true"/>
        </w:rPr>
        <w:t>الشافعیّة</w:t>
      </w:r>
      <w:bookmarkEnd w:id="492"/>
    </w:p>
    <w:p>
      <w:pPr>
        <w:pStyle w:val="BookText"/>
        <w:rPr/>
      </w:pPr>
      <w:r>
        <w:rPr>
          <w:rFonts w:ascii="IRNazanin" w:hAnsi="IRNazanin" w:eastAsia="IRNazanin"/>
          <w:color w:val="111111"/>
          <w:sz w:val="28"/>
          <w:sz w:val="28"/>
          <w:szCs w:val="28"/>
          <w:rtl w:val="true"/>
          <w:lang w:bidi="fa-IR"/>
        </w:rPr>
        <w:t>ذهب الشافعیّة إلی أنّ البلوغ شرط فی جمیع التصرّفات المالیّة؛ لأنّه أمارة علی تکامل عقل الإنسان و خروجه عن طور الصباء، و أنّ العقل لا یمکن الوقوف منه علی الحدّ الذی یصلح به التصرّف؛ لخفائه و تزایده تزایداً خفی التدریج، فجعل الشارع له ضابطاً و هو البلوغ، فلا تثبت له أحکام العقلاء قبل البلوغ</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الوجیز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العاقدان، و لا یشترط فیهما إلاّ أهلیّة التّوکیل و التّوکّل،</w:t>
      </w:r>
    </w:p>
    <w:p>
      <w:pPr>
        <w:pStyle w:val="BookText"/>
        <w:rPr/>
      </w:pPr>
      <w:r>
        <w:rPr>
          <w:rFonts w:ascii="IRNazanin" w:hAnsi="IRNazanin" w:eastAsia="IRNazanin"/>
          <w:color w:val="111111"/>
          <w:sz w:val="28"/>
          <w:sz w:val="28"/>
          <w:szCs w:val="28"/>
          <w:rtl w:val="true"/>
          <w:lang w:bidi="fa-IR"/>
        </w:rPr>
        <w:t>فإنّ کلّ واحد متصرّف فی مال نفسه و مال صاحبه بإذنه</w:t>
      </w:r>
      <w:r>
        <w:rPr>
          <w:rFonts w:eastAsia="IRNazanin" w:cs="IRNazanin"/>
          <w:color w:val="111111"/>
          <w:sz w:val="28"/>
          <w:szCs w:val="28"/>
          <w:rtl w:val="true"/>
          <w:lang w:bidi="fa-IR"/>
        </w:rPr>
        <w:t>»</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یصحّ توکیل الصبیّ</w:t>
      </w:r>
      <w:r>
        <w:rPr>
          <w:rFonts w:eastAsia="IRNazanin" w:cs="IRNazanin"/>
          <w:color w:val="111111"/>
          <w:sz w:val="28"/>
          <w:szCs w:val="28"/>
          <w:rtl w:val="true"/>
          <w:lang w:bidi="fa-IR"/>
        </w:rPr>
        <w:t>»</w:t>
      </w:r>
      <w:r>
        <w:rPr>
          <w:rStyle w:val="FootnoteAnchor"/>
          <w:rtl w:val="true"/>
        </w:rPr>
        <w:footnoteReference w:id="17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الوسیط‌</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مغنی المحتاج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یشترط فیهما أهلیّة التوکیل و التوکلّ فی المال؛ لأنّ کلاّ منهما یتصرّف فی ماله بالملک و فی مال الآخر بالإذن، فکلّ منهما موکّل و وکیل</w:t>
      </w:r>
      <w:r>
        <w:rPr>
          <w:rFonts w:eastAsia="IRNazanin" w:cs="IRNazanin"/>
          <w:color w:val="111111"/>
          <w:sz w:val="28"/>
          <w:szCs w:val="28"/>
          <w:rtl w:val="true"/>
          <w:lang w:bidi="fa-IR"/>
        </w:rPr>
        <w:t>»</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المجموع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الشرکة عقد علی التصرّف فی المال فلم تصحّ إلّا من جائز التصرّف فی المال کالبیع، ثمّ إنّ المتعاقدین یعتبر فیهما أهلیّة التوکّل و التوکیل، فکلّ واحدٍ من الشریکین متصرّف فی جمیع المال فی ماله بحقّ الملک و فی مال غیره بحقّ إذنه، فهو وکیل عن صاحبه، و موکّل له بالتصرّف، فکلّ منهما وکیل و موکّل</w:t>
      </w:r>
      <w:r>
        <w:rPr>
          <w:rFonts w:eastAsia="IRNazanin" w:cs="IRNazanin"/>
          <w:color w:val="111111"/>
          <w:sz w:val="28"/>
          <w:szCs w:val="28"/>
          <w:rtl w:val="true"/>
          <w:lang w:bidi="fa-IR"/>
        </w:rPr>
        <w:t>»</w:t>
      </w:r>
      <w:r>
        <w:rPr>
          <w:rStyle w:val="FootnoteAnchor"/>
          <w:rtl w:val="true"/>
        </w:rPr>
        <w:footnoteReference w:id="17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العزیز</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النووی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تنفسخ الشرکة بموت أحد الشریکین أو جنونه أو إغمائه کالوکالة، أی بطل التصرّف؛ لأنّ العقود الجائزة تبطل بالموت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فللوارث الخیار بین القسمة و تقریر الشرکة إن کان رشیداً بالغاً، و إن کان مولّیاً علیه لصغر أو جنون فعل ولیّه ما فیه الحظّ و المصلحة من الأمرین</w:t>
      </w:r>
      <w:r>
        <w:rPr>
          <w:rFonts w:eastAsia="IRNazanin" w:cs="IRNazanin"/>
          <w:color w:val="111111"/>
          <w:sz w:val="28"/>
          <w:szCs w:val="28"/>
          <w:rtl w:val="true"/>
          <w:lang w:bidi="fa-IR"/>
        </w:rPr>
        <w:t>»</w:t>
      </w:r>
      <w:r>
        <w:rPr>
          <w:rStyle w:val="FootnoteAnchor"/>
          <w:rtl w:val="true"/>
        </w:rPr>
        <w:footnoteReference w:id="17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روضة الطالبین</w:t>
      </w:r>
      <w:r>
        <w:rPr>
          <w:rStyle w:val="FootnoteAnchor"/>
          <w:rtl w:val="true"/>
        </w:rPr>
        <w:footnoteReference w:id="1753"/>
      </w:r>
      <w:r>
        <w:rPr>
          <w:rFonts w:ascii="IRNazanin" w:hAnsi="IRNazanin" w:eastAsia="IRNazanin"/>
          <w:color w:val="111111"/>
          <w:sz w:val="28"/>
          <w:sz w:val="28"/>
          <w:szCs w:val="28"/>
          <w:rtl w:val="true"/>
          <w:lang w:bidi="fa-IR"/>
        </w:rPr>
        <w:t>و العزیز</w:t>
      </w:r>
      <w:r>
        <w:rPr>
          <w:rStyle w:val="FootnoteAnchor"/>
          <w:rtl w:val="true"/>
        </w:rPr>
        <w:footnoteReference w:id="1754"/>
      </w:r>
      <w:r>
        <w:rPr>
          <w:rFonts w:ascii="IRNazanin" w:hAnsi="IRNazanin" w:eastAsia="IRNazanin"/>
          <w:color w:val="111111"/>
          <w:sz w:val="28"/>
          <w:sz w:val="28"/>
          <w:szCs w:val="28"/>
          <w:rtl w:val="true"/>
          <w:lang w:bidi="fa-IR"/>
        </w:rPr>
        <w:t>و البیان</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bookmarkStart w:id="493" w:name="pg11757_135701"/>
    </w:p>
    <w:p>
      <w:pPr>
        <w:pStyle w:val="Heading5"/>
        <w:numPr>
          <w:ilvl w:val="4"/>
          <w:numId w:val="1"/>
        </w:numPr>
        <w:rPr/>
      </w:pPr>
      <w:bookmarkStart w:id="494" w:name="__RefHeading___Toc9696879_73709187"/>
      <w:bookmarkStart w:id="495" w:name="_Toc183"/>
      <w:bookmarkEnd w:id="493"/>
      <w:bookmarkEnd w:id="494"/>
      <w:r>
        <w:rPr>
          <w:rtl w:val="true"/>
        </w:rPr>
        <w:t xml:space="preserve">ب </w:t>
      </w:r>
      <w:r>
        <w:rPr>
          <w:rtl w:val="true"/>
        </w:rPr>
        <w:t xml:space="preserve">- </w:t>
      </w:r>
      <w:r>
        <w:rPr>
          <w:rtl w:val="true"/>
        </w:rPr>
        <w:t>المالکیّة</w:t>
      </w:r>
      <w:bookmarkEnd w:id="495"/>
    </w:p>
    <w:p>
      <w:pPr>
        <w:pStyle w:val="BookText"/>
        <w:rPr/>
      </w:pPr>
      <w:r>
        <w:rPr>
          <w:rFonts w:ascii="IRNazanin" w:hAnsi="IRNazanin" w:eastAsia="IRNazanin"/>
          <w:color w:val="111111"/>
          <w:sz w:val="28"/>
          <w:sz w:val="28"/>
          <w:szCs w:val="28"/>
          <w:rtl w:val="true"/>
          <w:lang w:bidi="fa-IR"/>
        </w:rPr>
        <w:t>قال ابن شاس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أرکانها، و هی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العاقدان، و لا یشترط فیهما إلّا أهلیّة التوکیل و التوکّل، فإنّ کل واحدٍ منهما متصرّف لنفسه و لصاحبه بإذنه</w:t>
      </w:r>
      <w:r>
        <w:rPr>
          <w:rFonts w:eastAsia="IRNazanin" w:cs="IRNazanin"/>
          <w:color w:val="111111"/>
          <w:sz w:val="28"/>
          <w:szCs w:val="28"/>
          <w:rtl w:val="true"/>
          <w:lang w:bidi="fa-IR"/>
        </w:rPr>
        <w:t>»</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الدردیر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تصحّ من أهل التوکیل و التوکّل، أی إنّما تصحّ ممّن کان متأهّلاً لأن یوکّل غیره و یتوکّل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الحرّ البالغ الرشید</w:t>
      </w:r>
      <w:r>
        <w:rPr>
          <w:rFonts w:eastAsia="IRNazanin" w:cs="IRNazanin"/>
          <w:color w:val="111111"/>
          <w:sz w:val="28"/>
          <w:szCs w:val="28"/>
          <w:rtl w:val="true"/>
          <w:lang w:bidi="fa-IR"/>
        </w:rPr>
        <w:t>»</w:t>
      </w:r>
      <w:r>
        <w:rPr>
          <w:rStyle w:val="FootnoteAnchor"/>
          <w:rtl w:val="true"/>
        </w:rPr>
        <w:footnoteReference w:id="1757"/>
      </w:r>
      <w:r>
        <w:rPr>
          <w:rFonts w:ascii="IRNazanin" w:hAnsi="IRNazanin" w:eastAsia="IRNazanin"/>
          <w:color w:val="111111"/>
          <w:sz w:val="28"/>
          <w:sz w:val="28"/>
          <w:szCs w:val="28"/>
          <w:rtl w:val="true"/>
          <w:lang w:bidi="fa-IR"/>
        </w:rPr>
        <w:t>، و به قال الدسوقی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الشرح الصغیر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صحّتها أن تقع من أهل التصرّف، و هو الحرّ البالغ الرّشید الذی یصحّ منه التوکیل و التوکّل</w:t>
      </w:r>
      <w:r>
        <w:rPr>
          <w:rFonts w:eastAsia="IRNazanin" w:cs="IRNazanin"/>
          <w:color w:val="111111"/>
          <w:sz w:val="28"/>
          <w:szCs w:val="28"/>
          <w:rtl w:val="true"/>
          <w:lang w:bidi="fa-IR"/>
        </w:rPr>
        <w:t>»</w:t>
      </w:r>
      <w:r>
        <w:rPr>
          <w:rStyle w:val="FootnoteAnchor"/>
          <w:rtl w:val="true"/>
        </w:rPr>
        <w:footnoteReference w:id="17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بلغة السالک</w:t>
      </w:r>
      <w:r>
        <w:rPr>
          <w:rFonts w:eastAsia="IRNazanin" w:cs="IRNazanin"/>
          <w:color w:val="111111"/>
          <w:sz w:val="28"/>
          <w:szCs w:val="28"/>
          <w:rtl w:val="true"/>
          <w:lang w:bidi="fa-IR"/>
        </w:rPr>
        <w:t>.</w:t>
      </w:r>
    </w:p>
    <w:p>
      <w:pPr>
        <w:pStyle w:val="Heading5"/>
        <w:numPr>
          <w:ilvl w:val="4"/>
          <w:numId w:val="1"/>
        </w:numPr>
        <w:rPr/>
      </w:pPr>
      <w:bookmarkStart w:id="496" w:name="__RefHeading___Toc9696881_73709187"/>
      <w:bookmarkStart w:id="497" w:name="_Toc184"/>
      <w:bookmarkEnd w:id="496"/>
      <w:r>
        <w:rPr>
          <w:rtl w:val="true"/>
        </w:rPr>
        <w:t xml:space="preserve">ج </w:t>
      </w:r>
      <w:r>
        <w:rPr>
          <w:rtl w:val="true"/>
        </w:rPr>
        <w:t xml:space="preserve">- </w:t>
      </w:r>
      <w:r>
        <w:rPr>
          <w:rtl w:val="true"/>
        </w:rPr>
        <w:t>الحنفیّة</w:t>
      </w:r>
      <w:bookmarkEnd w:id="497"/>
    </w:p>
    <w:p>
      <w:pPr>
        <w:pStyle w:val="BookText"/>
        <w:rPr/>
      </w:pPr>
      <w:r>
        <w:rPr>
          <w:rFonts w:ascii="IRNazanin" w:hAnsi="IRNazanin" w:eastAsia="IRNazanin"/>
          <w:color w:val="111111"/>
          <w:sz w:val="28"/>
          <w:sz w:val="28"/>
          <w:szCs w:val="28"/>
          <w:rtl w:val="true"/>
          <w:lang w:bidi="fa-IR"/>
        </w:rPr>
        <w:t>یجوز عندهم تصرّف الصبیّ الممیّز إذا أذن له ولیّه بذلک، فعلی هذا تصحّ وکالته و جاز أن یکون طرفاً فی عقد الشرکة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الکاسانی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الشرائط العامّة فأنواع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أهلیّة الوکالة؛ لأنّ الوکالة لازمة فی الکلّ، و هی أن یصیر کلّ واحد منهما وکیل صاحبه فی التصرّف بالشراء و البیع و تقبّل الأعمال؛ لأنّ کلّ واحد منهما أذن لصاحبه بالشراء و البیع، و تقبّل الأعمال مقتضی عقد الشرکة، و الوکیل هو المتصرّف عن إذن، فیشترط فیها أهلیّة الوکالة؛ لما علم فی کتاب الوکالة</w:t>
      </w:r>
      <w:r>
        <w:rPr>
          <w:rFonts w:eastAsia="IRNazanin" w:cs="IRNazanin"/>
          <w:color w:val="111111"/>
          <w:sz w:val="28"/>
          <w:szCs w:val="28"/>
          <w:rtl w:val="true"/>
          <w:lang w:bidi="fa-IR"/>
        </w:rPr>
        <w:t>»</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bookmarkStart w:id="498" w:name="pg11757_135702"/>
    </w:p>
    <w:p>
      <w:pPr>
        <w:pStyle w:val="BookText"/>
        <w:rPr/>
      </w:pPr>
      <w:bookmarkEnd w:id="498"/>
      <w:r>
        <w:rPr>
          <w:rFonts w:ascii="IRNazanin" w:hAnsi="IRNazanin" w:eastAsia="IRNazanin"/>
          <w:color w:val="111111"/>
          <w:sz w:val="28"/>
          <w:sz w:val="28"/>
          <w:szCs w:val="28"/>
          <w:rtl w:val="true"/>
          <w:lang w:bidi="fa-IR"/>
        </w:rPr>
        <w:t>و فی الهدایة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الصبیّ لا یملک الکفالة و لا یملک التصرّف إلاّ بإذن الولیّ</w:t>
      </w:r>
      <w:r>
        <w:rPr>
          <w:rFonts w:eastAsia="IRNazanin" w:cs="IRNazanin"/>
          <w:color w:val="111111"/>
          <w:sz w:val="28"/>
          <w:szCs w:val="28"/>
          <w:rtl w:val="true"/>
          <w:lang w:bidi="fa-IR"/>
        </w:rPr>
        <w:t>»</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عابدین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یشترط فیه البلوغ و لا الحرّیّة</w:t>
      </w:r>
      <w:r>
        <w:rPr>
          <w:rFonts w:eastAsia="IRNazanin" w:cs="IRNazanin"/>
          <w:color w:val="111111"/>
          <w:sz w:val="28"/>
          <w:szCs w:val="28"/>
          <w:rtl w:val="true"/>
          <w:lang w:bidi="fa-IR"/>
        </w:rPr>
        <w:t>»</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9" w:name="__RefHeading___Toc9696883_73709187"/>
      <w:bookmarkStart w:id="500" w:name="_Toc185"/>
      <w:bookmarkEnd w:id="499"/>
      <w:r>
        <w:rPr>
          <w:rtl w:val="true"/>
        </w:rPr>
        <w:t xml:space="preserve">د </w:t>
      </w:r>
      <w:r>
        <w:rPr>
          <w:rtl w:val="true"/>
        </w:rPr>
        <w:t xml:space="preserve">- </w:t>
      </w:r>
      <w:r>
        <w:rPr>
          <w:rtl w:val="true"/>
        </w:rPr>
        <w:t>الحنابلة</w:t>
      </w:r>
      <w:bookmarkEnd w:id="500"/>
    </w:p>
    <w:p>
      <w:pPr>
        <w:pStyle w:val="BookText"/>
        <w:rPr/>
      </w:pPr>
      <w:r>
        <w:rPr>
          <w:rFonts w:ascii="IRNazanin" w:hAnsi="IRNazanin" w:eastAsia="IRNazanin"/>
          <w:color w:val="111111"/>
          <w:sz w:val="28"/>
          <w:sz w:val="28"/>
          <w:szCs w:val="28"/>
          <w:rtl w:val="true"/>
          <w:lang w:bidi="fa-IR"/>
        </w:rPr>
        <w:t>و یصحّ عندهم تصرّف الصبیّ الممیّز بإذن الولیّ فی إحدی الروایتین عن أحمد، و جاء فی الشرح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لولیّ الصبیّ الممیّز أن یأذن له فی التجارة فی إحدی الروایتین، و یصحّ تصرّفه بالإذن</w:t>
      </w:r>
      <w:r>
        <w:rPr>
          <w:rFonts w:eastAsia="IRNazanin" w:cs="IRNazanin"/>
          <w:color w:val="111111"/>
          <w:sz w:val="28"/>
          <w:szCs w:val="28"/>
          <w:rtl w:val="true"/>
          <w:lang w:bidi="fa-IR"/>
        </w:rPr>
        <w:t>»</w:t>
      </w:r>
      <w:r>
        <w:rPr>
          <w:rStyle w:val="FootnoteAnchor"/>
          <w:rtl w:val="true"/>
        </w:rPr>
        <w:footnoteReference w:id="1762"/>
      </w:r>
      <w:r>
        <w:rPr>
          <w:rFonts w:ascii="Amiri" w:hAnsi="Amiri" w:eastAsia="Amiri" w:cs="Amiri"/>
          <w:color w:val="111111"/>
          <w:sz w:val="28"/>
          <w:sz w:val="28"/>
          <w:szCs w:val="28"/>
          <w:rtl w:val="true"/>
          <w:lang w:bidi="ar-SA"/>
        </w:rPr>
        <w:t>، و علّل بأنّه عاقل ممیّز محجور علیه، فیصحّ تصرّفه بإذن ولیّه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الإقناع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 أن یکون العاقد جائز التصرّف، و هو البالغ الرّشید إلّا الصغیر الممیّز و السفیه، فیصحّ تصرّفهما بإذن ولیّهما</w:t>
      </w:r>
      <w:r>
        <w:rPr>
          <w:rFonts w:eastAsia="IRNazanin" w:cs="IRNazanin"/>
          <w:color w:val="111111"/>
          <w:sz w:val="28"/>
          <w:szCs w:val="28"/>
          <w:rtl w:val="true"/>
          <w:lang w:bidi="fa-IR"/>
        </w:rPr>
        <w:t>»</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المحرّر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یصحّ تصرّف الممیّز و السفیه بإذن الولیّ فی الصحیح عنه، و لا یجوز أن یأذن فیه إلاّ أن یراه مصلحة</w:t>
      </w:r>
      <w:r>
        <w:rPr>
          <w:rFonts w:eastAsia="IRNazanin" w:cs="IRNazanin"/>
          <w:color w:val="111111"/>
          <w:sz w:val="28"/>
          <w:szCs w:val="28"/>
          <w:rtl w:val="true"/>
          <w:lang w:bidi="fa-IR"/>
        </w:rPr>
        <w:t>»</w:t>
      </w:r>
      <w:r>
        <w:rPr>
          <w:rStyle w:val="FootnoteAnchor"/>
          <w:rtl w:val="true"/>
        </w:rPr>
        <w:footnoteReference w:id="17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غیرها</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bookmarkStart w:id="501" w:name="pg11757_135706"/>
    </w:p>
    <w:p>
      <w:pPr>
        <w:pStyle w:val="Heading3"/>
        <w:numPr>
          <w:ilvl w:val="2"/>
          <w:numId w:val="1"/>
        </w:numPr>
        <w:rPr/>
      </w:pPr>
      <w:bookmarkStart w:id="502" w:name="__RefHeading___Toc9696885_73709187"/>
      <w:bookmarkStart w:id="503" w:name="_Toc186"/>
      <w:bookmarkEnd w:id="501"/>
      <w:bookmarkEnd w:id="502"/>
      <w:r>
        <w:rPr>
          <w:rtl w:val="true"/>
        </w:rPr>
        <w:t>الفصل العاشر</w:t>
      </w:r>
      <w:r>
        <w:rPr>
          <w:rtl w:val="true"/>
        </w:rPr>
        <w:t xml:space="preserve">: </w:t>
      </w:r>
      <w:r>
        <w:rPr>
          <w:rtl w:val="true"/>
        </w:rPr>
        <w:t>مضاربة الصبیّ</w:t>
      </w:r>
      <w:bookmarkEnd w:id="503"/>
    </w:p>
    <w:p>
      <w:pPr>
        <w:pStyle w:val="Heading4"/>
        <w:numPr>
          <w:ilvl w:val="3"/>
          <w:numId w:val="1"/>
        </w:numPr>
        <w:rPr/>
      </w:pPr>
      <w:bookmarkStart w:id="504" w:name="__RefHeading___Toc9696887_73709187"/>
      <w:bookmarkStart w:id="505" w:name="_Toc187"/>
      <w:bookmarkEnd w:id="504"/>
      <w:r>
        <w:rPr>
          <w:rtl w:val="true"/>
        </w:rPr>
        <w:t>المضاربة لغةً و اصطلاحاً</w:t>
      </w:r>
      <w:bookmarkEnd w:id="505"/>
    </w:p>
    <w:p>
      <w:pPr>
        <w:pStyle w:val="BookText"/>
        <w:rPr/>
      </w:pPr>
      <w:r>
        <w:rPr>
          <w:rFonts w:ascii="IRNazanin" w:hAnsi="IRNazanin" w:eastAsia="IRNazanin"/>
          <w:color w:val="111111"/>
          <w:sz w:val="28"/>
          <w:sz w:val="28"/>
          <w:szCs w:val="28"/>
          <w:rtl w:val="true"/>
          <w:lang w:bidi="fa-IR"/>
        </w:rPr>
        <w:t>أصل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 فی الأرض</w:t>
      </w:r>
      <w:r>
        <w:rPr>
          <w:rStyle w:val="FootnoteAnchor"/>
          <w:rtl w:val="true"/>
        </w:rPr>
        <w:footnoteReference w:id="1766"/>
      </w:r>
      <w:r>
        <w:rPr>
          <w:rFonts w:ascii="IRNazanin" w:hAnsi="IRNazanin" w:eastAsia="IRNazanin"/>
          <w:color w:val="111111"/>
          <w:sz w:val="28"/>
          <w:sz w:val="28"/>
          <w:szCs w:val="28"/>
          <w:rtl w:val="true"/>
          <w:lang w:bidi="fa-IR"/>
        </w:rPr>
        <w:t>، ضرب فی التجارة و فی الأرض و فی سبیل اللّه، و ضاربه فی المال، من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القراض، و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تعطی إنساناً من مالک ما یتّجر فیه علی أن یکون الربح بینکما، أو یکون له سهم معلوم من الرّبح، و کأنّه مأخوذ من الضّرب فی الأرض لطلب الرزق، کما فی لسان العرب</w:t>
      </w:r>
      <w:r>
        <w:rPr>
          <w:rStyle w:val="FootnoteAnchor"/>
          <w:rtl w:val="true"/>
        </w:rPr>
        <w:footnoteReference w:id="1767"/>
      </w:r>
      <w:r>
        <w:rPr>
          <w:rFonts w:ascii="IRNazanin" w:hAnsi="IRNazanin" w:eastAsia="IRNazanin"/>
          <w:color w:val="111111"/>
          <w:sz w:val="28"/>
          <w:sz w:val="28"/>
          <w:szCs w:val="28"/>
          <w:rtl w:val="true"/>
          <w:lang w:bidi="fa-IR"/>
        </w:rPr>
        <w:t>و غیره</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المقصود منه فی اصطلاح الفقهاء نفس معناها اللغویّ</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المضاربة، و هو أن یدفع إنسان إلی غیره مالاً لیتّجر به علی أنّ ما رزقه اللّه تعالی علیه من الفائدة یکون بینهما علی مقدار معلوم</w:t>
      </w:r>
      <w:r>
        <w:rPr>
          <w:rFonts w:eastAsia="IRNazanin" w:cs="IRNazanin"/>
          <w:color w:val="111111"/>
          <w:sz w:val="28"/>
          <w:szCs w:val="28"/>
          <w:rtl w:val="true"/>
          <w:lang w:bidi="fa-IR"/>
        </w:rPr>
        <w:t>»</w:t>
      </w:r>
      <w:r>
        <w:rPr>
          <w:rStyle w:val="FootnoteAnchor"/>
          <w:rtl w:val="true"/>
        </w:rPr>
        <w:footnoteReference w:id="17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الغنیة</w:t>
      </w:r>
      <w:r>
        <w:rPr>
          <w:rStyle w:val="FootnoteAnchor"/>
          <w:rtl w:val="true"/>
        </w:rPr>
        <w:footnoteReference w:id="1770"/>
      </w:r>
      <w:r>
        <w:rPr>
          <w:rFonts w:ascii="IRNazanin" w:hAnsi="IRNazanin" w:eastAsia="IRNazanin"/>
          <w:color w:val="111111"/>
          <w:sz w:val="28"/>
          <w:sz w:val="28"/>
          <w:szCs w:val="28"/>
          <w:rtl w:val="true"/>
          <w:lang w:bidi="fa-IR"/>
        </w:rPr>
        <w:t>و السرائر</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یشترط فی کل من المالک و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 العقل و الاختیار، کما صرّح به فی القواعد</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المتعاقدان، و شرط 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 العقل و جواز التصرّف، فلا یصحّ القراض بین الصبیّ و غیره، و کذا المجنون و السفیه</w:t>
      </w:r>
      <w:r>
        <w:rPr>
          <w:rFonts w:eastAsia="IRNazanin" w:cs="IRNazanin"/>
          <w:color w:val="111111"/>
          <w:sz w:val="28"/>
          <w:szCs w:val="28"/>
          <w:rtl w:val="true"/>
          <w:lang w:bidi="fa-IR"/>
        </w:rPr>
        <w:t>»</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فی المتعاقدین التکلیف و إمکان التصرّف، فلو قارض الصبیّ أو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یصحّ</w:t>
      </w:r>
      <w:r>
        <w:rPr>
          <w:rFonts w:eastAsia="IRNazanin" w:cs="IRNazanin"/>
          <w:color w:val="111111"/>
          <w:sz w:val="28"/>
          <w:szCs w:val="28"/>
          <w:rtl w:val="true"/>
          <w:lang w:bidi="fa-IR"/>
        </w:rPr>
        <w:t>»</w:t>
      </w:r>
      <w:r>
        <w:rPr>
          <w:rStyle w:val="FootnoteAnchor"/>
          <w:rtl w:val="true"/>
        </w:rPr>
        <w:footnoteReference w:id="17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جامع المقاصد</w:t>
      </w:r>
      <w:r>
        <w:rPr>
          <w:rStyle w:val="FootnoteAnchor"/>
          <w:rtl w:val="true"/>
        </w:rPr>
        <w:footnoteReference w:id="1775"/>
      </w:r>
      <w:r>
        <w:rPr>
          <w:rFonts w:ascii="IRNazanin" w:hAnsi="IRNazanin" w:eastAsia="IRNazanin"/>
          <w:color w:val="111111"/>
          <w:sz w:val="28"/>
          <w:sz w:val="28"/>
          <w:szCs w:val="28"/>
          <w:rtl w:val="true"/>
          <w:lang w:bidi="fa-IR"/>
        </w:rPr>
        <w:t>، و صرّح بذلک أیضاً جمع من الفقهاء المعاصرین</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المستمسک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 الماتن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یشترط فیها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البلوغ و العقل و الاختیار و عدم الحجر لفلس أو 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هذه الاُمور شروط فی عموم تصرّفات الإنسان فی ماله و نفسه، و بیان أدلّة ذلک موکول إلی کتاب الحجر، و قد تعرّض الفقهاء قدس سرهم لذلک فی الجملة فی کتاب البیع؛ لأنّه أوّل الکتب المتعلّقة بالتصرّفات الاعتباریّة تحریراً و قلّما یتعرّضون لذکر ذلک فی غیره</w:t>
      </w:r>
      <w:r>
        <w:rPr>
          <w:rFonts w:eastAsia="IRNazanin" w:cs="IRNazanin"/>
          <w:color w:val="111111"/>
          <w:sz w:val="28"/>
          <w:szCs w:val="28"/>
          <w:rtl w:val="true"/>
          <w:lang w:bidi="fa-IR"/>
        </w:rPr>
        <w:t>»</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السیّد الخوئی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فیها، فإنّها من الشرائط العامّة المعتبرة</w:t>
      </w:r>
      <w:bookmarkStart w:id="506" w:name="pg11757_135708"/>
    </w:p>
    <w:p>
      <w:pPr>
        <w:pStyle w:val="BookText"/>
        <w:rPr/>
      </w:pPr>
      <w:bookmarkEnd w:id="506"/>
      <w:r>
        <w:rPr>
          <w:rFonts w:ascii="Amiri" w:hAnsi="Amiri" w:eastAsia="Amiri" w:cs="Amiri"/>
          <w:color w:val="111111"/>
          <w:sz w:val="28"/>
          <w:sz w:val="28"/>
          <w:szCs w:val="28"/>
          <w:rtl w:val="true"/>
          <w:lang w:bidi="ar-SA"/>
        </w:rPr>
        <w:t>فی کلّ عقد</w:t>
      </w:r>
      <w:r>
        <w:rPr>
          <w:rFonts w:eastAsia="Amiri" w:cs="Amiri" w:ascii="Amiri" w:hAnsi="Amiri"/>
          <w:color w:val="111111"/>
          <w:sz w:val="28"/>
          <w:szCs w:val="28"/>
          <w:rtl w:val="true"/>
          <w:lang w:bidi="ar-SA"/>
        </w:rPr>
        <w:t>»</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7" w:name="__RefHeading___Toc9696889_73709187"/>
      <w:bookmarkStart w:id="508" w:name="_Toc188"/>
      <w:bookmarkEnd w:id="507"/>
      <w:r>
        <w:rPr>
          <w:rtl w:val="true"/>
        </w:rPr>
        <w:t>أدلّة عدم جواز مضاربة الصبیّ‌</w:t>
      </w:r>
      <w:bookmarkEnd w:id="508"/>
    </w:p>
    <w:p>
      <w:pPr>
        <w:pStyle w:val="BookText"/>
        <w:rPr/>
      </w:pPr>
      <w:r>
        <w:rPr>
          <w:rStyle w:val="FootnoteAnchor"/>
          <w:rtl w:val="true"/>
        </w:rPr>
        <w:footnoteReference w:id="17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خلاف و لا ریب فی اشتراط البلوغ فی المالک و العامل، بل هو متسالم علیه بین الأصحاب، و من أجل ذلک لم یتعرّض له أکثر الأصحاب، و اکتفوا بوضوحه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مفتاح الکرامة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یشترط فیهما البلوغ و العقل و جواز التصرّف، لا ریب فی اشتراط ذلک فیهما، و لذلک ترکوه عدا المصنّف هنا، و فی التذکرة و التحریر، و المحقّق الثانی</w:t>
      </w:r>
      <w:r>
        <w:rPr>
          <w:rFonts w:eastAsia="IRNazanin" w:cs="IRNazanin"/>
          <w:color w:val="111111"/>
          <w:sz w:val="28"/>
          <w:szCs w:val="28"/>
          <w:rtl w:val="true"/>
          <w:lang w:bidi="fa-IR"/>
        </w:rPr>
        <w:t>»</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الأصل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القراض توکیل و توکّل فی شیء خاصّ، و هو التجارة، فیعتبر فی العامل و المالک ما یعتبر فی الوکیل و الموکّل</w:t>
      </w:r>
      <w:r>
        <w:rPr>
          <w:rFonts w:eastAsia="IRNazanin" w:cs="IRNazanin"/>
          <w:color w:val="111111"/>
          <w:sz w:val="28"/>
          <w:szCs w:val="28"/>
          <w:rtl w:val="true"/>
          <w:lang w:bidi="fa-IR"/>
        </w:rPr>
        <w:t>»</w:t>
      </w:r>
      <w:r>
        <w:rPr>
          <w:rStyle w:val="FootnoteAnchor"/>
          <w:rtl w:val="true"/>
        </w:rPr>
        <w:footnoteReference w:id="17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مفتاح الکرامة</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شکّ فی أنّه یعتبر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الوکیل و الموکّل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 کمال العقل، و أن یکون جائز التصرّف فیما وکّل فیه، کما هو ثابت فی محلّه، 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بموت کلّ واحد منهما تبطل المضاربة؛ لأنّها فی المعنی 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صرّح أیضاً بأنّه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فی الوکیل و الموکّل البلوغ و العقل و جواز التصرّف</w:t>
      </w:r>
      <w:r>
        <w:rPr>
          <w:rFonts w:eastAsia="IRNazanin" w:cs="IRNazanin"/>
          <w:color w:val="111111"/>
          <w:sz w:val="28"/>
          <w:szCs w:val="28"/>
          <w:rtl w:val="true"/>
          <w:lang w:bidi="fa-IR"/>
        </w:rPr>
        <w:t>»</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الذی ادّعاه العلّامة فی التذکرة</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الأخبار المستفیضة</w:t>
      </w:r>
      <w:r>
        <w:rPr>
          <w:rStyle w:val="FootnoteAnchor"/>
          <w:rtl w:val="true"/>
        </w:rPr>
        <w:footnoteReference w:id="1785"/>
      </w:r>
      <w:r>
        <w:rPr>
          <w:rFonts w:ascii="IRNazanin" w:hAnsi="IRNazanin" w:eastAsia="IRNazanin"/>
          <w:color w:val="111111"/>
          <w:sz w:val="28"/>
          <w:sz w:val="28"/>
          <w:szCs w:val="28"/>
          <w:rtl w:val="true"/>
          <w:lang w:bidi="fa-IR"/>
        </w:rPr>
        <w:t>عدم جواز أمر الصبیّ قبل البلوغ و لا ینفذ فعله، فلا تکون معاملاته صحیحة بلا فرق بین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تقریرها فی البحث عن بیع الصبیّ‌</w:t>
      </w:r>
      <w:r>
        <w:rPr>
          <w:rStyle w:val="FootnoteAnchor"/>
          <w:rtl w:val="true"/>
        </w:rPr>
        <w:footnoteReference w:id="1786"/>
      </w:r>
      <w:r>
        <w:rPr>
          <w:rFonts w:ascii="IRNazanin" w:hAnsi="IRNazanin" w:eastAsia="IRNazanin"/>
          <w:color w:val="111111"/>
          <w:sz w:val="28"/>
          <w:sz w:val="28"/>
          <w:szCs w:val="28"/>
          <w:rtl w:val="true"/>
          <w:lang w:bidi="fa-IR"/>
        </w:rPr>
        <w:t>و رهنه و حجره و یأتی فی المباحث القادمة أیضاً</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علی القول بجواز تصرّفه بإذن الولیّ تجور مضاربته أیضاً بإذنه کما قلنا فی البیع</w:t>
      </w:r>
      <w:r>
        <w:rPr>
          <w:rStyle w:val="FootnoteAnchor"/>
          <w:rtl w:val="true"/>
        </w:rPr>
        <w:footnoteReference w:id="1788"/>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ما ثبت أنّه لیس للصغیر التصرّف فی ماله بالمضاربة فلولیّه أن یدفع ماله مضاربة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لولیّ الیتیم أن یدفع مال الیتیم قراضاً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یجوز دفعه قراضاً إلی من یجوز إیداع ماله عنده من کونه ثقةً أمیناً، فإن دفعه إلی غیر ثقة أمین فعلیه الضمان</w:t>
      </w:r>
      <w:r>
        <w:rPr>
          <w:rFonts w:eastAsia="IRNazanin" w:cs="IRNazanin"/>
          <w:color w:val="111111"/>
          <w:sz w:val="28"/>
          <w:szCs w:val="28"/>
          <w:rtl w:val="true"/>
          <w:lang w:bidi="fa-IR"/>
        </w:rPr>
        <w:t>»</w:t>
      </w:r>
      <w:r>
        <w:rPr>
          <w:rStyle w:val="FootnoteAnchor"/>
          <w:rtl w:val="true"/>
        </w:rPr>
        <w:footnoteReference w:id="17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التحریر</w:t>
      </w:r>
      <w:r>
        <w:rPr>
          <w:rStyle w:val="FootnoteAnchor"/>
          <w:rtl w:val="true"/>
        </w:rPr>
        <w:footnoteReference w:id="1790"/>
      </w:r>
      <w:r>
        <w:rPr>
          <w:rFonts w:ascii="IRNazanin" w:hAnsi="IRNazanin" w:eastAsia="IRNazanin"/>
          <w:color w:val="111111"/>
          <w:sz w:val="28"/>
          <w:sz w:val="28"/>
          <w:szCs w:val="28"/>
          <w:rtl w:val="true"/>
          <w:lang w:bidi="fa-IR"/>
        </w:rPr>
        <w:t>و القواعد</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bookmarkStart w:id="509" w:name="pg11757_135710"/>
    </w:p>
    <w:p>
      <w:pPr>
        <w:pStyle w:val="BookText"/>
        <w:rPr/>
      </w:pPr>
      <w:bookmarkEnd w:id="509"/>
      <w:r>
        <w:rPr>
          <w:rFonts w:ascii="IRNazanin" w:hAnsi="IRNazanin" w:eastAsia="IRNazanin"/>
          <w:color w:val="111111"/>
          <w:sz w:val="28"/>
          <w:sz w:val="28"/>
          <w:szCs w:val="28"/>
          <w:rtl w:val="true"/>
          <w:lang w:bidi="fa-IR"/>
        </w:rPr>
        <w:t>و فی الجامع للشرائع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یصحّ للولیّ أن یقارض بمال المولّی علیه لحظّه فیه</w:t>
      </w:r>
      <w:r>
        <w:rPr>
          <w:rFonts w:eastAsia="IRNazanin" w:cs="IRNazanin"/>
          <w:color w:val="111111"/>
          <w:sz w:val="28"/>
          <w:szCs w:val="28"/>
          <w:rtl w:val="true"/>
          <w:lang w:bidi="fa-IR"/>
        </w:rPr>
        <w:t>»</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صرّح به أیضاً جماعة من أعلام المعاصرین</w:t>
      </w:r>
      <w:r>
        <w:rPr>
          <w:rStyle w:val="FootnoteAnchor"/>
          <w:rtl w:val="true"/>
        </w:rPr>
        <w:footnoteReference w:id="1793"/>
      </w:r>
      <w:r>
        <w:rPr>
          <w:rFonts w:ascii="IRNazanin" w:hAnsi="IRNazanin" w:eastAsia="IRNazanin"/>
          <w:color w:val="111111"/>
          <w:sz w:val="28"/>
          <w:sz w:val="28"/>
          <w:szCs w:val="28"/>
          <w:rtl w:val="true"/>
          <w:lang w:bidi="fa-IR"/>
        </w:rPr>
        <w:t>، و ذلک لعموم ولایة الولیّ ما دام أنّ الفعل فی مصلحة المولّی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البحث عن جواز المضاربة بمال الیتیم للولیّ فی المجلّد الثانی من الموسوعة</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0" w:name="__RefHeading___Toc9696891_73709187"/>
      <w:bookmarkStart w:id="511" w:name="_Toc189"/>
      <w:bookmarkEnd w:id="510"/>
      <w:r>
        <w:rPr>
          <w:rtl w:val="true"/>
        </w:rPr>
        <w:t>مضاربة الصبیّ عند أهل السنّة</w:t>
      </w:r>
      <w:bookmarkEnd w:id="511"/>
    </w:p>
    <w:p>
      <w:pPr>
        <w:pStyle w:val="BookText"/>
        <w:rPr/>
      </w:pPr>
      <w:r>
        <w:rPr>
          <w:rFonts w:ascii="IRNazanin" w:hAnsi="IRNazanin" w:eastAsia="IRNazanin"/>
          <w:color w:val="111111"/>
          <w:sz w:val="28"/>
          <w:sz w:val="28"/>
          <w:szCs w:val="28"/>
          <w:rtl w:val="true"/>
          <w:lang w:bidi="fa-IR"/>
        </w:rPr>
        <w:t xml:space="preserve">ذهب المالکیّة و الشافعیّة إلی أنّه یشترط فی صحّة المضاربة أن تقع ممّن له أهلیّة التصرّف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الحرّ العاقل الرّشید الذی یصحّ منه التوکیل و التوکّل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المتأهّل لأن یؤکّل غیره و یتوکّل لغیره؛ لأنّ العاقدین کلّ واحد منهما وکیل عن صاحبه و موکّل لصاحبه، فمن جاز له أن یوکّل و یتوکّل جاز له عقد المضاربة، فلا یصحّ عقد المضاربة من صبیّ و لا 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الغزالی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أرکان صحّة القراض، و هی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الرکن الخامس و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العاقدان و لا یشترط فیهما إلّا ما یشترط فی الوکیل و الموکّل</w:t>
      </w:r>
      <w:r>
        <w:rPr>
          <w:rFonts w:eastAsia="IRNazanin" w:cs="IRNazanin"/>
          <w:color w:val="111111"/>
          <w:sz w:val="28"/>
          <w:szCs w:val="28"/>
          <w:rtl w:val="true"/>
          <w:lang w:bidi="fa-IR"/>
        </w:rPr>
        <w:t>»</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کتاب الوکالة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یصحّ توکیل الصبیّ و المجنون</w:t>
      </w:r>
      <w:r>
        <w:rPr>
          <w:rFonts w:eastAsia="IRNazanin" w:cs="IRNazanin"/>
          <w:color w:val="111111"/>
          <w:sz w:val="28"/>
          <w:szCs w:val="28"/>
          <w:rtl w:val="true"/>
          <w:lang w:bidi="fa-IR"/>
        </w:rPr>
        <w:t>»</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الرافعی فی شرحه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القراض توکیل و توکّل فی شیء خاصّ، و هو التجارة، فیعتبر فی العامل و المالک ما یعتبر فی الوکیل و الموکّل، فکما یجوز لولیّ الطفل التوکیل فی اجور الطفل کذلک یجوز لولیّ الطفل و المجنون أن یقارض علی مالها</w:t>
      </w:r>
      <w:r>
        <w:rPr>
          <w:rStyle w:val="FootnoteAnchor"/>
          <w:rtl w:val="true"/>
        </w:rPr>
        <w:footnoteReference w:id="1797"/>
      </w:r>
      <w:r>
        <w:rPr>
          <w:rFonts w:ascii="IRNazanin" w:hAnsi="IRNazanin" w:eastAsia="IRNazanin"/>
          <w:color w:val="111111"/>
          <w:sz w:val="28"/>
          <w:sz w:val="28"/>
          <w:szCs w:val="28"/>
          <w:rtl w:val="true"/>
          <w:lang w:bidi="fa-IR"/>
        </w:rPr>
        <w:t>، یستوی فیه الأب و الجدّ و وصیّهما، و الحاکم و أمینه</w:t>
      </w:r>
      <w:r>
        <w:rPr>
          <w:rFonts w:eastAsia="IRNazanin" w:cs="IRNazanin"/>
          <w:color w:val="111111"/>
          <w:sz w:val="28"/>
          <w:szCs w:val="28"/>
          <w:rtl w:val="true"/>
          <w:lang w:bidi="fa-IR"/>
        </w:rPr>
        <w:t>»</w:t>
      </w:r>
      <w:r>
        <w:rPr>
          <w:rStyle w:val="FootnoteAnchor"/>
          <w:rtl w:val="true"/>
        </w:rPr>
        <w:footnoteReference w:id="17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روضة الطالبین</w:t>
      </w:r>
      <w:r>
        <w:rPr>
          <w:rStyle w:val="FootnoteAnchor"/>
          <w:rtl w:val="true"/>
        </w:rPr>
        <w:footnoteReference w:id="1799"/>
      </w:r>
      <w:r>
        <w:rPr>
          <w:rFonts w:ascii="IRNazanin" w:hAnsi="IRNazanin" w:eastAsia="IRNazanin"/>
          <w:color w:val="111111"/>
          <w:sz w:val="28"/>
          <w:sz w:val="28"/>
          <w:szCs w:val="28"/>
          <w:rtl w:val="true"/>
          <w:lang w:bidi="fa-IR"/>
        </w:rPr>
        <w:t>، و نهایة المحتاج</w:t>
      </w:r>
      <w:r>
        <w:rPr>
          <w:rStyle w:val="FootnoteAnchor"/>
          <w:rtl w:val="true"/>
        </w:rPr>
        <w:footnoteReference w:id="1800"/>
      </w:r>
      <w:r>
        <w:rPr>
          <w:rFonts w:ascii="IRNazanin" w:hAnsi="IRNazanin" w:eastAsia="IRNazanin"/>
          <w:color w:val="111111"/>
          <w:sz w:val="28"/>
          <w:sz w:val="28"/>
          <w:szCs w:val="28"/>
          <w:rtl w:val="true"/>
          <w:lang w:bidi="fa-IR"/>
        </w:rPr>
        <w:t>، و مغنی المحتاج</w:t>
      </w:r>
      <w:r>
        <w:rPr>
          <w:rStyle w:val="FootnoteAnchor"/>
          <w:rtl w:val="true"/>
        </w:rPr>
        <w:footnoteReference w:id="1801"/>
      </w:r>
      <w:r>
        <w:rPr>
          <w:rFonts w:ascii="IRNazanin" w:hAnsi="IRNazanin" w:eastAsia="IRNazanin"/>
          <w:color w:val="111111"/>
          <w:sz w:val="28"/>
          <w:sz w:val="28"/>
          <w:szCs w:val="28"/>
          <w:rtl w:val="true"/>
          <w:lang w:bidi="fa-IR"/>
        </w:rPr>
        <w:t>و البیان</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بناءً علی ذلک لا یصحّ عند الشافعیّة، عقد المضاربة من الصبیّ، سواء کان ممیّزاً أو غیر ممیّز، و سواء أذن له الولیّ أو لم یأذن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المدوّنة الکبری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الصبیّ إذا کان یعقل التجارة فأذن له أبوه أو وصیّه فی التجارة، أ یجوز ذلک أم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 ذلک جائزاً؛ لأنّ الصبیّ مولّی علیه، فإذا کان مولّی علیه فلا أری الإذن له فی التجارة</w:t>
      </w:r>
      <w:r>
        <w:rPr>
          <w:rFonts w:eastAsia="IRNazanin" w:cs="IRNazanin"/>
          <w:color w:val="111111"/>
          <w:sz w:val="28"/>
          <w:szCs w:val="28"/>
          <w:rtl w:val="true"/>
          <w:lang w:bidi="fa-IR"/>
        </w:rPr>
        <w:t>»</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قال جماعة من المالکیّة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الصغیر غیر البالغ لا یجوز له التصرّف فی ماله، فإنّ تصرّف بعوض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کالبیع و الشراء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إلی نظر ولیّه، فإن شاء ردَّ و إن شاء أجاز</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الحنفیّة و 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ربّ المال و المضارب أهلیّة التوکیل</w:t>
      </w:r>
    </w:p>
    <w:p>
      <w:pPr>
        <w:pStyle w:val="BookText"/>
        <w:rPr/>
      </w:pPr>
      <w:r>
        <w:rPr>
          <w:rFonts w:ascii="IRNazanin" w:hAnsi="IRNazanin" w:eastAsia="IRNazanin"/>
          <w:color w:val="111111"/>
          <w:sz w:val="28"/>
          <w:sz w:val="28"/>
          <w:szCs w:val="28"/>
          <w:rtl w:val="true"/>
          <w:lang w:bidi="fa-IR"/>
        </w:rPr>
        <w:t>و الوکالة؛ لأنّ المضارب یتصرّف بأمر ربّ المال، و هذا معنی التوکیل، فیشترط فی الموکّل أن یکون ممّن یملک فعل ما وکّل به بنفسه؛ لأنّ التوکیل تفویض ما یملکه من التصرّف إلی غیره، فلا یصحّ التوکیل من المجنون و الصبیّ الذی لا یعقل أصلاً؛ لأنّ العقل من شرائط الأهلیّة، أ لا تری أنّهما لا یملکان التصرّف بأنفسهما؟</w:t>
      </w:r>
    </w:p>
    <w:p>
      <w:pPr>
        <w:pStyle w:val="BookText"/>
        <w:rPr/>
      </w:pPr>
      <w:r>
        <w:rPr>
          <w:rFonts w:ascii="IRNazanin" w:hAnsi="IRNazanin" w:eastAsia="IRNazanin"/>
          <w:color w:val="111111"/>
          <w:sz w:val="28"/>
          <w:sz w:val="28"/>
          <w:szCs w:val="28"/>
          <w:rtl w:val="true"/>
          <w:lang w:bidi="fa-IR"/>
        </w:rPr>
        <w:t>و یشترط فی الوکیل أیضاً أن یکون عاقلاً، فلا تصحّ وکالة المجنون و الصبیّ الذی لا یعقل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الصبیّ الممیّز فیصحّ منه عقد المضاربة عند الحنفیّة إذا أذن له الولیّ، قال الکاسانی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شرائط الرکن فبعضها یرجع إلی العاقدین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ربّ المال و المضارب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بعضها یرجع إلی رأس المال، و بعضها یرجع إلی الربح، أمّا الذی یرجع إلی العاقدین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ربّ المال و المضارب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فأهلیّة التوکیل و الوکالة؛ لأنّ المضارب یتصرّف بأمر ربّ المال، و هذا معنی التوکیل</w:t>
      </w:r>
      <w:r>
        <w:rPr>
          <w:rFonts w:eastAsia="IRNazanin" w:cs="IRNazanin"/>
          <w:color w:val="111111"/>
          <w:sz w:val="28"/>
          <w:szCs w:val="28"/>
          <w:rtl w:val="true"/>
          <w:lang w:bidi="fa-IR"/>
        </w:rPr>
        <w:t>»</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باب الوکالة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التصرّفات الدائرة بین الضرر و النفع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کالبیع و الإجارة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مأذوناً له فی التجارة یصحّ منه التوکیل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الذی یرجع إلی الوکیل فهو أن یکون عاقلاً، فلا تصحّ وکالة المجنون و الصبیّ الذی لا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البلوغ و الحرّیة فلیسا بشرط لصحّة الوکالة، فتصحّ وکالة الصبیّ العاقل</w:t>
      </w:r>
      <w:r>
        <w:rPr>
          <w:rFonts w:eastAsia="IRNazanin" w:cs="IRNazanin"/>
          <w:color w:val="111111"/>
          <w:sz w:val="28"/>
          <w:szCs w:val="28"/>
          <w:rtl w:val="true"/>
          <w:lang w:bidi="fa-IR"/>
        </w:rPr>
        <w:t>»</w:t>
      </w:r>
      <w:r>
        <w:rPr>
          <w:rStyle w:val="FootnoteAnchor"/>
          <w:rtl w:val="true"/>
        </w:rPr>
        <w:footnoteReference w:id="1806"/>
      </w:r>
      <w:r>
        <w:rPr>
          <w:rFonts w:ascii="IRNazanin" w:hAnsi="IRNazanin" w:eastAsia="IRNazanin"/>
          <w:color w:val="111111"/>
          <w:sz w:val="28"/>
          <w:sz w:val="28"/>
          <w:szCs w:val="28"/>
          <w:rtl w:val="true"/>
          <w:lang w:bidi="fa-IR"/>
        </w:rPr>
        <w:t>، و قریب من هذا فی الهدایة</w:t>
      </w:r>
      <w:r>
        <w:rPr>
          <w:rStyle w:val="FootnoteAnchor"/>
          <w:rtl w:val="true"/>
        </w:rPr>
        <w:footnoteReference w:id="1807"/>
      </w:r>
      <w:r>
        <w:rPr>
          <w:rFonts w:ascii="Amiri" w:hAnsi="Amiri" w:eastAsia="Amiri" w:cs="Amiri"/>
          <w:color w:val="111111"/>
          <w:sz w:val="28"/>
          <w:sz w:val="28"/>
          <w:szCs w:val="28"/>
          <w:rtl w:val="true"/>
          <w:lang w:bidi="ar-SA"/>
        </w:rPr>
        <w:t>و تحفة الفقهاء</w:t>
      </w:r>
      <w:r>
        <w:rPr>
          <w:rStyle w:val="FootnoteAnchor"/>
          <w:rtl w:val="true"/>
        </w:rPr>
        <w:footnoteReference w:id="1808"/>
      </w:r>
      <w:r>
        <w:rPr>
          <w:rFonts w:ascii="IRNazanin" w:hAnsi="IRNazanin" w:eastAsia="IRNazanin"/>
          <w:color w:val="111111"/>
          <w:sz w:val="28"/>
          <w:sz w:val="28"/>
          <w:szCs w:val="28"/>
          <w:rtl w:val="true"/>
          <w:lang w:bidi="fa-IR"/>
        </w:rPr>
        <w:t>و أحکام</w:t>
      </w:r>
    </w:p>
    <w:p>
      <w:pPr>
        <w:pStyle w:val="BookText"/>
        <w:rPr/>
      </w:pPr>
      <w:r>
        <w:rPr>
          <w:rFonts w:ascii="IRNazanin" w:hAnsi="IRNazanin" w:eastAsia="IRNazanin"/>
          <w:color w:val="111111"/>
          <w:sz w:val="28"/>
          <w:sz w:val="28"/>
          <w:szCs w:val="28"/>
          <w:rtl w:val="true"/>
          <w:lang w:bidi="fa-IR"/>
        </w:rPr>
        <w:t>الصغار</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یجوز عقد المضاربة للصبیّ الممیّز عند الحنابلة فی إحدی الروایتین، جاء فی المقنع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الصبیّ الممیّز و السفیه، فإنّه یصحّ تصرّفهما بإذن ولیّهما، و لا یصحّ بغیر إذنه إلّا فی الشیء الیسیر</w:t>
      </w:r>
      <w:r>
        <w:rPr>
          <w:rFonts w:eastAsia="IRNazanin" w:cs="IRNazanin"/>
          <w:color w:val="111111"/>
          <w:sz w:val="28"/>
          <w:szCs w:val="28"/>
          <w:rtl w:val="true"/>
          <w:lang w:bidi="fa-IR"/>
        </w:rPr>
        <w:t>»</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الشرح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یصحّ تصرّفه بالإذن، و هذا قول أبی حنیفة، و الثانی لا یصحّ حتّی یبلغ، و هو قول الشافعی</w:t>
      </w:r>
      <w:r>
        <w:rPr>
          <w:rFonts w:eastAsia="IRNazanin" w:cs="IRNazanin"/>
          <w:color w:val="111111"/>
          <w:sz w:val="28"/>
          <w:szCs w:val="28"/>
          <w:rtl w:val="true"/>
          <w:lang w:bidi="fa-IR"/>
        </w:rPr>
        <w:t>»</w:t>
      </w:r>
      <w:r>
        <w:rPr>
          <w:rStyle w:val="FootnoteAnchor"/>
          <w:rtl w:val="true"/>
        </w:rPr>
        <w:footnoteReference w:id="18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کشّاف القناع</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الإقناع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تصحّ وکالة الممیّز بإذن ولیّه کتصرّفه بإذنه</w:t>
      </w:r>
      <w:r>
        <w:rPr>
          <w:rFonts w:eastAsia="IRNazanin" w:cs="IRNazanin"/>
          <w:color w:val="111111"/>
          <w:sz w:val="28"/>
          <w:szCs w:val="28"/>
          <w:rtl w:val="true"/>
          <w:lang w:bidi="fa-IR"/>
        </w:rPr>
        <w:t>»</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المبدع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لولیّ الصبیّ الممیّز أن یأذن له فی التجارة فی إحدی الروایتین، جزم به فی الوجیز، و هو المرجّح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حتّی یبلغ؛ لأنّه غیر مکلّف کغیر الممیّز</w:t>
      </w:r>
      <w:r>
        <w:rPr>
          <w:rFonts w:eastAsia="IRNazanin" w:cs="IRNazanin"/>
          <w:color w:val="111111"/>
          <w:sz w:val="28"/>
          <w:szCs w:val="28"/>
          <w:rtl w:val="true"/>
          <w:lang w:bidi="fa-IR"/>
        </w:rPr>
        <w:t>»</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bookmarkStart w:id="512" w:name="pg11757_135716"/>
    </w:p>
    <w:p>
      <w:pPr>
        <w:pStyle w:val="Heading3"/>
        <w:numPr>
          <w:ilvl w:val="2"/>
          <w:numId w:val="1"/>
        </w:numPr>
        <w:rPr/>
      </w:pPr>
      <w:bookmarkStart w:id="513" w:name="__RefHeading___Toc9696893_73709187"/>
      <w:bookmarkStart w:id="514" w:name="_Toc190"/>
      <w:bookmarkEnd w:id="512"/>
      <w:bookmarkEnd w:id="513"/>
      <w:r>
        <w:rPr>
          <w:rtl w:val="true"/>
        </w:rPr>
        <w:t>الفصل الحادی عشر</w:t>
      </w:r>
      <w:r>
        <w:rPr>
          <w:rtl w:val="true"/>
        </w:rPr>
        <w:t xml:space="preserve">: </w:t>
      </w:r>
      <w:r>
        <w:rPr>
          <w:rtl w:val="true"/>
        </w:rPr>
        <w:t>مزارعة الصبیّ</w:t>
      </w:r>
      <w:bookmarkEnd w:id="514"/>
    </w:p>
    <w:p>
      <w:pPr>
        <w:pStyle w:val="Heading4"/>
        <w:numPr>
          <w:ilvl w:val="3"/>
          <w:numId w:val="1"/>
        </w:numPr>
        <w:rPr/>
      </w:pPr>
      <w:bookmarkStart w:id="515" w:name="__RefHeading___Toc9696895_73709187"/>
      <w:bookmarkStart w:id="516" w:name="_Toc191"/>
      <w:bookmarkEnd w:id="515"/>
      <w:r>
        <w:rPr>
          <w:rtl w:val="true"/>
        </w:rPr>
        <w:t>المزارعة لغةً و اصطلاحاً</w:t>
      </w:r>
      <w:bookmarkEnd w:id="516"/>
    </w:p>
    <w:p>
      <w:pPr>
        <w:pStyle w:val="BookText"/>
        <w:rPr/>
      </w:pPr>
      <w:r>
        <w:rPr>
          <w:rFonts w:ascii="Amiri" w:hAnsi="Amiri" w:eastAsia="Amiri" w:cs="Amiri"/>
          <w:color w:val="111111"/>
          <w:sz w:val="28"/>
          <w:sz w:val="28"/>
          <w:szCs w:val="28"/>
          <w:rtl w:val="true"/>
          <w:lang w:bidi="ar-SA"/>
        </w:rPr>
        <w:t>الزرع هو طرح البذر فی الأرض و الإنبات،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زرعه اللّه، أی أنبته،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أَنْتُمْ تَزْرَعُونَهُ أَمْ نَحْنُ الزّارِعُونَ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المزرعة و المزدرع</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المزارعة من ذلک، و هی المعاملة علی الأرض ببعض ما یخرج</w:t>
      </w:r>
      <w:r>
        <w:rPr>
          <w:rStyle w:val="FootnoteAnchor"/>
          <w:rtl w:val="true"/>
        </w:rPr>
        <w:footnoteReference w:id="1816"/>
      </w:r>
      <w:r>
        <w:rPr>
          <w:rFonts w:ascii="IRNazanin" w:hAnsi="IRNazanin" w:eastAsia="IRNazanin"/>
          <w:color w:val="111111"/>
          <w:sz w:val="28"/>
          <w:sz w:val="28"/>
          <w:szCs w:val="28"/>
          <w:rtl w:val="true"/>
          <w:lang w:bidi="fa-IR"/>
        </w:rPr>
        <w:t>منها، و هذا المعنی هو المقصود منها عند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معاملة علی الأرض بحصّة من حاصلها</w:t>
      </w:r>
      <w:r>
        <w:rPr>
          <w:rFonts w:eastAsia="IRNazanin" w:cs="IRNazanin"/>
          <w:color w:val="111111"/>
          <w:sz w:val="28"/>
          <w:szCs w:val="28"/>
          <w:rtl w:val="true"/>
          <w:lang w:bidi="fa-IR"/>
        </w:rPr>
        <w:t>»</w:t>
      </w:r>
      <w:r>
        <w:rPr>
          <w:rStyle w:val="FootnoteAnchor"/>
          <w:rtl w:val="true"/>
        </w:rPr>
        <w:footnoteReference w:id="18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القواعد</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یمکن إثبات المفاعلة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أحد المتعاملین زارع</w:t>
      </w:r>
    </w:p>
    <w:p>
      <w:pPr>
        <w:pStyle w:val="BookText"/>
        <w:rPr/>
      </w:pPr>
      <w:r>
        <w:rPr>
          <w:rFonts w:ascii="IRNazanin" w:hAnsi="IRNazanin" w:eastAsia="IRNazanin"/>
          <w:color w:val="111111"/>
          <w:sz w:val="28"/>
          <w:sz w:val="28"/>
          <w:szCs w:val="28"/>
          <w:rtl w:val="true"/>
          <w:lang w:bidi="fa-IR"/>
        </w:rPr>
        <w:t>و الآخر آمر به، فکأنّه لذلک فاعل؛ نظراً إلی السببیّة</w:t>
      </w:r>
      <w:r>
        <w:rPr>
          <w:rFonts w:eastAsia="IRNazanin" w:cs="IRNazanin"/>
          <w:color w:val="111111"/>
          <w:sz w:val="28"/>
          <w:szCs w:val="28"/>
          <w:rtl w:val="true"/>
          <w:lang w:bidi="fa-IR"/>
        </w:rPr>
        <w:t>»</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 تحقّق المعنی اللغوی فیه باعتبار مباشرة أحدهما و أمر الآخر به</w:t>
      </w:r>
      <w:r>
        <w:rPr>
          <w:rFonts w:eastAsia="IRNazanin" w:cs="IRNazanin"/>
          <w:color w:val="111111"/>
          <w:sz w:val="28"/>
          <w:szCs w:val="28"/>
          <w:rtl w:val="true"/>
          <w:lang w:bidi="fa-IR"/>
        </w:rPr>
        <w:t>»</w:t>
      </w:r>
      <w:r>
        <w:rPr>
          <w:rStyle w:val="FootnoteAnchor"/>
          <w:rtl w:val="true"/>
        </w:rPr>
        <w:footnoteReference w:id="18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من العقود المشروعة بالنصّ‌</w:t>
      </w:r>
      <w:r>
        <w:rPr>
          <w:rStyle w:val="FootnoteAnchor"/>
          <w:rtl w:val="true"/>
        </w:rPr>
        <w:footnoteReference w:id="1821"/>
      </w:r>
      <w:r>
        <w:rPr>
          <w:rFonts w:ascii="IRNazanin" w:hAnsi="IRNazanin" w:eastAsia="IRNazanin"/>
          <w:color w:val="111111"/>
          <w:sz w:val="28"/>
          <w:sz w:val="28"/>
          <w:szCs w:val="28"/>
          <w:rtl w:val="true"/>
          <w:lang w:bidi="fa-IR"/>
        </w:rPr>
        <w:t>و الإجماع</w:t>
      </w:r>
      <w:r>
        <w:rPr>
          <w:rStyle w:val="FootnoteAnchor"/>
          <w:rtl w:val="true"/>
        </w:rPr>
        <w:footnoteReference w:id="1822"/>
      </w:r>
      <w:r>
        <w:rPr>
          <w:rFonts w:ascii="IRNazanin" w:hAnsi="IRNazanin" w:eastAsia="IRNazanin"/>
          <w:color w:val="111111"/>
          <w:sz w:val="28"/>
          <w:sz w:val="28"/>
          <w:szCs w:val="28"/>
          <w:rtl w:val="true"/>
          <w:lang w:bidi="fa-IR"/>
        </w:rPr>
        <w:t>، و هی لازمة</w:t>
      </w:r>
      <w:r>
        <w:rPr>
          <w:rStyle w:val="FootnoteAnchor"/>
          <w:rtl w:val="true"/>
        </w:rPr>
        <w:footnoteReference w:id="1823"/>
      </w:r>
      <w:r>
        <w:rPr>
          <w:rFonts w:ascii="IRNazanin" w:hAnsi="IRNazanin" w:eastAsia="IRNazanin"/>
          <w:color w:val="111111"/>
          <w:sz w:val="28"/>
          <w:sz w:val="28"/>
          <w:szCs w:val="28"/>
          <w:rtl w:val="true"/>
          <w:lang w:bidi="fa-IR"/>
        </w:rPr>
        <w:t>من الطرفین، فلا بدّ فیها من الإیجاب و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لزوم هذا العقد من الطرفین أمر متّفق علیه؛ و لأن الأصل فی العقود اللزوم</w:t>
      </w:r>
      <w:r>
        <w:rPr>
          <w:rFonts w:eastAsia="IRNazanin" w:cs="IRNazanin"/>
          <w:color w:val="111111"/>
          <w:sz w:val="28"/>
          <w:szCs w:val="28"/>
          <w:rtl w:val="true"/>
          <w:lang w:bidi="fa-IR"/>
        </w:rPr>
        <w:t>»</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البحث فی مزارعة الصبیّ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الصبیّ غیر ممیّز فلا إشکال فی بطلان مزارعته، کما صرّح به فی تحریر المجلّة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کان غیر عاقل مجنوناً أو غیر ممیّز فصیغته لغو؛ لأنّ کلّاً منهما مسلوب العبارة</w:t>
      </w:r>
      <w:r>
        <w:rPr>
          <w:rFonts w:eastAsia="IRNazanin" w:cs="IRNazanin"/>
          <w:color w:val="111111"/>
          <w:sz w:val="28"/>
          <w:szCs w:val="28"/>
          <w:rtl w:val="true"/>
          <w:lang w:bidi="fa-IR"/>
        </w:rPr>
        <w:t>»</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کان ممیّزاً ففیه قولان</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باطل، و قد صرّح به العلّامة، قال فی المختلف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مزارعة الصبیّ باطلة علی الأشهر</w:t>
      </w:r>
      <w:r>
        <w:rPr>
          <w:rFonts w:eastAsia="IRNazanin" w:cs="IRNazanin"/>
          <w:color w:val="111111"/>
          <w:sz w:val="28"/>
          <w:szCs w:val="28"/>
          <w:rtl w:val="true"/>
          <w:lang w:bidi="fa-IR"/>
        </w:rPr>
        <w:t>»</w:t>
      </w:r>
      <w:r>
        <w:rPr>
          <w:rStyle w:val="FootnoteAnchor"/>
          <w:rtl w:val="true"/>
        </w:rPr>
        <w:footnoteReference w:id="1826"/>
      </w:r>
      <w:r>
        <w:rPr>
          <w:rFonts w:ascii="IRNazanin" w:hAnsi="IRNazanin" w:eastAsia="IRNazanin"/>
          <w:color w:val="111111"/>
          <w:sz w:val="28"/>
          <w:sz w:val="28"/>
          <w:szCs w:val="28"/>
          <w:rtl w:val="true"/>
          <w:lang w:bidi="fa-IR"/>
        </w:rPr>
        <w:t>،</w:t>
      </w:r>
      <w:r>
        <w:rPr>
          <w:rStyle w:val="FootnoteAnchor"/>
          <w:rtl w:val="true"/>
        </w:rPr>
        <w:footnoteReference w:id="1827"/>
      </w:r>
      <w:r>
        <w:rPr>
          <w:rFonts w:ascii="IRNazanin" w:hAnsi="IRNazanin" w:eastAsia="IRNazanin"/>
          <w:color w:val="111111"/>
          <w:sz w:val="28"/>
          <w:sz w:val="28"/>
          <w:szCs w:val="28"/>
          <w:rtl w:val="true"/>
          <w:lang w:bidi="fa-IR"/>
        </w:rPr>
        <w:t>بل هو ما ذهب إلیه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بدّ أن یکونا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المتعاقدین فی المزارعة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التصرّف، فلا یصحّ عقد الصبیّ و لا المجنون و لا السفیه</w:t>
      </w:r>
      <w:r>
        <w:rPr>
          <w:rFonts w:eastAsia="IRNazanin" w:cs="IRNazanin"/>
          <w:color w:val="111111"/>
          <w:sz w:val="28"/>
          <w:szCs w:val="28"/>
          <w:rtl w:val="true"/>
          <w:lang w:bidi="fa-IR"/>
        </w:rPr>
        <w:t>»</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بدّ فی العقد من صدوره عن مکلّف جائز التصرّف</w:t>
      </w:r>
      <w:r>
        <w:rPr>
          <w:rFonts w:eastAsia="IRNazanin" w:cs="IRNazanin"/>
          <w:color w:val="111111"/>
          <w:sz w:val="28"/>
          <w:szCs w:val="28"/>
          <w:rtl w:val="true"/>
          <w:lang w:bidi="fa-IR"/>
        </w:rPr>
        <w:t>»</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مفتاح الکرامة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کلام القواعد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ممّا لا ریب فیه عندنا فی کلّ العقود، فلا یصحّ عقد الصبیّ و المجنون و السفیه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الکلام فی أنّ عبارة الصبیّ ملغاة و إن کان ممیّزاً</w:t>
      </w:r>
      <w:r>
        <w:rPr>
          <w:rFonts w:eastAsia="IRNazanin" w:cs="IRNazanin"/>
          <w:color w:val="111111"/>
          <w:sz w:val="28"/>
          <w:szCs w:val="28"/>
          <w:rtl w:val="true"/>
          <w:lang w:bidi="fa-IR"/>
        </w:rPr>
        <w:t>»</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یشترط فیها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 العقل</w:t>
      </w:r>
      <w:r>
        <w:rPr>
          <w:rFonts w:eastAsia="IRNazanin" w:cs="IRNazanin"/>
          <w:color w:val="111111"/>
          <w:sz w:val="28"/>
          <w:szCs w:val="28"/>
          <w:rtl w:val="true"/>
          <w:lang w:bidi="fa-IR"/>
        </w:rPr>
        <w:t>»</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یستفاد ذلک أیضاً من ظاهر کلام الآخرین</w:t>
      </w:r>
      <w:r>
        <w:rPr>
          <w:rStyle w:val="FootnoteAnchor"/>
          <w:rtl w:val="true"/>
        </w:rPr>
        <w:footnoteReference w:id="1832"/>
      </w:r>
      <w:r>
        <w:rPr>
          <w:rFonts w:ascii="IRNazanin" w:hAnsi="IRNazanin" w:eastAsia="IRNazanin"/>
          <w:color w:val="111111"/>
          <w:sz w:val="28"/>
          <w:sz w:val="28"/>
          <w:szCs w:val="28"/>
          <w:rtl w:val="true"/>
          <w:lang w:bidi="fa-IR"/>
        </w:rPr>
        <w:t>حیث اعتبروا فی عقد المزارعة ما اعتبر فی غیرها من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یعتبر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زائداً علی ما اعتبر فی المتعاقدین من البلوغ و العقل و القصد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w:t>
      </w:r>
      <w:r>
        <w:rPr>
          <w:rStyle w:val="FootnoteAnchor"/>
          <w:rtl w:val="true"/>
        </w:rPr>
        <w:footnoteReference w:id="1833"/>
      </w:r>
      <w:r>
        <w:rPr>
          <w:rFonts w:ascii="IRNazanin" w:hAnsi="IRNazanin" w:eastAsia="IRNazanin"/>
          <w:color w:val="111111"/>
          <w:sz w:val="28"/>
          <w:sz w:val="28"/>
          <w:szCs w:val="28"/>
          <w:rtl w:val="true"/>
          <w:lang w:bidi="fa-IR"/>
        </w:rPr>
        <w:t>، و کذا فی تفصیل الشریعة</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البلوغ و العقل من الشروط المعتبرة لکلّ عقد و معاملة، و تدلّ علی اعتبارهما، الأدلّة المتقدِّمة التی حرّرناها علی الوجه الأکمل فی البحث فی بیع الصبیّ، کظاهر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ابْتَلُوا الْیَتامی حَتّی إِذا بَلَغُوا النِّکاحَ فَإِنْ آنَسْتُمْ مِنْهُمْ رُشْداً فَادْفَعُوا إِلَیْهِمْ أَمْوالَهُمْ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النصوص التی تدلّ علی أنّه</w:t>
      </w:r>
    </w:p>
    <w:p>
      <w:pPr>
        <w:pStyle w:val="BookText"/>
        <w:rPr/>
      </w:pPr>
      <w:r>
        <w:rPr>
          <w:rFonts w:ascii="IRNazanin" w:hAnsi="IRNazanin" w:eastAsia="IRNazanin"/>
          <w:color w:val="111111"/>
          <w:sz w:val="28"/>
          <w:sz w:val="28"/>
          <w:szCs w:val="28"/>
          <w:rtl w:val="true"/>
          <w:lang w:bidi="fa-IR"/>
        </w:rPr>
        <w:t>لا یجوز أمر الصبیّ فی الشراء و البیع</w:t>
      </w:r>
      <w:r>
        <w:rPr>
          <w:rStyle w:val="FootnoteAnchor"/>
          <w:rtl w:val="true"/>
        </w:rPr>
        <w:footnoteReference w:id="18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یکون المراد من أمره تصرّفه القولیّ و الفعلیّ، و هذا معنی سلب عبارته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الإجماع و غیرها</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تقدّم الجواب عنها، و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غیر صریحة الدلالة علی المقصود، و عدم جواز الأمر فی النصوص ظاهر فی استقلاله فی التصرّف، و المتیقّن من الإجماع أیضاً کذلک، فلا ینافی جواز مزارعته مع إذن الولیّ و إجازته، و سنذکره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بعض آخر من الفقهاء من أنّه یصحّ مزارعة الصبیّ الممیّز إذا کان بإذن الولیّ و إجازته، و هو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البرّاج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مزارعة الصبیّ و العبد المأذون لهما فی التجارة بمنزلة الحرّ فی المزارعة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یبطل مزارعة العبد بحجر السیّد علیه، و کذلک الصبیّ بحجر أبیه علیه أو وصیّه بعد إذنهما له، و کذلک المعاملة فی الشّجر</w:t>
      </w:r>
      <w:r>
        <w:rPr>
          <w:rFonts w:eastAsia="IRNazanin" w:cs="IRNazanin"/>
          <w:color w:val="111111"/>
          <w:sz w:val="28"/>
          <w:szCs w:val="28"/>
          <w:rtl w:val="true"/>
          <w:lang w:bidi="fa-IR"/>
        </w:rPr>
        <w:t>»</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مجمع الفائدة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یبعد جواز بیعه و شرائه و سائر معاملاته إذا کان بصیراً ممیّزاً رشیداً یعرف نفعه و ضرره فی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له من إیقاع العقد، خصوصاً مع إذن الولیّ أو حضوره</w:t>
      </w:r>
      <w:r>
        <w:rPr>
          <w:rFonts w:eastAsia="IRNazanin" w:cs="IRNazanin"/>
          <w:color w:val="111111"/>
          <w:sz w:val="28"/>
          <w:szCs w:val="28"/>
          <w:rtl w:val="true"/>
          <w:lang w:bidi="fa-IR"/>
        </w:rPr>
        <w:t>»</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صرّح المحقّق آل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العاقدین عاقلین فی المزارعة شرط، و کونهما بالغین غیر شرط، فیجوز للصبیّ المأذون عقد المزارعة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ممیّزاً غیر بالغ فعبارته صحیحة، و لکن لا تنفذ</w:t>
      </w:r>
      <w:bookmarkStart w:id="517" w:name="pg11757_135720"/>
    </w:p>
    <w:p>
      <w:pPr>
        <w:pStyle w:val="BookText"/>
        <w:rPr/>
      </w:pPr>
      <w:bookmarkEnd w:id="517"/>
      <w:r>
        <w:rPr>
          <w:rFonts w:ascii="Amiri" w:hAnsi="Amiri" w:eastAsia="Amiri" w:cs="Amiri"/>
          <w:color w:val="111111"/>
          <w:sz w:val="28"/>
          <w:sz w:val="28"/>
          <w:szCs w:val="28"/>
          <w:rtl w:val="true"/>
          <w:lang w:bidi="ar-SA"/>
        </w:rPr>
        <w:t>عقوده إلاّ بإذن الولیّ</w:t>
      </w:r>
      <w:r>
        <w:rPr>
          <w:rFonts w:eastAsia="Amiri" w:cs="Amiri" w:ascii="Amiri" w:hAnsi="Amiri"/>
          <w:color w:val="111111"/>
          <w:sz w:val="28"/>
          <w:szCs w:val="28"/>
          <w:rtl w:val="true"/>
          <w:lang w:bidi="ar-SA"/>
        </w:rPr>
        <w:t>»</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یستفاد هذا القول أیضاً من ظاهر کلام کثیر من الأعلام</w:t>
      </w:r>
      <w:r>
        <w:rPr>
          <w:rStyle w:val="FootnoteAnchor"/>
          <w:rtl w:val="true"/>
        </w:rPr>
        <w:footnoteReference w:id="1840"/>
      </w:r>
      <w:r>
        <w:rPr>
          <w:rFonts w:ascii="IRNazanin" w:hAnsi="IRNazanin" w:eastAsia="IRNazanin"/>
          <w:color w:val="111111"/>
          <w:sz w:val="28"/>
          <w:sz w:val="28"/>
          <w:szCs w:val="28"/>
          <w:rtl w:val="true"/>
          <w:lang w:bidi="fa-IR"/>
        </w:rPr>
        <w:t>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یصحّ أن یکون الصبیّ الممیّز مباشراً لإجراء العقد مع إذن الولیّ بأن یکون وکیلاً عنه أو عن غیره، فیوقع العقد و یترتّب علیه الآثار إن کان جامعاً للشرائط الاُخری المعتبرة فیه، و قد ذکرنا کلماتهم فی البحث عن حکم مباشرة الصبیّ لإجراء العقد و الإیقاع، فراجع</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بالجملة، فالظاهر أنّه لا دلیل علی بطلان مزارعة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زارع أرضاً، بأن یدفع المالک أرضه إلیه مزارعة، أو دفع الصبیّ أرضه إلی غیره، بأن یزرعه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أذن له الولیّ إذناً خاصّاً فی المزارعة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رعایة المصلحة للصبیّ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لا یکون مستقلّاً فی المزارعة، بل تنسب إلی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 علیه الأدلّة المتقدّمة فی البحث عن جواز کون الصبیّ الممیّز مباشراً لإجراء العقد مع إذن الولیّ، و حرّرناها علی وجه مبسوط فلا نعیدها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ذکرنا فی المزارعة یأتی فی المساقاة أیضاً، و لا اختلاف بینهما فی ذلک</w:t>
      </w:r>
      <w:r>
        <w:rPr>
          <w:rFonts w:eastAsia="IRNazanin" w:cs="IRNazanin"/>
          <w:color w:val="111111"/>
          <w:sz w:val="28"/>
          <w:szCs w:val="28"/>
          <w:rtl w:val="true"/>
          <w:lang w:bidi="fa-IR"/>
        </w:rPr>
        <w:t>.</w:t>
      </w:r>
    </w:p>
    <w:p>
      <w:pPr>
        <w:pStyle w:val="Heading4"/>
        <w:numPr>
          <w:ilvl w:val="3"/>
          <w:numId w:val="1"/>
        </w:numPr>
        <w:rPr/>
      </w:pPr>
      <w:bookmarkStart w:id="518" w:name="__RefHeading___Toc9696897_73709187"/>
      <w:bookmarkStart w:id="519" w:name="_Toc192"/>
      <w:bookmarkEnd w:id="518"/>
      <w:r>
        <w:rPr>
          <w:rtl w:val="true"/>
        </w:rPr>
        <w:t xml:space="preserve">فرع </w:t>
      </w:r>
      <w:r>
        <w:rPr>
          <w:rtl w:val="true"/>
        </w:rPr>
        <w:t xml:space="preserve">- </w:t>
      </w:r>
      <w:r>
        <w:rPr>
          <w:rtl w:val="true"/>
        </w:rPr>
        <w:t>فی بیان حکم المزارعة الفاسدة</w:t>
      </w:r>
      <w:bookmarkEnd w:id="519"/>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دفع الصبیّ أرضه إلی العامل مزارعة أو دفع المالک إلیه أرضاً فزرعها</w:t>
      </w:r>
    </w:p>
    <w:p>
      <w:pPr>
        <w:pStyle w:val="BookText"/>
        <w:rPr/>
      </w:pPr>
      <w:r>
        <w:rPr>
          <w:rFonts w:ascii="IRNazanin" w:hAnsi="IRNazanin" w:eastAsia="IRNazanin"/>
          <w:color w:val="111111"/>
          <w:sz w:val="28"/>
          <w:sz w:val="28"/>
          <w:szCs w:val="28"/>
          <w:rtl w:val="true"/>
          <w:lang w:bidi="fa-IR"/>
        </w:rPr>
        <w:t xml:space="preserve">و قلنا بفساد مزارعة الصبیّ مطلقاً أو مع عدم إذن الولیّ، فالمشهور بین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الأقوی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کان البذر من مالک الأرض کانت الغلّة کلّها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تقتضیه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النماء تابع للبذر، سواء کان صبیّاً أو غیر صبیّ، و علیه للعامل و العوامل و الآلات اجرة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البذر من العامل فإنّ الخارج یکون کلّه له، و علیه لصاحب الأرض اجرة مثل أجره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البذر منهما فالحاصل بینهما علی نسبة الأصل، و لکلّ منهما علی الآخر اجرة مثل ما یخصّه علی نسبة ما للآخر من الحصّة، فلو کان البذر لهما بالنصف رجع المالک بنصف اجرة أرضه و العامل بنصف اجرة عمله و عوامله و آلاته، و علی هذا القیاس فی باقی الأقسام، کما فی المسالک</w:t>
      </w:r>
      <w:r>
        <w:rPr>
          <w:rStyle w:val="FootnoteAnchor"/>
          <w:rtl w:val="true"/>
        </w:rPr>
        <w:footnoteReference w:id="1842"/>
      </w:r>
      <w:r>
        <w:rPr>
          <w:rFonts w:ascii="IRNazanin" w:hAnsi="IRNazanin" w:eastAsia="IRNazanin"/>
          <w:color w:val="111111"/>
          <w:sz w:val="28"/>
          <w:sz w:val="28"/>
          <w:szCs w:val="28"/>
          <w:rtl w:val="true"/>
          <w:lang w:bidi="fa-IR"/>
        </w:rPr>
        <w:t>و التذکرة</w:t>
      </w:r>
      <w:r>
        <w:rPr>
          <w:rStyle w:val="FootnoteAnchor"/>
          <w:rtl w:val="true"/>
        </w:rPr>
        <w:footnoteReference w:id="1843"/>
      </w:r>
      <w:r>
        <w:rPr>
          <w:rFonts w:ascii="IRNazanin" w:hAnsi="IRNazanin" w:eastAsia="IRNazanin"/>
          <w:color w:val="111111"/>
          <w:sz w:val="28"/>
          <w:sz w:val="28"/>
          <w:szCs w:val="28"/>
          <w:rtl w:val="true"/>
          <w:lang w:bidi="fa-IR"/>
        </w:rPr>
        <w:t>و القواعد</w:t>
      </w:r>
      <w:r>
        <w:rPr>
          <w:rStyle w:val="FootnoteAnchor"/>
          <w:rtl w:val="true"/>
        </w:rPr>
        <w:footnoteReference w:id="1844"/>
      </w:r>
      <w:r>
        <w:rPr>
          <w:rFonts w:ascii="IRNazanin" w:hAnsi="IRNazanin" w:eastAsia="IRNazanin"/>
          <w:color w:val="111111"/>
          <w:sz w:val="28"/>
          <w:sz w:val="28"/>
          <w:szCs w:val="28"/>
          <w:rtl w:val="true"/>
          <w:lang w:bidi="fa-IR"/>
        </w:rPr>
        <w:t>و جامع المقاصد</w:t>
      </w:r>
      <w:r>
        <w:rPr>
          <w:rStyle w:val="FootnoteAnchor"/>
          <w:rtl w:val="true"/>
        </w:rPr>
        <w:footnoteReference w:id="1845"/>
      </w:r>
      <w:r>
        <w:rPr>
          <w:rFonts w:ascii="IRNazanin" w:hAnsi="IRNazanin" w:eastAsia="IRNazanin"/>
          <w:color w:val="111111"/>
          <w:sz w:val="28"/>
          <w:sz w:val="28"/>
          <w:szCs w:val="28"/>
          <w:rtl w:val="true"/>
          <w:lang w:bidi="fa-IR"/>
        </w:rPr>
        <w:t>و غیرها</w:t>
      </w:r>
      <w:r>
        <w:rPr>
          <w:rStyle w:val="FootnoteAnchor"/>
          <w:rtl w:val="true"/>
        </w:rPr>
        <w:footnoteReference w:id="1846"/>
      </w:r>
      <w:r>
        <w:rPr>
          <w:rFonts w:ascii="IRNazanin" w:hAnsi="IRNazanin" w:eastAsia="IRNazanin"/>
          <w:color w:val="111111"/>
          <w:sz w:val="28"/>
          <w:sz w:val="28"/>
          <w:szCs w:val="28"/>
          <w:rtl w:val="true"/>
          <w:lang w:bidi="fa-IR"/>
        </w:rPr>
        <w:t>، و به قال أعلام العصر</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مقابل المشهور قول بأنّ النّماء بینهما علی حسب ما اشترطاهُ، و هو لابن البرّاج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اشتری الصبیّ التاجر أرضاً، و حجر أبوه علیه، فدفعها مزارعة بالنصف إلی غیره یزرعها ببذره و عمله، فعمل علی ذلک</w:t>
      </w:r>
      <w:r>
        <w:rPr>
          <w:rFonts w:eastAsia="IRNazanin" w:cs="IRNazanin"/>
          <w:color w:val="111111"/>
          <w:sz w:val="28"/>
          <w:szCs w:val="28"/>
          <w:rtl w:val="true"/>
          <w:lang w:bidi="fa-IR"/>
        </w:rPr>
        <w:t>...</w:t>
      </w:r>
      <w:bookmarkStart w:id="520" w:name="pg11757_135722"/>
    </w:p>
    <w:p>
      <w:pPr>
        <w:pStyle w:val="BookText"/>
        <w:rPr/>
      </w:pPr>
      <w:bookmarkEnd w:id="520"/>
      <w:r>
        <w:rPr>
          <w:rFonts w:ascii="IRNazanin" w:hAnsi="IRNazanin" w:eastAsia="IRNazanin"/>
          <w:color w:val="111111"/>
          <w:sz w:val="28"/>
          <w:sz w:val="28"/>
          <w:szCs w:val="28"/>
          <w:rtl w:val="true"/>
          <w:lang w:bidi="fa-IR"/>
        </w:rPr>
        <w:t>کان الخارج بینهما علی شرطهما</w:t>
      </w:r>
      <w:r>
        <w:rPr>
          <w:rFonts w:eastAsia="IRNazanin" w:cs="IRNazanin"/>
          <w:color w:val="111111"/>
          <w:sz w:val="28"/>
          <w:szCs w:val="28"/>
          <w:rtl w:val="true"/>
          <w:lang w:bidi="fa-IR"/>
        </w:rPr>
        <w:t>»</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مفاد هذا الفرع یجری فی المساقاة أیضاً، قال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موضع تفسد فیه المساقاة فللعامل اجرة المثل، و الثمرة لصاحب الأصل</w:t>
      </w:r>
      <w:r>
        <w:rPr>
          <w:rFonts w:eastAsia="IRNazanin" w:cs="IRNazanin"/>
          <w:color w:val="111111"/>
          <w:sz w:val="28"/>
          <w:szCs w:val="28"/>
          <w:rtl w:val="true"/>
          <w:lang w:bidi="fa-IR"/>
        </w:rPr>
        <w:t>»</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کون الثمرة لصاحب الأصل فظاهر؛ لأنّها نماء ملکه، و لم یحصل ما یوجب نقلها عنه، و أمّا وجوب اجرة المثل فلأنّه لم یتبرّع و لم یحصل له العوض المشروط، فیرجع إلی الاُجرة، و یجب تقییده بما إذا کان جاهلاً بالفساد، و لم یکن الفساد باشتراط جمیع الثمرة للمالک؛ إذ لو کان عالماً به لکان متبرّعاً بالعمل؛ لأنّه بذل عمله فی مقابلة ما یعلم أنّه لا یحصل</w:t>
      </w:r>
      <w:r>
        <w:rPr>
          <w:rFonts w:eastAsia="IRNazanin" w:cs="IRNazanin"/>
          <w:color w:val="111111"/>
          <w:sz w:val="28"/>
          <w:szCs w:val="28"/>
          <w:rtl w:val="true"/>
          <w:lang w:bidi="fa-IR"/>
        </w:rPr>
        <w:t>»</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1" w:name="__RefHeading___Toc9696899_73709187"/>
      <w:bookmarkStart w:id="522" w:name="_Toc193"/>
      <w:bookmarkEnd w:id="521"/>
      <w:r>
        <w:rPr>
          <w:rtl w:val="true"/>
        </w:rPr>
        <w:t>مزارعة الصبیّ عند أهل السنّة</w:t>
      </w:r>
      <w:bookmarkEnd w:id="522"/>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اختلفوا فی شرعیّة المزارعة و عدمها، فجاء فی البدائع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غیر مشروعة، و به أخذ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مشروعة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قول 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عقد المزارعة استئجار ببعض الخارج و أنّه منهیّ بالنصّ و المعقول، أمّا النصّ فما روی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نخابر</w:t>
      </w:r>
      <w:r>
        <w:rPr>
          <w:rStyle w:val="FootnoteAnchor"/>
          <w:rtl w:val="true"/>
        </w:rPr>
        <w:footnoteReference w:id="1851"/>
      </w:r>
      <w:r>
        <w:rPr>
          <w:rFonts w:ascii="IRNazanin" w:hAnsi="IRNazanin" w:eastAsia="IRNazanin"/>
          <w:color w:val="111111"/>
          <w:sz w:val="28"/>
          <w:sz w:val="28"/>
          <w:szCs w:val="28"/>
          <w:rtl w:val="true"/>
          <w:lang w:bidi="fa-IR"/>
        </w:rPr>
        <w:t>و لا نری فی ذلک بأساً حتّی زعم رافع بن خدیج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نهی عن المزارعة، فترکناها لقول رافع</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الاستئجار ببعض الخارج من النصف و الثلث و الربع و نحوه استئجار ببدل مجهول، و أنّه لا یجوز کما فی الإجارة</w:t>
      </w:r>
      <w:r>
        <w:rPr>
          <w:rFonts w:eastAsia="IRNazanin" w:cs="IRNazanin"/>
          <w:color w:val="111111"/>
          <w:sz w:val="28"/>
          <w:szCs w:val="28"/>
          <w:rtl w:val="true"/>
          <w:lang w:bidi="fa-IR"/>
        </w:rPr>
        <w:t>»</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زارعه علی جزء مشاع من الغلّة،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زارعتک علی هذه الأرض علی أنّ لک نصف زرعها أو ثلثه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أرض بیضاء لا شجر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باطل عندنا، سواء کان البذر من مالک الأرض أو من العامل، و به قال ابن عمر و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و أبو 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جماعة من أهل العلم إلی أنّ ذلک صحیح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البذر من ربّ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و إن کان من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یجز</w:t>
      </w:r>
      <w:r>
        <w:rPr>
          <w:rFonts w:eastAsia="IRNazanin" w:cs="IRNazanin"/>
          <w:color w:val="111111"/>
          <w:sz w:val="28"/>
          <w:szCs w:val="28"/>
          <w:rtl w:val="true"/>
          <w:lang w:bidi="fa-IR"/>
        </w:rPr>
        <w:t>»</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المغنی و الشرح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جائزة فی قول کثیر من أهل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أجازها الشافعی فی الأرض بین النخیل إذا کان بیاض الأرض أقلّ، فإن کان أکثر فعلی وجهین، و منعها فی الأرض البیضاء</w:t>
      </w:r>
      <w:r>
        <w:rPr>
          <w:rFonts w:eastAsia="IRNazanin" w:cs="IRNazanin"/>
          <w:color w:val="111111"/>
          <w:sz w:val="28"/>
          <w:szCs w:val="28"/>
          <w:rtl w:val="true"/>
          <w:lang w:bidi="fa-IR"/>
        </w:rPr>
        <w:t>»</w:t>
      </w:r>
      <w:r>
        <w:rPr>
          <w:rStyle w:val="FootnoteAnchor"/>
          <w:rtl w:val="true"/>
        </w:rPr>
        <w:footnoteReference w:id="18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المهذّب</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الشرائط ففی البدائع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الذی یرجع إلی المزارع فنوعان</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عاقلاً فلا تصحّ مزارعة المجنون و الصبیّ الذی لا یعقل المزارعة دفعاً واحداً؛ لأنّ العقل شرط أهلیّة التصرّفات، و أمّا البلوغ فلیس بشرط لجواز المزارعة حتّی تجوز مزارعة الصبیّ المأذون دفعاً واحداً؛ لأنّ المزارعة استئجار ببعض الخارج و الصبیّ المأذون یملک الإجارة؛ لأنّها تجارة</w:t>
      </w:r>
    </w:p>
    <w:p>
      <w:pPr>
        <w:pStyle w:val="BookText"/>
        <w:rPr/>
      </w:pPr>
      <w:r>
        <w:rPr>
          <w:rFonts w:ascii="IRNazanin" w:hAnsi="IRNazanin" w:eastAsia="IRNazanin"/>
          <w:color w:val="111111"/>
          <w:sz w:val="28"/>
          <w:sz w:val="28"/>
          <w:szCs w:val="28"/>
          <w:rtl w:val="true"/>
          <w:lang w:bidi="fa-IR"/>
        </w:rPr>
        <w:t>فیملک المزارعة</w:t>
      </w:r>
      <w:r>
        <w:rPr>
          <w:rStyle w:val="FootnoteAnchor"/>
          <w:rtl w:val="true"/>
        </w:rPr>
        <w:footnoteReference w:id="1857"/>
      </w:r>
      <w:r>
        <w:rPr>
          <w:rFonts w:ascii="IRNazanin" w:hAnsi="IRNazanin" w:eastAsia="IRNazanin"/>
          <w:color w:val="111111"/>
          <w:sz w:val="28"/>
          <w:sz w:val="28"/>
          <w:szCs w:val="28"/>
          <w:rtl w:val="true"/>
          <w:lang w:bidi="fa-IR"/>
        </w:rPr>
        <w:t>، إلی آخر کلامه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درر الحکّام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أن یکون العاقدان فی المزارعة عاقلین و لا یشترط بلوغهما، فلذلک یجوز للمأذون عقد المزارعة</w:t>
      </w:r>
      <w:r>
        <w:rPr>
          <w:rFonts w:eastAsia="IRNazanin" w:cs="IRNazanin"/>
          <w:color w:val="111111"/>
          <w:sz w:val="28"/>
          <w:szCs w:val="28"/>
          <w:rtl w:val="true"/>
          <w:lang w:bidi="fa-IR"/>
        </w:rPr>
        <w:t>»</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bookmarkStart w:id="523" w:name="pg11757_135728"/>
    </w:p>
    <w:p>
      <w:pPr>
        <w:pStyle w:val="Heading3"/>
        <w:numPr>
          <w:ilvl w:val="2"/>
          <w:numId w:val="1"/>
        </w:numPr>
        <w:rPr/>
      </w:pPr>
      <w:bookmarkStart w:id="524" w:name="__RefHeading___Toc9696901_73709187"/>
      <w:bookmarkStart w:id="525" w:name="_Toc194"/>
      <w:bookmarkEnd w:id="523"/>
      <w:bookmarkEnd w:id="524"/>
      <w:r>
        <w:rPr>
          <w:rtl w:val="true"/>
        </w:rPr>
        <w:t>الفصل الثانی عشر</w:t>
      </w:r>
      <w:r>
        <w:rPr>
          <w:rtl w:val="true"/>
        </w:rPr>
        <w:t xml:space="preserve">: </w:t>
      </w:r>
      <w:r>
        <w:rPr>
          <w:rtl w:val="true"/>
        </w:rPr>
        <w:t>ودیعة الصبیّ</w:t>
      </w:r>
      <w:bookmarkEnd w:id="525"/>
    </w:p>
    <w:p>
      <w:pPr>
        <w:pStyle w:val="Heading4"/>
        <w:numPr>
          <w:ilvl w:val="3"/>
          <w:numId w:val="1"/>
        </w:numPr>
        <w:rPr/>
      </w:pPr>
      <w:bookmarkStart w:id="526" w:name="__RefHeading___Toc9696903_73709187"/>
      <w:bookmarkStart w:id="527" w:name="_Toc195"/>
      <w:bookmarkEnd w:id="526"/>
      <w:r>
        <w:rPr>
          <w:rtl w:val="true"/>
        </w:rPr>
        <w:t>الودیعة لغةً و شرعاً</w:t>
      </w:r>
      <w:bookmarkEnd w:id="527"/>
    </w:p>
    <w:p>
      <w:pPr>
        <w:pStyle w:val="BookText"/>
        <w:rPr/>
      </w:pPr>
      <w:r>
        <w:rPr>
          <w:rFonts w:ascii="IRNazanin" w:hAnsi="IRNazanin" w:eastAsia="IRNazanin"/>
          <w:color w:val="111111"/>
          <w:sz w:val="28"/>
          <w:sz w:val="28"/>
          <w:szCs w:val="28"/>
          <w:rtl w:val="true"/>
          <w:lang w:bidi="fa-IR"/>
        </w:rPr>
        <w:t>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فعیلة بمعنی مفعولة، و أودعت زیداً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دفعته إلیه لیکون عنده ودیعةً، و جمعها ودائع، و اشتقاقها من الدّعة، و هی الرّاحة، أو أخذته منه ودیعةً، فیکون الفعل من الأضداد لکن الفعل فی الدّفع أشهر</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مجمع البحرین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الودیعة واحدة الودائع، فعیلة بمعنی مفعولة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استنابة فی الحفظ،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أودعته مالاً، أی دفعته إلیه، یکون ودیعة عنده، استحفظته إیّاها</w:t>
      </w:r>
      <w:r>
        <w:rPr>
          <w:rFonts w:eastAsia="IRNazanin" w:cs="IRNazanin"/>
          <w:color w:val="111111"/>
          <w:sz w:val="28"/>
          <w:szCs w:val="28"/>
          <w:rtl w:val="true"/>
          <w:lang w:bidi="fa-IR"/>
        </w:rPr>
        <w:t>»</w:t>
      </w:r>
      <w:r>
        <w:rPr>
          <w:rStyle w:val="FootnoteAnchor"/>
          <w:rtl w:val="true"/>
        </w:rPr>
        <w:footnoteReference w:id="18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لسان العرب</w:t>
      </w:r>
      <w:r>
        <w:rPr>
          <w:rStyle w:val="FootnoteAnchor"/>
          <w:rtl w:val="true"/>
        </w:rPr>
        <w:footnoteReference w:id="1861"/>
      </w:r>
      <w:r>
        <w:rPr>
          <w:rFonts w:ascii="IRNazanin" w:hAnsi="IRNazanin" w:eastAsia="IRNazanin"/>
          <w:color w:val="111111"/>
          <w:sz w:val="28"/>
          <w:sz w:val="28"/>
          <w:szCs w:val="28"/>
          <w:rtl w:val="true"/>
          <w:lang w:bidi="fa-IR"/>
        </w:rPr>
        <w:t>و الصحاح</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فی عرف اللغویّین، و أمّا عند الفقهاء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یفید الاستنابة فی الحفظ، کما فی القواعد</w:t>
      </w:r>
      <w:r>
        <w:rPr>
          <w:rStyle w:val="FootnoteAnchor"/>
          <w:rtl w:val="true"/>
        </w:rPr>
        <w:footnoteReference w:id="1863"/>
      </w:r>
      <w:r>
        <w:rPr>
          <w:rFonts w:ascii="IRNazanin" w:hAnsi="IRNazanin" w:eastAsia="IRNazanin"/>
          <w:color w:val="111111"/>
          <w:sz w:val="28"/>
          <w:sz w:val="28"/>
          <w:szCs w:val="28"/>
          <w:rtl w:val="true"/>
          <w:lang w:bidi="fa-IR"/>
        </w:rPr>
        <w:t>، و کذا فی التذکرة</w:t>
      </w:r>
      <w:r>
        <w:rPr>
          <w:rStyle w:val="FootnoteAnchor"/>
          <w:rtl w:val="true"/>
        </w:rPr>
        <w:footnoteReference w:id="1864"/>
      </w:r>
      <w:r>
        <w:rPr>
          <w:rFonts w:ascii="IRNazanin" w:hAnsi="IRNazanin" w:eastAsia="IRNazanin"/>
          <w:color w:val="111111"/>
          <w:sz w:val="28"/>
          <w:sz w:val="28"/>
          <w:szCs w:val="28"/>
          <w:rtl w:val="true"/>
          <w:lang w:bidi="fa-IR"/>
        </w:rPr>
        <w:t>، و اختاره فی جامع المقاصد</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الأصحّ ما جاء فی الریاض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 استنابة فی الاحتفاظ خاصة، فخرج نحو الوکالة و المضاربة و الإجارة؛ لأنّها استنابة فیه مع شیء زائد، و هو التصرّف، بل هو المقصود بالذات منها دون الاستنابة بعکس الودیعة؛ لکونها المقصود بالذّات فیها دون أمر آخر</w:t>
      </w:r>
      <w:r>
        <w:rPr>
          <w:rFonts w:eastAsia="IRNazanin" w:cs="IRNazanin"/>
          <w:color w:val="111111"/>
          <w:sz w:val="28"/>
          <w:szCs w:val="28"/>
          <w:rtl w:val="true"/>
          <w:lang w:bidi="fa-IR"/>
        </w:rPr>
        <w:t>»</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الخوئی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من العقود الجائزة و مفادها الائتمان فی الحفظ</w:t>
      </w:r>
      <w:r>
        <w:rPr>
          <w:rFonts w:eastAsia="IRNazanin" w:cs="IRNazanin"/>
          <w:color w:val="111111"/>
          <w:sz w:val="28"/>
          <w:szCs w:val="28"/>
          <w:rtl w:val="true"/>
          <w:lang w:bidi="fa-IR"/>
        </w:rPr>
        <w:t>»</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اتّفق الفقهاء علی أنّها مشروعة، و ادّعی علیه الإجماع فی الغنیة</w:t>
      </w:r>
      <w:r>
        <w:rPr>
          <w:rStyle w:val="FootnoteAnchor"/>
          <w:rtl w:val="true"/>
        </w:rPr>
        <w:footnoteReference w:id="1868"/>
      </w:r>
      <w:r>
        <w:rPr>
          <w:rFonts w:ascii="IRNazanin" w:hAnsi="IRNazanin" w:eastAsia="IRNazanin"/>
          <w:color w:val="111111"/>
          <w:sz w:val="28"/>
          <w:sz w:val="28"/>
          <w:szCs w:val="28"/>
          <w:rtl w:val="true"/>
          <w:lang w:bidi="fa-IR"/>
        </w:rPr>
        <w:t>و المهذّب البارع</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أجمع المسلمون کافّةً علی جوازها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جائزة من الطرفین</w:t>
      </w:r>
      <w:r>
        <w:rPr>
          <w:rFonts w:eastAsia="IRNazanin" w:cs="IRNazanin"/>
          <w:color w:val="111111"/>
          <w:sz w:val="28"/>
          <w:szCs w:val="28"/>
          <w:rtl w:val="true"/>
          <w:lang w:bidi="fa-IR"/>
        </w:rPr>
        <w:t>»</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مجمع الفائدة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لا خلاف فی کونه عقداً جائزاً غیر لازم</w:t>
      </w:r>
      <w:r>
        <w:rPr>
          <w:rFonts w:eastAsia="IRNazanin" w:cs="IRNazanin"/>
          <w:color w:val="111111"/>
          <w:sz w:val="28"/>
          <w:szCs w:val="28"/>
          <w:rtl w:val="true"/>
          <w:lang w:bidi="fa-IR"/>
        </w:rPr>
        <w:t>»</w:t>
      </w:r>
      <w:r>
        <w:rPr>
          <w:rStyle w:val="FootnoteAnchor"/>
          <w:rtl w:val="true"/>
        </w:rPr>
        <w:footnoteReference w:id="18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الکفایة</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مفتاح الکرامة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ضروریّ</w:t>
      </w:r>
      <w:r>
        <w:rPr>
          <w:rFonts w:eastAsia="IRNazanin" w:cs="IRNazanin"/>
          <w:color w:val="111111"/>
          <w:sz w:val="28"/>
          <w:szCs w:val="28"/>
          <w:rtl w:val="true"/>
          <w:lang w:bidi="fa-IR"/>
        </w:rPr>
        <w:t>»</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المناهل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الودیعة عقد یتوقّف علی الإیجاب و القبول و رضا الطرفین، فلیست من الإیقاعات التی تصحّ بمجرد رضا واحد کالطلاق</w:t>
      </w:r>
      <w:r>
        <w:rPr>
          <w:rFonts w:eastAsia="IRNazanin" w:cs="IRNazanin"/>
          <w:color w:val="111111"/>
          <w:sz w:val="28"/>
          <w:szCs w:val="28"/>
          <w:rtl w:val="true"/>
          <w:lang w:bidi="fa-IR"/>
        </w:rPr>
        <w:t>»</w:t>
      </w:r>
      <w:r>
        <w:rPr>
          <w:rStyle w:val="FootnoteAnchor"/>
          <w:rtl w:val="true"/>
        </w:rPr>
        <w:footnoteReference w:id="1874"/>
      </w:r>
      <w:r>
        <w:rPr>
          <w:rFonts w:ascii="IRNazanin" w:hAnsi="IRNazanin" w:eastAsia="IRNazanin"/>
          <w:color w:val="111111"/>
          <w:sz w:val="28"/>
          <w:sz w:val="28"/>
          <w:szCs w:val="28"/>
          <w:rtl w:val="true"/>
          <w:lang w:bidi="fa-IR"/>
        </w:rPr>
        <w:t>، و یقال</w:t>
      </w:r>
    </w:p>
    <w:p>
      <w:pPr>
        <w:pStyle w:val="BookText"/>
        <w:rPr/>
      </w:pPr>
      <w:r>
        <w:rPr>
          <w:rFonts w:ascii="IRNazanin" w:hAnsi="IRNazanin" w:eastAsia="IRNazanin"/>
          <w:color w:val="111111"/>
          <w:sz w:val="28"/>
          <w:sz w:val="28"/>
          <w:szCs w:val="28"/>
          <w:rtl w:val="true"/>
          <w:lang w:bidi="fa-IR"/>
        </w:rPr>
        <w:t>لصاحب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المودع، و لذلک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الودعی و المستودع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الودیعة جائزة من الطرفین، فللمالک استرداد ماله متی شاء، و للمستودع ردّه کذلک، و لیس للمودع الامتناع من 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فسخها المستودع عند نفسه انفسخت و زالت الأمانة المالکیّة، و صار عنده أمانة شرعیّة، فیجب علیه ردّه إلی مالکه أو من یقوم مقامه، أو إعلامه بالفسخ، فلو أهمل لا لعذر شرعیّ أو عقلیّ ضمن</w:t>
      </w:r>
      <w:r>
        <w:rPr>
          <w:rFonts w:eastAsia="IRNazanin" w:cs="IRNazanin"/>
          <w:color w:val="111111"/>
          <w:sz w:val="28"/>
          <w:szCs w:val="28"/>
          <w:rtl w:val="true"/>
          <w:lang w:bidi="fa-IR"/>
        </w:rPr>
        <w:t>»</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خلاف فی أنّه یشترط فی عقد الودیعة أن یکون المتعاقدان عاقلین 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التحریر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بدّ فی العاقدین من التکلیف</w:t>
      </w:r>
      <w:r>
        <w:rPr>
          <w:rFonts w:eastAsia="IRNazanin" w:cs="IRNazanin"/>
          <w:color w:val="111111"/>
          <w:sz w:val="28"/>
          <w:szCs w:val="28"/>
          <w:rtl w:val="true"/>
          <w:lang w:bidi="fa-IR"/>
        </w:rPr>
        <w:t>»</w:t>
      </w:r>
      <w:r>
        <w:rPr>
          <w:rStyle w:val="FootnoteAnchor"/>
          <w:rtl w:val="true"/>
        </w:rPr>
        <w:footnoteReference w:id="18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القواعد</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فی المستودع و المودع التکلیف، فلا یصحّ الإیداع إلّا من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فی المستودع، فلا یصحّ الإیداع إلّا عند مکلّف</w:t>
      </w:r>
      <w:r>
        <w:rPr>
          <w:rFonts w:eastAsia="IRNazanin" w:cs="IRNazanin"/>
          <w:color w:val="111111"/>
          <w:sz w:val="28"/>
          <w:szCs w:val="28"/>
          <w:rtl w:val="true"/>
          <w:lang w:bidi="fa-IR"/>
        </w:rPr>
        <w:t>»</w:t>
      </w:r>
      <w:r>
        <w:rPr>
          <w:rStyle w:val="FootnoteAnchor"/>
          <w:rtl w:val="true"/>
        </w:rPr>
        <w:footnoteReference w:id="18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مجمع الفائدة</w:t>
      </w:r>
      <w:r>
        <w:rPr>
          <w:rStyle w:val="FootnoteAnchor"/>
          <w:rtl w:val="true"/>
        </w:rPr>
        <w:footnoteReference w:id="1879"/>
      </w:r>
      <w:r>
        <w:rPr>
          <w:rFonts w:ascii="IRNazanin" w:hAnsi="IRNazanin" w:eastAsia="IRNazanin"/>
          <w:color w:val="111111"/>
          <w:sz w:val="28"/>
          <w:sz w:val="28"/>
          <w:szCs w:val="28"/>
          <w:rtl w:val="true"/>
          <w:lang w:bidi="fa-IR"/>
        </w:rPr>
        <w:t>و جامع المقاصد</w:t>
      </w:r>
      <w:r>
        <w:rPr>
          <w:rStyle w:val="FootnoteAnchor"/>
          <w:rtl w:val="true"/>
        </w:rPr>
        <w:footnoteReference w:id="1880"/>
      </w:r>
      <w:r>
        <w:rPr>
          <w:rFonts w:ascii="IRNazanin" w:hAnsi="IRNazanin" w:eastAsia="IRNazanin"/>
          <w:color w:val="111111"/>
          <w:sz w:val="28"/>
          <w:sz w:val="28"/>
          <w:szCs w:val="28"/>
          <w:rtl w:val="true"/>
          <w:lang w:bidi="fa-IR"/>
        </w:rPr>
        <w:t>و غیرهما</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اشتراط البلوغ فی عقد الودیعة ممّا لا ریب فیه و لذلک ترک معظم الفقهاء التصریح به کما فی مفتاح الکرامة</w:t>
      </w:r>
      <w:r>
        <w:rPr>
          <w:rStyle w:val="FootnoteAnchor"/>
          <w:rtl w:val="true"/>
        </w:rPr>
        <w:footnoteReference w:id="1882"/>
      </w:r>
      <w:r>
        <w:rPr>
          <w:rFonts w:ascii="Amiri" w:hAnsi="Amiri" w:eastAsia="Amiri" w:cs="Amiri"/>
          <w:color w:val="111111"/>
          <w:sz w:val="28"/>
          <w:sz w:val="28"/>
          <w:szCs w:val="28"/>
          <w:rtl w:val="true"/>
          <w:lang w:bidi="ar-SA"/>
        </w:rPr>
        <w:t>؛ لأنّ الصبیّ لیس أهلاً للتصرّف حتّی یکون مودعاً و لیس علیه تکلیف حتّی یحفظ الودیعة فلا یترتّب علی</w:t>
      </w:r>
      <w:bookmarkStart w:id="528" w:name="pg11757_135731"/>
    </w:p>
    <w:p>
      <w:pPr>
        <w:pStyle w:val="BookText"/>
        <w:rPr/>
      </w:pPr>
      <w:bookmarkEnd w:id="528"/>
      <w:r>
        <w:rPr>
          <w:rFonts w:ascii="IRNazanin" w:hAnsi="IRNazanin" w:eastAsia="IRNazanin"/>
          <w:color w:val="111111"/>
          <w:sz w:val="28"/>
          <w:sz w:val="28"/>
          <w:szCs w:val="28"/>
          <w:rtl w:val="true"/>
          <w:lang w:bidi="fa-IR"/>
        </w:rPr>
        <w:t>إیداعه أو استیداعه الأثر المترقّب فی 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المستودع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استحفاظ، و الصبیّ و المجنون لیسا من أهل الحفظ</w:t>
      </w:r>
      <w:r>
        <w:rPr>
          <w:rFonts w:eastAsia="IRNazanin" w:cs="IRNazanin"/>
          <w:color w:val="111111"/>
          <w:sz w:val="28"/>
          <w:szCs w:val="28"/>
          <w:rtl w:val="true"/>
          <w:lang w:bidi="fa-IR"/>
        </w:rPr>
        <w:t>»</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المستودع حفظ الودیعة بعد قبولها، 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استودع و قبل ذلک وجب علیه الحفظ بلا خلاف أجده، بل یمکن تحصیل الإجماع علیه، مضافاً إلی ما فی عدمه من الخیانة المحرّمة کتاباً و عقلاً و سنّة متواترة، و إجماعاً بقسمیه، و إلی کونه مقدّمة لوجوب أداء الأمانة و ردّها إلی مالکها</w:t>
      </w:r>
      <w:r>
        <w:rPr>
          <w:rFonts w:eastAsia="IRNazanin" w:cs="IRNazanin"/>
          <w:color w:val="111111"/>
          <w:sz w:val="28"/>
          <w:szCs w:val="28"/>
          <w:rtl w:val="true"/>
          <w:lang w:bidi="fa-IR"/>
        </w:rPr>
        <w:t>»</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الروضة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قبل الودیعة قولاً أو فعلاً وجب علیه الحفظ ما دام مستودعاً، و کذا بعده إلی أن یؤدّی إلی المالک، أو من فی حکمه</w:t>
      </w:r>
      <w:r>
        <w:rPr>
          <w:rFonts w:eastAsia="IRNazanin" w:cs="IRNazanin"/>
          <w:color w:val="111111"/>
          <w:sz w:val="28"/>
          <w:szCs w:val="28"/>
          <w:rtl w:val="true"/>
          <w:lang w:bidi="fa-IR"/>
        </w:rPr>
        <w:t>»</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حیث إنّ الصبیّ لا إلزام علیه بمقتضی حدیث الرفع فلا یترتّب علی استیداعه أثر الودیعة، و هکذا یعتبر فی الودیعة رضی الطرفین، و لا اعتبار برضی الصبیّ، فلا تصحّ ودیعته، سواء کان مودعاً أو مستودعاً</w:t>
      </w:r>
      <w:r>
        <w:rPr>
          <w:rFonts w:eastAsia="IRNazanin" w:cs="IRNazanin"/>
          <w:color w:val="111111"/>
          <w:sz w:val="28"/>
          <w:szCs w:val="28"/>
          <w:rtl w:val="true"/>
          <w:lang w:bidi="fa-IR"/>
        </w:rPr>
        <w:t>.</w:t>
      </w:r>
    </w:p>
    <w:p>
      <w:pPr>
        <w:pStyle w:val="Heading4"/>
        <w:numPr>
          <w:ilvl w:val="3"/>
          <w:numId w:val="1"/>
        </w:numPr>
        <w:rPr/>
      </w:pPr>
      <w:bookmarkStart w:id="529" w:name="__RefHeading___Toc9696905_73709187"/>
      <w:bookmarkStart w:id="530" w:name="_Toc196"/>
      <w:bookmarkEnd w:id="529"/>
      <w:r>
        <w:rPr>
          <w:rtl w:val="true"/>
        </w:rPr>
        <w:t>إیضاح</w:t>
      </w:r>
      <w:bookmarkEnd w:id="530"/>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الحکم بعدم صحّة ودیعة الطفل و المجنون و أنّه یعتبر الکمال فی طرفی عقدها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علم الإذن اکتفی فی الودیعة حینئذٍ بفعل المرسل لهما فی أیدیهما، بناءً علی الاکتفاء بمثل ذلک فیها؛ لعدم اعتبار مقارنة</w:t>
      </w:r>
      <w:bookmarkStart w:id="531" w:name="pg11757_135732"/>
    </w:p>
    <w:p>
      <w:pPr>
        <w:pStyle w:val="BookText"/>
        <w:rPr/>
      </w:pPr>
      <w:bookmarkEnd w:id="531"/>
      <w:r>
        <w:rPr>
          <w:rFonts w:ascii="IRNazanin" w:hAnsi="IRNazanin" w:eastAsia="IRNazanin"/>
          <w:color w:val="111111"/>
          <w:sz w:val="28"/>
          <w:sz w:val="28"/>
          <w:szCs w:val="28"/>
          <w:rtl w:val="true"/>
          <w:lang w:bidi="fa-IR"/>
        </w:rPr>
        <w:t xml:space="preserve">القبول فیها للإیجاب، و إلّا فإنشاء عقد الودیعة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عنهما أو عن 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Style w:val="FootnoteAnchor"/>
          <w:rtl w:val="true"/>
        </w:rPr>
        <w:footnoteReference w:id="1887"/>
      </w:r>
      <w:r>
        <w:rPr>
          <w:rFonts w:ascii="IRNazanin" w:hAnsi="IRNazanin" w:eastAsia="IRNazanin"/>
          <w:color w:val="111111"/>
          <w:sz w:val="28"/>
          <w:sz w:val="28"/>
          <w:szCs w:val="28"/>
          <w:rtl w:val="true"/>
          <w:lang w:bidi="fa-IR"/>
        </w:rPr>
        <w:t>أنّه یصحّ أن یکون الصبیّ الممیّز مباشراً للعقد و لا یعتبر أن یکون العاقد بالغاً، و فی المقام یصحّ أن یکون الصبیّ مباشراً بکلا طرفی عقد الودیعة بإذن ولیّه، بحیث یکون الإیداع و الاستیداع حقیقة للولیّ و الصبیّ مجریاً للعقد فقط، و هکذا یصحّ أن یکون الصبیّ مأذوناً فی الإیداع أو قبول الودیعة بحیث یکون ما یترتّب علیها من وجوب الحفظ و ردّها إلی صاحبها و غیر ذلک علی الولیّ</w:t>
      </w:r>
      <w:r>
        <w:rPr>
          <w:rFonts w:eastAsia="IRNazanin" w:cs="IRNazanin"/>
          <w:color w:val="111111"/>
          <w:sz w:val="28"/>
          <w:szCs w:val="28"/>
          <w:rtl w:val="true"/>
          <w:lang w:bidi="fa-IR"/>
        </w:rPr>
        <w:t>.</w:t>
      </w:r>
    </w:p>
    <w:p>
      <w:pPr>
        <w:pStyle w:val="Heading4"/>
        <w:numPr>
          <w:ilvl w:val="3"/>
          <w:numId w:val="1"/>
        </w:numPr>
        <w:rPr/>
      </w:pPr>
      <w:bookmarkStart w:id="532" w:name="__RefHeading___Toc9696907_73709187"/>
      <w:bookmarkStart w:id="533" w:name="_Toc197"/>
      <w:bookmarkEnd w:id="532"/>
      <w:r>
        <w:rPr>
          <w:rtl w:val="true"/>
        </w:rPr>
        <w:t>إیداع الصبیّ یوجب ضمان المستودع</w:t>
      </w:r>
      <w:bookmarkEnd w:id="533"/>
    </w:p>
    <w:p>
      <w:pPr>
        <w:pStyle w:val="Heading5"/>
        <w:numPr>
          <w:ilvl w:val="4"/>
          <w:numId w:val="1"/>
        </w:numPr>
        <w:rPr/>
      </w:pPr>
      <w:bookmarkStart w:id="534" w:name="__RefHeading___Toc9696909_73709187"/>
      <w:bookmarkStart w:id="535" w:name="_Toc198"/>
      <w:bookmarkEnd w:id="534"/>
      <w:r>
        <w:rPr>
          <w:rtl w:val="true"/>
        </w:rPr>
        <w:t>اشارة</w:t>
      </w:r>
      <w:bookmarkEnd w:id="535"/>
    </w:p>
    <w:p>
      <w:pPr>
        <w:pStyle w:val="BookText"/>
        <w:rPr/>
      </w:pPr>
      <w:r>
        <w:rPr>
          <w:rFonts w:ascii="IRNazanin" w:hAnsi="IRNazanin" w:eastAsia="IRNazanin"/>
          <w:color w:val="111111"/>
          <w:sz w:val="28"/>
          <w:sz w:val="28"/>
          <w:szCs w:val="28"/>
          <w:rtl w:val="true"/>
          <w:lang w:bidi="fa-IR"/>
        </w:rPr>
        <w:t>اعلم أنّ الأصل فی الودیعة أنّها أمانة محضة، فلا یضمن بدون التعدّی أو التفریط، 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یلزمه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المستودع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درکها لو تلفت من غیر تعدّ فیها و لا تفریط أو اخذت منه قهراً، بلا خلاف أجده فیه، بل الإجماع بقسمیه علیه، مضافاً إلی الأصل، و قاعدة الایتمان المعلوم من الکتاب و السنّة و الإجماع</w:t>
      </w:r>
      <w:r>
        <w:rPr>
          <w:rFonts w:eastAsia="IRNazanin" w:cs="IRNazanin"/>
          <w:color w:val="111111"/>
          <w:sz w:val="28"/>
          <w:szCs w:val="28"/>
          <w:rtl w:val="true"/>
          <w:lang w:bidi="fa-IR"/>
        </w:rPr>
        <w:t>»</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إذا أودع الصبیّ ودیعة عند بالغ فلا یجوز قبولها، فإن قبلها یضمن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فرّط أو لم یفرّط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علیه ردّها إلی ولیّه، و الظاهر أنّه لا خلاف بینهم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صبیّ أودع ودیعة عند رجل یلزمه الضمان؛ لأنّ دفع الصبیّ لا حکم له، فلمّا لم یکن له حکم فقد أخذها ممّن لیس له الأخذ منه، فإن أراد ردّها إلی الصبیّ لم یزل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یردّها علی ولیّ الصبیّ فإنّه یزول بهذا الردّ الضمان</w:t>
      </w:r>
      <w:r>
        <w:rPr>
          <w:rFonts w:eastAsia="IRNazanin" w:cs="IRNazanin"/>
          <w:color w:val="111111"/>
          <w:sz w:val="28"/>
          <w:szCs w:val="28"/>
          <w:rtl w:val="true"/>
          <w:lang w:bidi="fa-IR"/>
        </w:rPr>
        <w:t>»</w:t>
      </w:r>
      <w:r>
        <w:rPr>
          <w:rStyle w:val="FootnoteAnchor"/>
          <w:rtl w:val="true"/>
        </w:rPr>
        <w:footnoteReference w:id="18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السرائر</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تصحّ ودیعة الطفل و لا المجنون، و یضمن القابض، و لا یبرأ بردّها إلیهما</w:t>
      </w:r>
      <w:r>
        <w:rPr>
          <w:rFonts w:eastAsia="IRNazanin" w:cs="IRNazanin"/>
          <w:color w:val="111111"/>
          <w:sz w:val="28"/>
          <w:szCs w:val="28"/>
          <w:rtl w:val="true"/>
          <w:lang w:bidi="fa-IR"/>
        </w:rPr>
        <w:t>»</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یجز له قبوله منهما، فإن قبله و أخذه من أحدهما ضمن، و لا یزول الضمان إلاّ بالردّ إلی الناظر فی أمرهما</w:t>
      </w:r>
      <w:r>
        <w:rPr>
          <w:rFonts w:eastAsia="IRNazanin" w:cs="IRNazanin"/>
          <w:color w:val="111111"/>
          <w:sz w:val="28"/>
          <w:szCs w:val="28"/>
          <w:rtl w:val="true"/>
          <w:lang w:bidi="fa-IR"/>
        </w:rPr>
        <w:t>»</w:t>
      </w:r>
      <w:r>
        <w:rPr>
          <w:rStyle w:val="FootnoteAnchor"/>
          <w:rtl w:val="true"/>
        </w:rPr>
        <w:footnoteReference w:id="18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التحریر</w:t>
      </w:r>
      <w:r>
        <w:rPr>
          <w:rStyle w:val="FootnoteAnchor"/>
          <w:rtl w:val="true"/>
        </w:rPr>
        <w:footnoteReference w:id="1893"/>
      </w:r>
      <w:r>
        <w:rPr>
          <w:rFonts w:ascii="IRNazanin" w:hAnsi="IRNazanin" w:eastAsia="IRNazanin"/>
          <w:color w:val="111111"/>
          <w:sz w:val="28"/>
          <w:sz w:val="28"/>
          <w:szCs w:val="28"/>
          <w:rtl w:val="true"/>
          <w:lang w:bidi="fa-IR"/>
        </w:rPr>
        <w:t>و الإرشاد</w:t>
      </w:r>
      <w:r>
        <w:rPr>
          <w:rStyle w:val="FootnoteAnchor"/>
          <w:rtl w:val="true"/>
        </w:rPr>
        <w:footnoteReference w:id="1894"/>
      </w:r>
      <w:r>
        <w:rPr>
          <w:rFonts w:ascii="Amiri" w:hAnsi="Amiri" w:eastAsia="Amiri" w:cs="Amiri"/>
          <w:color w:val="111111"/>
          <w:sz w:val="28"/>
          <w:sz w:val="28"/>
          <w:szCs w:val="28"/>
          <w:rtl w:val="true"/>
          <w:lang w:bidi="ar-SA"/>
        </w:rPr>
        <w:t>و مجمع الفائدة</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وجوب ردّه عموم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w:t>
      </w:r>
      <w:r>
        <w:rPr>
          <w:rStyle w:val="FootnoteAnchor"/>
          <w:rtl w:val="true"/>
        </w:rPr>
        <w:footnoteReference w:id="1896"/>
      </w:r>
      <w:r>
        <w:rPr>
          <w:rFonts w:ascii="IRNazanin" w:hAnsi="IRNazanin" w:eastAsia="IRNazanin"/>
          <w:color w:val="111111"/>
          <w:sz w:val="28"/>
          <w:sz w:val="28"/>
          <w:szCs w:val="28"/>
          <w:rtl w:val="true"/>
          <w:lang w:bidi="fa-IR"/>
        </w:rPr>
        <w:t>، و 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تؤدّیه</w:t>
      </w:r>
      <w:r>
        <w:rPr>
          <w:rFonts w:eastAsia="IRNazanin" w:cs="IRNazanin"/>
          <w:color w:val="111111"/>
          <w:sz w:val="28"/>
          <w:szCs w:val="28"/>
          <w:rtl w:val="true"/>
          <w:lang w:bidi="fa-IR"/>
        </w:rPr>
        <w:t>»</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لأنّهما لیسا أهلاً للإذن فیکون وضع ید المستودع علی مالهما بغیر إذن شرعی، فیضمن، کما فی الروضة</w:t>
      </w:r>
      <w:r>
        <w:rPr>
          <w:rStyle w:val="FootnoteAnchor"/>
          <w:rtl w:val="true"/>
        </w:rPr>
        <w:footnoteReference w:id="18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فی المسالک، و أضاف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w:t>
      </w:r>
      <w:bookmarkStart w:id="536" w:name="pg11757_135734"/>
    </w:p>
    <w:p>
      <w:pPr>
        <w:pStyle w:val="BookText"/>
        <w:rPr/>
      </w:pPr>
      <w:bookmarkEnd w:id="536"/>
      <w:r>
        <w:rPr>
          <w:rFonts w:ascii="IRNazanin" w:hAnsi="IRNazanin" w:eastAsia="IRNazanin"/>
          <w:color w:val="111111"/>
          <w:sz w:val="28"/>
          <w:sz w:val="28"/>
          <w:szCs w:val="28"/>
          <w:rtl w:val="true"/>
          <w:lang w:bidi="fa-IR"/>
        </w:rPr>
        <w:t>ذلک بین أن یکون المال لهما أو لغیرهما و إن ادّعیا إذن المالک لهما فی الإیداع</w:t>
      </w:r>
      <w:r>
        <w:rPr>
          <w:rFonts w:eastAsia="IRNazanin" w:cs="IRNazanin"/>
          <w:color w:val="111111"/>
          <w:sz w:val="28"/>
          <w:szCs w:val="28"/>
          <w:rtl w:val="true"/>
          <w:lang w:bidi="fa-IR"/>
        </w:rPr>
        <w:t>»</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إطلاق الحکم فی کلام جملة منهم یشمل ما لو علم تلفها فی أیدیهما و عدمه، کما فی مفتاح الکرامة</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حیث إنّ الصبیّ و المجنون محجور علیهما، فلا تبرأ ذمّة المستودع بالرّد إلیهما، و إنّما تبرأ بالرّد إلی ولیّهما الخاصّ أو العامّ مع تعذّره</w:t>
      </w:r>
      <w:r>
        <w:rPr>
          <w:rFonts w:eastAsia="IRNazanin" w:cs="IRNazanin"/>
          <w:color w:val="111111"/>
          <w:sz w:val="28"/>
          <w:szCs w:val="28"/>
          <w:rtl w:val="true"/>
          <w:lang w:bidi="fa-IR"/>
        </w:rPr>
        <w:t>.</w:t>
      </w:r>
    </w:p>
    <w:p>
      <w:pPr>
        <w:pStyle w:val="Heading5"/>
        <w:numPr>
          <w:ilvl w:val="4"/>
          <w:numId w:val="1"/>
        </w:numPr>
        <w:rPr/>
      </w:pPr>
      <w:bookmarkStart w:id="537" w:name="__RefHeading___Toc9696911_73709187"/>
      <w:bookmarkStart w:id="538" w:name="_Toc199"/>
      <w:bookmarkEnd w:id="537"/>
      <w:r>
        <w:rPr>
          <w:rtl w:val="true"/>
        </w:rPr>
        <w:t>عدم ضمان المستودع إذا خاف التّلف</w:t>
      </w:r>
      <w:bookmarkEnd w:id="538"/>
    </w:p>
    <w:p>
      <w:pPr>
        <w:pStyle w:val="BookText"/>
        <w:rPr/>
      </w:pPr>
      <w:r>
        <w:rPr>
          <w:rFonts w:ascii="IRNazanin" w:hAnsi="IRNazanin" w:eastAsia="IRNazanin"/>
          <w:color w:val="111111"/>
          <w:sz w:val="28"/>
          <w:sz w:val="28"/>
          <w:szCs w:val="28"/>
          <w:rtl w:val="true"/>
          <w:lang w:bidi="fa-IR"/>
        </w:rPr>
        <w:t>ما تقدّم من ضمانة المستودع مشروط بالصورة الّتی لم یخف تلف الودیعة، أمّا لو علم تلفها إن کان فی ید الصبیّ و المجنون فقد صرّح جماعة من الفقهاء بعدم ضمانه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خاف هلاکه فأخذه منهما إرفاقاً لهما و نظراً فی مصلحتهما علی وجه الحسبة صوناً له، فالأقرب عدم الضمان</w:t>
      </w:r>
      <w:r>
        <w:rPr>
          <w:rFonts w:eastAsia="IRNazanin" w:cs="IRNazanin"/>
          <w:color w:val="111111"/>
          <w:sz w:val="28"/>
          <w:szCs w:val="28"/>
          <w:rtl w:val="true"/>
          <w:lang w:bidi="fa-IR"/>
        </w:rPr>
        <w:t>»</w:t>
      </w:r>
      <w:r>
        <w:rPr>
          <w:rStyle w:val="FootnoteAnchor"/>
          <w:rtl w:val="true"/>
        </w:rPr>
        <w:footnoteReference w:id="1901"/>
      </w:r>
      <w:r>
        <w:rPr>
          <w:rFonts w:ascii="IRNazanin" w:hAnsi="IRNazanin" w:eastAsia="IRNazanin"/>
          <w:color w:val="111111"/>
          <w:sz w:val="28"/>
          <w:sz w:val="28"/>
          <w:szCs w:val="28"/>
          <w:rtl w:val="true"/>
          <w:lang w:bidi="fa-IR"/>
        </w:rPr>
        <w:t>، و قوّاه فی المسالک، و 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یجب علیه مراجعة الولیّ فی ذلک</w:t>
      </w:r>
      <w:r>
        <w:rPr>
          <w:rFonts w:eastAsia="IRNazanin" w:cs="IRNazanin"/>
          <w:color w:val="111111"/>
          <w:sz w:val="28"/>
          <w:szCs w:val="28"/>
          <w:rtl w:val="true"/>
          <w:lang w:bidi="fa-IR"/>
        </w:rPr>
        <w:t>»</w:t>
      </w:r>
      <w:r>
        <w:rPr>
          <w:rStyle w:val="FootnoteAnchor"/>
          <w:rtl w:val="true"/>
        </w:rPr>
        <w:footnoteReference w:id="19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الروضة</w:t>
      </w:r>
      <w:r>
        <w:rPr>
          <w:rStyle w:val="FootnoteAnchor"/>
          <w:rtl w:val="true"/>
        </w:rPr>
        <w:footnoteReference w:id="1903"/>
      </w:r>
      <w:r>
        <w:rPr>
          <w:rFonts w:ascii="IRNazanin" w:hAnsi="IRNazanin" w:eastAsia="IRNazanin"/>
          <w:color w:val="111111"/>
          <w:sz w:val="28"/>
          <w:sz w:val="28"/>
          <w:szCs w:val="28"/>
          <w:rtl w:val="true"/>
          <w:lang w:bidi="fa-IR"/>
        </w:rPr>
        <w:t>و مفتاح الکرامة</w:t>
      </w:r>
      <w:r>
        <w:rPr>
          <w:rStyle w:val="FootnoteAnchor"/>
          <w:rtl w:val="true"/>
        </w:rPr>
        <w:footnoteReference w:id="1904"/>
      </w:r>
      <w:r>
        <w:rPr>
          <w:rFonts w:ascii="IRNazanin" w:hAnsi="IRNazanin" w:eastAsia="IRNazanin"/>
          <w:color w:val="111111"/>
          <w:sz w:val="28"/>
          <w:sz w:val="28"/>
          <w:szCs w:val="28"/>
          <w:rtl w:val="true"/>
          <w:lang w:bidi="fa-IR"/>
        </w:rPr>
        <w:t>و الکفایة</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لا بأس بأخذه إذا خیف هلاکه و تلفه فی یدهما، فیؤخذ بعنوان الحسبة فی الحفظ، و لکن لا یصیر بذلک ودیعة و أمانةً</w:t>
      </w:r>
      <w:bookmarkStart w:id="539" w:name="pg11757_135735"/>
    </w:p>
    <w:p>
      <w:pPr>
        <w:pStyle w:val="BookText"/>
        <w:rPr/>
      </w:pPr>
      <w:bookmarkEnd w:id="539"/>
      <w:r>
        <w:rPr>
          <w:rFonts w:ascii="IRNazanin" w:hAnsi="IRNazanin" w:eastAsia="IRNazanin"/>
          <w:color w:val="111111"/>
          <w:sz w:val="28"/>
          <w:sz w:val="28"/>
          <w:szCs w:val="28"/>
          <w:rtl w:val="true"/>
          <w:lang w:bidi="fa-IR"/>
        </w:rPr>
        <w:t>مالکیّة، بل تکون أمانة شرعیّة، یجب علیه حفظها و المبادرة إلی إیصالها إلی ولیّهما أو إعلامه بکونها عنده، و لیس علیه ضمان لو تلفت فی یده</w:t>
      </w:r>
      <w:r>
        <w:rPr>
          <w:rFonts w:eastAsia="IRNazanin" w:cs="IRNazanin"/>
          <w:color w:val="111111"/>
          <w:sz w:val="28"/>
          <w:szCs w:val="28"/>
          <w:rtl w:val="true"/>
          <w:lang w:bidi="fa-IR"/>
        </w:rPr>
        <w:t>»</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الدلیل علی عدم ضمانه أنّه أخذها بنیّة الحسبة فی الحفظ، فلا یضمن؛ لما عرفت من أنّه محسن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عَلَی الْمُحْسِنِینَ مِنْ سَبِیلٍ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جامع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یحتمل ضعیفاً الضمان؛ لأنّه استولی علی مال غیره بغیر إذن، و یردّه أنّ الإذن ثابت بالشرع، فإنّ ذلک من الاُمور الحسبیّة</w:t>
      </w:r>
      <w:r>
        <w:rPr>
          <w:rFonts w:eastAsia="IRNazanin" w:cs="IRNazanin"/>
          <w:color w:val="111111"/>
          <w:sz w:val="28"/>
          <w:szCs w:val="28"/>
          <w:rtl w:val="true"/>
          <w:lang w:bidi="fa-IR"/>
        </w:rPr>
        <w:t>»</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استشکل فی الجواهر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الإحسان لا یرفع الضمان</w:t>
      </w:r>
      <w:r>
        <w:rPr>
          <w:rFonts w:eastAsia="IRNazanin" w:cs="IRNazanin"/>
          <w:color w:val="111111"/>
          <w:sz w:val="28"/>
          <w:szCs w:val="28"/>
          <w:rtl w:val="true"/>
          <w:lang w:bidi="fa-IR"/>
        </w:rPr>
        <w:t>»</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09"/>
      </w:r>
      <w:r>
        <w:rPr>
          <w:rFonts w:ascii="IRNazanin" w:hAnsi="IRNazanin" w:eastAsia="IRNazanin"/>
          <w:color w:val="111111"/>
          <w:sz w:val="28"/>
          <w:sz w:val="28"/>
          <w:szCs w:val="28"/>
          <w:rtl w:val="true"/>
          <w:lang w:bidi="fa-IR"/>
        </w:rPr>
        <w:t xml:space="preserve">و ممّا ذکرنا ظهر ما فیه، فإنّه لا معنی للإذن الشرعیّ بالقبض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 بالضمان خصوصاً مع عدم التعدّی أو التفریط</w:t>
      </w:r>
      <w:r>
        <w:rPr>
          <w:rFonts w:eastAsia="IRNazanin" w:cs="IRNazanin"/>
          <w:color w:val="111111"/>
          <w:sz w:val="28"/>
          <w:szCs w:val="28"/>
          <w:rtl w:val="true"/>
          <w:lang w:bidi="fa-IR"/>
        </w:rPr>
        <w:t>.</w:t>
      </w:r>
    </w:p>
    <w:p>
      <w:pPr>
        <w:pStyle w:val="Heading5"/>
        <w:numPr>
          <w:ilvl w:val="4"/>
          <w:numId w:val="1"/>
        </w:numPr>
        <w:rPr/>
      </w:pPr>
      <w:bookmarkStart w:id="540" w:name="__RefHeading___Toc9696913_73709187"/>
      <w:bookmarkStart w:id="541" w:name="_Toc200"/>
      <w:bookmarkEnd w:id="540"/>
      <w:r>
        <w:rPr>
          <w:rtl w:val="true"/>
        </w:rPr>
        <w:t>عدم ضمان الصبیّ بتلف الودیعة</w:t>
      </w:r>
      <w:bookmarkEnd w:id="541"/>
    </w:p>
    <w:p>
      <w:pPr>
        <w:pStyle w:val="BookText"/>
        <w:rPr/>
      </w:pPr>
      <w:r>
        <w:rPr>
          <w:rFonts w:ascii="IRNazanin" w:hAnsi="IRNazanin" w:eastAsia="IRNazanin"/>
          <w:color w:val="111111"/>
          <w:sz w:val="28"/>
          <w:sz w:val="28"/>
          <w:szCs w:val="28"/>
          <w:rtl w:val="true"/>
          <w:lang w:bidi="fa-IR"/>
        </w:rPr>
        <w:t>تقدّم أنّ التکلیف شرط فی المودع و المستودع، فلو أودع المکلّف مالاً عند الصبیّ فتلف فلا ضمان علیه و إن فرّط فی حفظه، و الظاهر أنّه لا خلاف فی ذلک أیضاً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قد أودع ودیعة عند صبیّ و تلفت فی یده، فهل یلزمه</w:t>
      </w:r>
    </w:p>
    <w:p>
      <w:pPr>
        <w:pStyle w:val="BookText"/>
        <w:rPr/>
      </w:pPr>
      <w:r>
        <w:rPr>
          <w:rFonts w:ascii="IRNazanin" w:hAnsi="IRNazanin" w:eastAsia="IRNazanin"/>
          <w:color w:val="111111"/>
          <w:sz w:val="28"/>
          <w:sz w:val="28"/>
          <w:szCs w:val="28"/>
          <w:rtl w:val="true"/>
          <w:lang w:bidi="fa-IR"/>
        </w:rPr>
        <w:t>الضمان؟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لا یلزمه الضمان، و هو الأقوی</w:t>
      </w:r>
      <w:r>
        <w:rPr>
          <w:rFonts w:eastAsia="IRNazanin" w:cs="IRNazanin"/>
          <w:color w:val="111111"/>
          <w:sz w:val="28"/>
          <w:szCs w:val="28"/>
          <w:rtl w:val="true"/>
          <w:lang w:bidi="fa-IR"/>
        </w:rPr>
        <w:t>»</w:t>
      </w:r>
      <w:r>
        <w:rPr>
          <w:rStyle w:val="FootnoteAnchor"/>
          <w:rtl w:val="true"/>
        </w:rPr>
        <w:footnoteReference w:id="19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السرائر</w:t>
      </w:r>
      <w:r>
        <w:rPr>
          <w:rStyle w:val="FootnoteAnchor"/>
          <w:rtl w:val="true"/>
        </w:rPr>
        <w:footnoteReference w:id="1911"/>
      </w:r>
      <w:r>
        <w:rPr>
          <w:rFonts w:ascii="IRNazanin" w:hAnsi="IRNazanin" w:eastAsia="IRNazanin"/>
          <w:color w:val="111111"/>
          <w:sz w:val="28"/>
          <w:sz w:val="28"/>
          <w:szCs w:val="28"/>
          <w:rtl w:val="true"/>
          <w:lang w:bidi="fa-IR"/>
        </w:rPr>
        <w:t>و الشرائع</w:t>
      </w:r>
      <w:r>
        <w:rPr>
          <w:rStyle w:val="FootnoteAnchor"/>
          <w:rtl w:val="true"/>
        </w:rPr>
        <w:footnoteReference w:id="1912"/>
      </w:r>
      <w:r>
        <w:rPr>
          <w:rFonts w:ascii="IRNazanin" w:hAnsi="IRNazanin" w:eastAsia="IRNazanin"/>
          <w:color w:val="111111"/>
          <w:sz w:val="28"/>
          <w:sz w:val="28"/>
          <w:szCs w:val="28"/>
          <w:rtl w:val="true"/>
          <w:lang w:bidi="fa-IR"/>
        </w:rPr>
        <w:t>و التذکرة</w:t>
      </w:r>
      <w:r>
        <w:rPr>
          <w:rStyle w:val="FootnoteAnchor"/>
          <w:rtl w:val="true"/>
        </w:rPr>
        <w:footnoteReference w:id="1913"/>
      </w:r>
      <w:r>
        <w:rPr>
          <w:rFonts w:ascii="IRNazanin" w:hAnsi="IRNazanin" w:eastAsia="IRNazanin"/>
          <w:color w:val="111111"/>
          <w:sz w:val="28"/>
          <w:sz w:val="28"/>
          <w:szCs w:val="28"/>
          <w:rtl w:val="true"/>
          <w:lang w:bidi="fa-IR"/>
        </w:rPr>
        <w:t>و القواعد</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أودع الصبیّ ففرّط فیها لم یضمن</w:t>
      </w:r>
      <w:r>
        <w:rPr>
          <w:rFonts w:eastAsia="IRNazanin" w:cs="IRNazanin"/>
          <w:color w:val="111111"/>
          <w:sz w:val="28"/>
          <w:szCs w:val="28"/>
          <w:rtl w:val="true"/>
          <w:lang w:bidi="fa-IR"/>
        </w:rPr>
        <w:t>»</w:t>
      </w:r>
      <w:r>
        <w:rPr>
          <w:rStyle w:val="FootnoteAnchor"/>
          <w:rtl w:val="true"/>
        </w:rPr>
        <w:footnoteReference w:id="19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الإرشاد، و اختاره فی جامع المقاصد</w:t>
      </w:r>
      <w:r>
        <w:rPr>
          <w:rStyle w:val="FootnoteAnchor"/>
          <w:rtl w:val="true"/>
        </w:rPr>
        <w:footnoteReference w:id="1916"/>
      </w:r>
      <w:r>
        <w:rPr>
          <w:rFonts w:ascii="Amiri" w:hAnsi="Amiri" w:eastAsia="Amiri" w:cs="Amiri"/>
          <w:color w:val="111111"/>
          <w:sz w:val="28"/>
          <w:sz w:val="28"/>
          <w:szCs w:val="28"/>
          <w:rtl w:val="true"/>
          <w:lang w:bidi="ar-SA"/>
        </w:rPr>
        <w:t>و مجمع الفائدة</w:t>
      </w:r>
      <w:r>
        <w:rPr>
          <w:rStyle w:val="FootnoteAnchor"/>
          <w:rtl w:val="true"/>
        </w:rPr>
        <w:footnoteReference w:id="1917"/>
      </w:r>
      <w:r>
        <w:rPr>
          <w:rFonts w:ascii="IRNazanin" w:hAnsi="IRNazanin" w:eastAsia="IRNazanin"/>
          <w:color w:val="111111"/>
          <w:sz w:val="28"/>
          <w:sz w:val="28"/>
          <w:szCs w:val="28"/>
          <w:rtl w:val="true"/>
          <w:lang w:bidi="fa-IR"/>
        </w:rPr>
        <w:t>و مفتاح الکرامة</w:t>
      </w:r>
      <w:r>
        <w:rPr>
          <w:rStyle w:val="FootnoteAnchor"/>
          <w:rtl w:val="true"/>
        </w:rPr>
        <w:footnoteReference w:id="1918"/>
      </w:r>
      <w:r>
        <w:rPr>
          <w:rFonts w:ascii="IRNazanin" w:hAnsi="IRNazanin" w:eastAsia="IRNazanin"/>
          <w:color w:val="111111"/>
          <w:sz w:val="28"/>
          <w:sz w:val="28"/>
          <w:szCs w:val="28"/>
          <w:rtl w:val="true"/>
          <w:lang w:bidi="fa-IR"/>
        </w:rPr>
        <w:t>و غیرها</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أنّ المودع فی الحقیقة هو متلف لماله بإیداعه للصبیّ و تسلیطه علی ماله من لا یجب علیه الحفظ و أداء الأمانة</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استودعا لم یضمنا بالإهمال؛ لأنّ المودع لهما متلف ماله، أی سبب فی إتلافه حیث أودعه من لا یکلّف بحفظه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علّة تقریبیّة، فإنّ من دفع ماله إلی مکلّف یعلم أنّه یتلفه یکون متلفاً لماله مع أنّ قابضه یضمنه، و الأولی فی 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الضمان باعتبار إهمالهما إنّما یثبت حیث یجب </w:t>
      </w:r>
      <w:r>
        <w:rPr>
          <w:rStyle w:val="FootnoteAnchor"/>
          <w:rtl w:val="true"/>
        </w:rPr>
        <w:footnoteReference w:id="1920"/>
      </w:r>
    </w:p>
    <w:p>
      <w:pPr>
        <w:pStyle w:val="BookText"/>
        <w:rPr/>
      </w:pPr>
      <w:r>
        <w:rPr>
          <w:rFonts w:ascii="IRNazanin" w:hAnsi="IRNazanin" w:eastAsia="IRNazanin"/>
          <w:color w:val="111111"/>
          <w:sz w:val="28"/>
          <w:sz w:val="28"/>
          <w:szCs w:val="28"/>
          <w:rtl w:val="true"/>
          <w:lang w:bidi="fa-IR"/>
        </w:rPr>
        <w:t>الحفظ، و الوجوب لا یتعلّق بهما، لأنّه من خطاب الشرع المختصّ بالمکلّفین، و لا یعارضه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w:t>
      </w:r>
      <w:r>
        <w:rPr>
          <w:rStyle w:val="FootnoteAnchor"/>
          <w:rtl w:val="true"/>
        </w:rPr>
        <w:footnoteReference w:id="1921"/>
      </w: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وجوب الدفع و التکلیف بالردّ، فیکون مختصّاً بالمکلّف</w:t>
      </w:r>
      <w:r>
        <w:rPr>
          <w:rFonts w:eastAsia="IRNazanin" w:cs="IRNazanin"/>
          <w:color w:val="111111"/>
          <w:sz w:val="28"/>
          <w:szCs w:val="28"/>
          <w:rtl w:val="true"/>
          <w:lang w:bidi="fa-IR"/>
        </w:rPr>
        <w:t>»</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سیأتی فی باب الغصب تصریح بعضهم بأنّ هذا یکون من خطاب الوضع لا التکلیف، و التحقیق فیه فی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 فی الجواهر علی ما فی المسالک و أجاب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دلیل علی ضمانهما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الصبیّ و المجنون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بعد ظهور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الفرض بسبب تفریط المالک</w:t>
      </w:r>
      <w:r>
        <w:rPr>
          <w:rFonts w:eastAsia="IRNazanin" w:cs="IRNazanin"/>
          <w:color w:val="111111"/>
          <w:sz w:val="28"/>
          <w:szCs w:val="28"/>
          <w:rtl w:val="true"/>
          <w:lang w:bidi="fa-IR"/>
        </w:rPr>
        <w:t>»</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جامع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تلفت فی یده بالتقصیر یجب أن یضمن، لعموم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لهذا لو وضع یده عدواناً فتلفت العین فی یده یضمن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یفرّق بین وضع یده عدواناً، و بین ما إذا کان الوضع بإذن المالک و تسلیطه؛ إذ لا عدوان و هو ظاهر، و لا تقصیر؛ لعدم وجوب الحفظ علیه حینئذٍ</w:t>
      </w:r>
      <w:r>
        <w:rPr>
          <w:rFonts w:eastAsia="IRNazanin" w:cs="IRNazanin"/>
          <w:color w:val="111111"/>
          <w:sz w:val="28"/>
          <w:szCs w:val="28"/>
          <w:rtl w:val="true"/>
          <w:lang w:bidi="fa-IR"/>
        </w:rPr>
        <w:t>»</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فالظاهر أنّه لا خلاف بینهم فی أنّه لو تلفت الودیعة عند الصبیّ و لو بإهماله فی حفظها فلا ضمان علیه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قال فی تحریر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الصبیّ ممیّزاً صالحاً للاستیمان لا یبعد</w:t>
      </w:r>
    </w:p>
    <w:p>
      <w:pPr>
        <w:pStyle w:val="BookText"/>
        <w:rPr/>
      </w:pPr>
      <w:r>
        <w:rPr>
          <w:rFonts w:ascii="IRNazanin" w:hAnsi="IRNazanin" w:eastAsia="IRNazanin"/>
          <w:color w:val="111111"/>
          <w:sz w:val="28"/>
          <w:sz w:val="28"/>
          <w:szCs w:val="28"/>
          <w:rtl w:val="true"/>
          <w:lang w:bidi="fa-IR"/>
        </w:rPr>
        <w:t>ضمانه مع التلف مع تفریطه فی الحفظ‌</w:t>
      </w:r>
      <w:r>
        <w:rPr>
          <w:rStyle w:val="FootnoteAnchor"/>
          <w:rtl w:val="true"/>
        </w:rPr>
        <w:footnoteReference w:id="1925"/>
      </w:r>
      <w:r>
        <w:rPr>
          <w:rFonts w:ascii="IRNazanin" w:hAnsi="IRNazanin" w:eastAsia="IRNazanin"/>
          <w:color w:val="111111"/>
          <w:sz w:val="28"/>
          <w:sz w:val="28"/>
          <w:szCs w:val="28"/>
          <w:rtl w:val="true"/>
          <w:lang w:bidi="fa-IR"/>
        </w:rPr>
        <w:t>، و لم نعرف له 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أتلفها الصبیّ فهل یضمن أم لا؟ فیه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 إلیه جماعة من الفقهاء من أنّه یضمن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الظاهر من المبسوط‌</w:t>
      </w:r>
      <w:r>
        <w:rPr>
          <w:rStyle w:val="FootnoteAnchor"/>
          <w:rtl w:val="true"/>
        </w:rPr>
        <w:footnoteReference w:id="1926"/>
      </w:r>
      <w:r>
        <w:rPr>
          <w:rFonts w:ascii="IRNazanin" w:hAnsi="IRNazanin" w:eastAsia="IRNazanin"/>
          <w:color w:val="111111"/>
          <w:sz w:val="28"/>
          <w:sz w:val="28"/>
          <w:szCs w:val="28"/>
          <w:rtl w:val="true"/>
          <w:lang w:bidi="fa-IR"/>
        </w:rPr>
        <w:t>و الشرائع</w:t>
      </w:r>
      <w:r>
        <w:rPr>
          <w:rStyle w:val="FootnoteAnchor"/>
          <w:rtl w:val="true"/>
        </w:rPr>
        <w:footnoteReference w:id="1927"/>
      </w:r>
      <w:r>
        <w:rPr>
          <w:rFonts w:ascii="IRNazanin" w:hAnsi="IRNazanin" w:eastAsia="IRNazanin"/>
          <w:color w:val="111111"/>
          <w:sz w:val="28"/>
          <w:sz w:val="28"/>
          <w:szCs w:val="28"/>
          <w:rtl w:val="true"/>
          <w:lang w:bidi="fa-IR"/>
        </w:rPr>
        <w:t>و السرائر</w:t>
      </w:r>
      <w:r>
        <w:rPr>
          <w:rStyle w:val="FootnoteAnchor"/>
          <w:rtl w:val="true"/>
        </w:rPr>
        <w:footnoteReference w:id="1928"/>
      </w:r>
      <w:r>
        <w:rPr>
          <w:rFonts w:ascii="IRNazanin" w:hAnsi="IRNazanin" w:eastAsia="IRNazanin"/>
          <w:color w:val="111111"/>
          <w:sz w:val="28"/>
          <w:sz w:val="28"/>
          <w:szCs w:val="28"/>
          <w:rtl w:val="true"/>
          <w:lang w:bidi="fa-IR"/>
        </w:rPr>
        <w:t>و الإرشاد</w:t>
      </w:r>
      <w:r>
        <w:rPr>
          <w:rStyle w:val="FootnoteAnchor"/>
          <w:rtl w:val="true"/>
        </w:rPr>
        <w:footnoteReference w:id="1929"/>
      </w:r>
      <w:r>
        <w:rPr>
          <w:rFonts w:ascii="IRNazanin" w:hAnsi="IRNazanin" w:eastAsia="IRNazanin"/>
          <w:color w:val="111111"/>
          <w:sz w:val="28"/>
          <w:sz w:val="28"/>
          <w:szCs w:val="28"/>
          <w:rtl w:val="true"/>
          <w:lang w:bidi="fa-IR"/>
        </w:rPr>
        <w:t>، و صرّح به فی التذکرة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أتلفه الصبیّ أو المجنون فالأقرب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علیهما الضمان؛ لأنّهما أتلفا مال الغیر بالأکل أو غیره فضمناه</w:t>
      </w:r>
      <w:r>
        <w:rPr>
          <w:rFonts w:eastAsia="IRNazanin" w:cs="IRNazanin"/>
          <w:color w:val="111111"/>
          <w:sz w:val="28"/>
          <w:szCs w:val="28"/>
          <w:rtl w:val="true"/>
          <w:lang w:bidi="fa-IR"/>
        </w:rPr>
        <w:t>»</w:t>
      </w:r>
      <w:r>
        <w:rPr>
          <w:rStyle w:val="FootnoteAnchor"/>
          <w:rtl w:val="true"/>
        </w:rPr>
        <w:footnoteReference w:id="19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القواعد</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لو باشر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الإتلاف فإنّه یضمن</w:t>
      </w:r>
      <w:r>
        <w:rPr>
          <w:rFonts w:eastAsia="IRNazanin" w:cs="IRNazanin"/>
          <w:color w:val="111111"/>
          <w:sz w:val="28"/>
          <w:szCs w:val="28"/>
          <w:rtl w:val="true"/>
          <w:lang w:bidi="fa-IR"/>
        </w:rPr>
        <w:t>»</w:t>
      </w:r>
      <w:r>
        <w:rPr>
          <w:rStyle w:val="FootnoteAnchor"/>
          <w:rtl w:val="true"/>
        </w:rPr>
        <w:footnoteReference w:id="1932"/>
      </w:r>
      <w:r>
        <w:rPr>
          <w:rFonts w:ascii="IRNazanin" w:hAnsi="IRNazanin" w:eastAsia="IRNazanin"/>
          <w:color w:val="111111"/>
          <w:sz w:val="28"/>
          <w:sz w:val="28"/>
          <w:szCs w:val="28"/>
          <w:rtl w:val="true"/>
          <w:lang w:bidi="fa-IR"/>
        </w:rPr>
        <w:t>، و به قال فی المسالک</w:t>
      </w:r>
      <w:r>
        <w:rPr>
          <w:rStyle w:val="FootnoteAnchor"/>
          <w:rtl w:val="true"/>
        </w:rPr>
        <w:footnoteReference w:id="1933"/>
      </w:r>
      <w:r>
        <w:rPr>
          <w:rFonts w:ascii="IRNazanin" w:hAnsi="IRNazanin" w:eastAsia="IRNazanin"/>
          <w:color w:val="111111"/>
          <w:sz w:val="28"/>
          <w:sz w:val="28"/>
          <w:szCs w:val="28"/>
          <w:rtl w:val="true"/>
          <w:lang w:bidi="fa-IR"/>
        </w:rPr>
        <w:t>و غیرها</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لأنّ الإتلاف لمال الغیر سبب فی الضمان إذا وقع بغیر إذنه، و الأسباب من باب خطاب الوضع یشترک فیه الصغیر و الکبیر، قال فی المسالک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القول فی کلّ ما یتلفانه من مال الغیر و یأکلانه منه، فإنّهما یضمنانه و إن لم یکن لهما مال حین الإتلاف؛ لأنّ تعلّق الحقّ بالذمّة لا یتوقّف علیه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إیجاب التخلّص من الحقّ علیهما یتوقّف علی التکلیف کما مرّ، فقبله</w:t>
      </w:r>
    </w:p>
    <w:p>
      <w:pPr>
        <w:pStyle w:val="BookText"/>
        <w:rPr/>
      </w:pPr>
      <w:r>
        <w:rPr>
          <w:rFonts w:ascii="IRNazanin" w:hAnsi="IRNazanin" w:eastAsia="IRNazanin"/>
          <w:color w:val="111111"/>
          <w:sz w:val="28"/>
          <w:sz w:val="28"/>
          <w:szCs w:val="28"/>
          <w:rtl w:val="true"/>
          <w:lang w:bidi="fa-IR"/>
        </w:rPr>
        <w:t>یکون المخاطب بالدفع من مالهما الولیّ إن کان لهما مال، و إلّا کان دیناً علیهما یجب علیهما قضاؤه بعد التکلیف</w:t>
      </w:r>
      <w:r>
        <w:rPr>
          <w:rFonts w:eastAsia="IRNazanin" w:cs="IRNazanin"/>
          <w:color w:val="111111"/>
          <w:sz w:val="28"/>
          <w:szCs w:val="28"/>
          <w:rtl w:val="true"/>
          <w:lang w:bidi="fa-IR"/>
        </w:rPr>
        <w:t>»</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یضمن، قال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لا یضمنان؛ لأنّ المالک سلّطهما علیه، فصار کما لو أقرضه أو باعه منه و أقبضه فأتلفه، لم یکن علیه ضمان</w:t>
      </w:r>
      <w:r>
        <w:rPr>
          <w:rFonts w:eastAsia="IRNazanin" w:cs="IRNazanin"/>
          <w:color w:val="111111"/>
          <w:sz w:val="28"/>
          <w:szCs w:val="28"/>
          <w:rtl w:val="true"/>
          <w:lang w:bidi="fa-IR"/>
        </w:rPr>
        <w:t>»</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علّله فی جامع المقاصد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 قد سلّطه علیها فکان سبباً، و المباشر ضعیف</w:t>
      </w:r>
      <w:r>
        <w:rPr>
          <w:rFonts w:eastAsia="IRNazanin" w:cs="IRNazanin"/>
          <w:color w:val="111111"/>
          <w:sz w:val="28"/>
          <w:szCs w:val="28"/>
          <w:rtl w:val="true"/>
          <w:lang w:bidi="fa-IR"/>
        </w:rPr>
        <w:t>»</w:t>
      </w:r>
      <w:r>
        <w:rPr>
          <w:rStyle w:val="FootnoteAnchor"/>
          <w:rtl w:val="true"/>
        </w:rPr>
        <w:footnoteReference w:id="1937"/>
      </w:r>
      <w:r>
        <w:rPr>
          <w:rFonts w:ascii="IRNazanin" w:hAnsi="IRNazanin" w:eastAsia="IRNazanin"/>
          <w:color w:val="111111"/>
          <w:sz w:val="28"/>
          <w:sz w:val="28"/>
          <w:szCs w:val="28"/>
          <w:rtl w:val="true"/>
          <w:lang w:bidi="fa-IR"/>
        </w:rPr>
        <w:t xml:space="preserve">، و فی مجمع الفائدة و البرهان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براءة الذمّة</w:t>
      </w:r>
      <w:r>
        <w:rPr>
          <w:rFonts w:eastAsia="IRNazanin" w:cs="IRNazanin"/>
          <w:color w:val="111111"/>
          <w:sz w:val="28"/>
          <w:szCs w:val="28"/>
          <w:rtl w:val="true"/>
          <w:lang w:bidi="fa-IR"/>
        </w:rPr>
        <w:t>»</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تقدّم ظهر ما فیه، فإنّه لا إشکال فی أنّ ما وقع منه فی إیجاد التلف فی الخارج أقوی ممّا وقع من المودع الذی هو أودعه لا تسلیطه علی تلفه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فالمیزان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الحکم بضمانه بالید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یحصل من المالک مباشرة تلف أو تسبیب أقوی من تفریطه، کما فی الجواهر</w:t>
      </w:r>
      <w:r>
        <w:rPr>
          <w:rStyle w:val="FootnoteAnchor"/>
          <w:rtl w:val="true"/>
        </w:rPr>
        <w:footnoteReference w:id="1939"/>
      </w:r>
      <w:r>
        <w:rPr>
          <w:rFonts w:ascii="IRNazanin" w:hAnsi="IRNazanin" w:eastAsia="IRNazanin"/>
          <w:color w:val="111111"/>
          <w:sz w:val="28"/>
          <w:sz w:val="28"/>
          <w:szCs w:val="28"/>
          <w:rtl w:val="true"/>
          <w:lang w:bidi="fa-IR"/>
        </w:rPr>
        <w:t>، و سیأتی فی ذلک زیادة توضیح قریباً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الممیّز و غیره، فحکم بضمان الأوّل دون الثانی، کما احتمله فی جامع المقاصد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إذا کان غیر ممیّز، أو کان مجنوناً، ففی ثبوت الضمان فی مالهما بالإتلاف التردّد</w:t>
      </w:r>
      <w:r>
        <w:rPr>
          <w:rFonts w:eastAsia="IRNazanin" w:cs="IRNazanin"/>
          <w:color w:val="111111"/>
          <w:sz w:val="28"/>
          <w:szCs w:val="28"/>
          <w:rtl w:val="true"/>
          <w:lang w:bidi="fa-IR"/>
        </w:rPr>
        <w:t>»</w:t>
      </w:r>
      <w:r>
        <w:rPr>
          <w:rStyle w:val="FootnoteAnchor"/>
          <w:rtl w:val="true"/>
        </w:rPr>
        <w:footnoteReference w:id="1940"/>
      </w:r>
      <w:r>
        <w:rPr>
          <w:rFonts w:ascii="IRNazanin" w:hAnsi="IRNazanin" w:eastAsia="IRNazanin"/>
          <w:color w:val="111111"/>
          <w:sz w:val="28"/>
          <w:sz w:val="28"/>
          <w:szCs w:val="28"/>
          <w:rtl w:val="true"/>
          <w:lang w:bidi="fa-IR"/>
        </w:rPr>
        <w:t>، و علّله فی مفتاح الکرامة لوجود المقتضی و عدم المانع؛ إذ عدم بلوغه لا یصلح لأن یکون</w:t>
      </w:r>
      <w:bookmarkStart w:id="542" w:name="pg11757_135740"/>
    </w:p>
    <w:p>
      <w:pPr>
        <w:pStyle w:val="BookText"/>
        <w:rPr/>
      </w:pPr>
      <w:bookmarkEnd w:id="542"/>
      <w:r>
        <w:rPr>
          <w:rFonts w:ascii="IRNazanin" w:hAnsi="IRNazanin" w:eastAsia="IRNazanin"/>
          <w:color w:val="111111"/>
          <w:sz w:val="28"/>
          <w:sz w:val="28"/>
          <w:szCs w:val="28"/>
          <w:rtl w:val="true"/>
          <w:lang w:bidi="fa-IR"/>
        </w:rPr>
        <w:t>مانعاً، خصوصاً المراهق فإنّه کالبالغ فی فعله و قصده و رکون الناس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غیر الممیّز فإنّه لا قصد له فیکون کالدابّة</w:t>
      </w:r>
      <w:r>
        <w:rPr>
          <w:rStyle w:val="FootnoteAnchor"/>
          <w:rtl w:val="true"/>
        </w:rPr>
        <w:footnoteReference w:id="1941"/>
      </w:r>
      <w:r>
        <w:rPr>
          <w:rFonts w:ascii="IRNazanin" w:hAnsi="IRNazanin" w:eastAsia="IRNazanin"/>
          <w:color w:val="111111"/>
          <w:sz w:val="28"/>
          <w:sz w:val="28"/>
          <w:szCs w:val="28"/>
          <w:rtl w:val="true"/>
          <w:lang w:bidi="fa-IR"/>
        </w:rPr>
        <w:t>، و استشکل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المقتضی للضمان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الإتلاف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و المانع غیر صالح للمانعیّة، أمّا القصد فلأنّه لا مدخل له فی الضمان و عدمه، کما یعلم من نظائره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تسلیط المالک فإنّه إنّما وقع علی الحفظ لا علی الإتلاف،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فالأقوی الضمان مطلقاً</w:t>
      </w:r>
      <w:r>
        <w:rPr>
          <w:rFonts w:eastAsia="IRNazanin" w:cs="IRNazanin"/>
          <w:color w:val="111111"/>
          <w:sz w:val="28"/>
          <w:szCs w:val="28"/>
          <w:rtl w:val="true"/>
          <w:lang w:bidi="fa-IR"/>
        </w:rPr>
        <w:t>»</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جامع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صلاحیتهما للحفظ عرّض ماله للإتلاف، و هذا القدر غیر کاف فی سقوط الضمان عن متلفها</w:t>
      </w:r>
      <w:r>
        <w:rPr>
          <w:rFonts w:eastAsia="IRNazanin" w:cs="IRNazanin"/>
          <w:color w:val="111111"/>
          <w:sz w:val="28"/>
          <w:szCs w:val="28"/>
          <w:rtl w:val="true"/>
          <w:lang w:bidi="fa-IR"/>
        </w:rPr>
        <w:t>»</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الید بغیر إذن شرعیّة من أسباب الضمان قطعاً، من غیر فرق بین المکلّف و غیره، فلو أودع صبیّ صبیّاً أو مجنوناً أو مجنون صبیّاً أو مجنوناً فتلف هی</w:t>
      </w:r>
      <w:r>
        <w:rPr>
          <w:rStyle w:val="FootnoteAnchor"/>
          <w:rtl w:val="true"/>
        </w:rPr>
        <w:footnoteReference w:id="1944"/>
      </w:r>
      <w:r>
        <w:rPr>
          <w:rFonts w:ascii="IRNazanin" w:hAnsi="IRNazanin" w:eastAsia="IRNazanin"/>
          <w:color w:val="111111"/>
          <w:sz w:val="28"/>
          <w:sz w:val="28"/>
          <w:szCs w:val="28"/>
          <w:rtl w:val="true"/>
          <w:lang w:bidi="fa-IR"/>
        </w:rPr>
        <w:t>فی یدهما کانا ضامنین لذلک، و الفرق بینهما و بین الدابّة، أنّ لهما ذمّةً و ملکاً و غیرهما بخلافها، و أیّ فرق فی أسباب الوضع بین ذلک، و بین الجنایة و الحدث و غیرهما</w:t>
      </w:r>
      <w:r>
        <w:rPr>
          <w:rFonts w:eastAsia="IRNazanin" w:cs="IRNazanin"/>
          <w:color w:val="111111"/>
          <w:sz w:val="28"/>
          <w:szCs w:val="28"/>
          <w:rtl w:val="true"/>
          <w:lang w:bidi="fa-IR"/>
        </w:rPr>
        <w:t>»</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3" w:name="__RefHeading___Toc9696915_73709187"/>
      <w:bookmarkStart w:id="544" w:name="_Toc201"/>
      <w:bookmarkEnd w:id="543"/>
      <w:r>
        <w:rPr>
          <w:rtl w:val="true"/>
        </w:rPr>
        <w:t>ودیعة الصبیّ عند أهل السنّة</w:t>
      </w:r>
      <w:bookmarkEnd w:id="544"/>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اشترط الشافعیّة فی المتعاقدین لعقد الودیعة العقل و البلوغ، فلا یصحّ عندهم الإیداع من الصبیّ، و الآخذ ضامن لها، و أمّا الجمهور من الحنابلة</w:t>
      </w:r>
    </w:p>
    <w:p>
      <w:pPr>
        <w:pStyle w:val="BookText"/>
        <w:rPr/>
      </w:pPr>
      <w:r>
        <w:rPr>
          <w:rFonts w:ascii="IRNazanin" w:hAnsi="IRNazanin" w:eastAsia="IRNazanin"/>
          <w:color w:val="111111"/>
          <w:sz w:val="28"/>
          <w:sz w:val="28"/>
          <w:szCs w:val="28"/>
          <w:rtl w:val="true"/>
          <w:lang w:bidi="fa-IR"/>
        </w:rPr>
        <w:t>و الحنفیّة و المالکیّة فلم یشترطوا البلوغ، جاء 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یصحّ الإیداع إلّا من جائز التصرّف فی المال، فإن أودعه صبیّ أوسفیه لم یقبل؛ لأنّه تصرّف فی المال، فلم یصحّ من الصبیّ و السفیه کالبیع، فإن أخذها منه ضمنها؛ لأنّه أخذ ماله من غیر إذن، فضمنه کما لو غصبه، و لا یبرأ من الضمان إلاّ بالتسلیم إلی الناظر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خاف المودع أنّه إن لم یأخذ منه استهلکه فأخذه ففیه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یصحّ إلّا عند جائز التصرّف، فإن أودع صبیّاً أو سفیهاً لم یصحّ الإیداع؛ لأنّ القصد من الإیداع الحفظ، و الصبیّ و السفیه لیسا من أهل الحفظ، فإن أودع واحداً منهما فتلف عنده لم یضمن؛ لأنّه لا یلزمه حفظه فلا یضمنه؛ کما لو ترکه عند بالغ من غیر إیداع فتلف، و إن أودعه فأتلفه ففیه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یضمن؛ لأنّه لم یسلّطه علی إتلافه فضمنه بالإتلاف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یضمن؛ لأنّه مکّنه من إتلافه، فلم یضمنه</w:t>
      </w:r>
      <w:r>
        <w:rPr>
          <w:rFonts w:eastAsia="IRNazanin" w:cs="IRNazanin"/>
          <w:color w:val="111111"/>
          <w:sz w:val="28"/>
          <w:szCs w:val="28"/>
          <w:rtl w:val="true"/>
          <w:lang w:bidi="fa-IR"/>
        </w:rPr>
        <w:t>»</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المجموع</w:t>
      </w:r>
      <w:r>
        <w:rPr>
          <w:rStyle w:val="FootnoteAnchor"/>
          <w:rtl w:val="true"/>
        </w:rPr>
        <w:footnoteReference w:id="1947"/>
      </w:r>
      <w:r>
        <w:rPr>
          <w:rFonts w:ascii="IRNazanin" w:hAnsi="IRNazanin" w:eastAsia="IRNazanin"/>
          <w:color w:val="111111"/>
          <w:sz w:val="28"/>
          <w:sz w:val="28"/>
          <w:szCs w:val="28"/>
          <w:rtl w:val="true"/>
          <w:lang w:bidi="fa-IR"/>
        </w:rPr>
        <w:t>و روضة الطالبین، إلاّ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لو خاف هلاکه فی یده، فأخذه علی وجه الحسبة صوناً له، لم یضمنه علی الأصحّ</w:t>
      </w:r>
      <w:r>
        <w:rPr>
          <w:rFonts w:eastAsia="IRNazanin" w:cs="IRNazanin"/>
          <w:color w:val="111111"/>
          <w:sz w:val="28"/>
          <w:szCs w:val="28"/>
          <w:rtl w:val="true"/>
          <w:lang w:bidi="fa-IR"/>
        </w:rPr>
        <w:t>»</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قدامة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الصبیّ ممیّزاً صحّ إیداعه لما أذن له فی التصرّف فیه؛ لأنّه کالبالغ بالنسبة إلی ذلک، فإن أودع رجل عند صبیّ أو معتوه ودیعة فتلفت لم یضمنها، سواء حفظها أو فرّط فی حفظها، فإن أتلفها أو أکلها ضمنها فی قول القاضی و ظاهر مذهب الشافعی، و من أصحابنا من قال لا ضمان علیه،</w:t>
      </w:r>
    </w:p>
    <w:p>
      <w:pPr>
        <w:pStyle w:val="BookText"/>
        <w:rPr/>
      </w:pPr>
      <w:r>
        <w:rPr>
          <w:rFonts w:ascii="IRNazanin" w:hAnsi="IRNazanin" w:eastAsia="IRNazanin"/>
          <w:color w:val="111111"/>
          <w:sz w:val="28"/>
          <w:sz w:val="28"/>
          <w:szCs w:val="28"/>
          <w:rtl w:val="true"/>
          <w:lang w:bidi="fa-IR"/>
        </w:rPr>
        <w:t>و هو قول أبی حنیفة؛ لأنّه سلّطه علی إتلافها بدفعها إلیه، فلا یلزمه ضمانها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ضمنه بإتلافه قبل الإیداع، ضمنه بعد الإیداع کالبالغ</w:t>
      </w:r>
      <w:r>
        <w:rPr>
          <w:rFonts w:eastAsia="IRNazanin" w:cs="IRNazanin"/>
          <w:color w:val="111111"/>
          <w:sz w:val="28"/>
          <w:szCs w:val="28"/>
          <w:rtl w:val="true"/>
          <w:lang w:bidi="fa-IR"/>
        </w:rPr>
        <w:t>»</w:t>
      </w:r>
      <w:r>
        <w:rPr>
          <w:rStyle w:val="FootnoteAnchor"/>
          <w:rtl w:val="true"/>
        </w:rPr>
        <w:footnoteReference w:id="19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الإنصاف</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البدائع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یصحّ الإیداع من المجنون و الصبیّ الذی لا یعقل؛ لأنّ العقل شرط أهلیّة التصرّفات الشرعیّة، و أمّا بلوغه فلیس بشرط عندنا حتّی یصحّ الإیداع من الصبیّ المأذون؛ لأنّ ذلک ممّا یحتاج إلیه التاجر، فکان من توابع التجارة، فیملکه الصبیّ المأذون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قبول الودیعة من المجنون و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بلوغه فلیس بشرط حتّی یصحّ قبول الودیعة من الصبیّ المأذون؛ لأنّه من أهل الحفظ</w:t>
      </w:r>
      <w:r>
        <w:rPr>
          <w:rFonts w:eastAsia="IRNazanin" w:cs="IRNazanin"/>
          <w:color w:val="111111"/>
          <w:sz w:val="28"/>
          <w:szCs w:val="28"/>
          <w:rtl w:val="true"/>
          <w:lang w:bidi="fa-IR"/>
        </w:rPr>
        <w:t>»</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عقد الجواهر الثمینة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حقیقتها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الودیعة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استنابة فی حفظ المال، و هی عقد أمانة، و هو جائز من الجهتین، و لا یشترط فی المودِع و المودَع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یشترط فی الوکیل و الموکّل و من أودع عند صبیّ شیئاً بإذن أهله أو بغیر إذنهم، فأتلفه الصبیّ أو ضیّعه لم یضمن؛ لأنّه مسلّط علیه، کما لو أقرضه أو باعه</w:t>
      </w:r>
      <w:r>
        <w:rPr>
          <w:rFonts w:eastAsia="IRNazanin" w:cs="IRNazanin"/>
          <w:color w:val="111111"/>
          <w:sz w:val="28"/>
          <w:szCs w:val="28"/>
          <w:rtl w:val="true"/>
          <w:lang w:bidi="fa-IR"/>
        </w:rPr>
        <w:t>»</w:t>
      </w:r>
      <w:r>
        <w:rPr>
          <w:rStyle w:val="FootnoteAnchor"/>
          <w:rtl w:val="true"/>
        </w:rPr>
        <w:footnoteReference w:id="19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فی الکوکب الدُرّیّة</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bookmarkStart w:id="545" w:name="pg11757_135746"/>
    </w:p>
    <w:p>
      <w:pPr>
        <w:pStyle w:val="Heading3"/>
        <w:numPr>
          <w:ilvl w:val="2"/>
          <w:numId w:val="1"/>
        </w:numPr>
        <w:rPr/>
      </w:pPr>
      <w:bookmarkStart w:id="546" w:name="__RefHeading___Toc9696917_73709187"/>
      <w:bookmarkStart w:id="547" w:name="_Toc202"/>
      <w:bookmarkEnd w:id="545"/>
      <w:bookmarkEnd w:id="546"/>
      <w:r>
        <w:rPr>
          <w:rtl w:val="true"/>
        </w:rPr>
        <w:t>الفصل الثالث عشر</w:t>
      </w:r>
      <w:r>
        <w:rPr>
          <w:rtl w:val="true"/>
        </w:rPr>
        <w:t xml:space="preserve">: </w:t>
      </w:r>
      <w:r>
        <w:rPr>
          <w:rtl w:val="true"/>
        </w:rPr>
        <w:t>عاریة الصبیّ</w:t>
      </w:r>
      <w:bookmarkEnd w:id="547"/>
    </w:p>
    <w:p>
      <w:pPr>
        <w:pStyle w:val="Heading4"/>
        <w:numPr>
          <w:ilvl w:val="3"/>
          <w:numId w:val="1"/>
        </w:numPr>
        <w:rPr/>
      </w:pPr>
      <w:bookmarkStart w:id="548" w:name="__RefHeading___Toc9696919_73709187"/>
      <w:bookmarkStart w:id="549" w:name="_Toc203"/>
      <w:bookmarkEnd w:id="548"/>
      <w:r>
        <w:rPr>
          <w:rtl w:val="true"/>
        </w:rPr>
        <w:t>العاریة لغةً و اصطلاحاً</w:t>
      </w:r>
      <w:bookmarkEnd w:id="549"/>
    </w:p>
    <w:p>
      <w:pPr>
        <w:pStyle w:val="BookText"/>
        <w:rPr/>
      </w:pPr>
      <w:r>
        <w:rPr>
          <w:rFonts w:ascii="IRNazanin" w:hAnsi="IRNazanin" w:eastAsia="IRNazanin"/>
          <w:color w:val="111111"/>
          <w:sz w:val="28"/>
          <w:sz w:val="28"/>
          <w:szCs w:val="28"/>
          <w:rtl w:val="true"/>
          <w:lang w:bidi="fa-IR"/>
        </w:rPr>
        <w:t>العاریّة مشدّدة الیاء، کأنّها منسوبة إلی العار؛ لأنّ طلبها عار و عیب، و تجمع علی العواریّ مشدّداً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أصلها الواو، کما فی النهایة</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الفیّومی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اسم من الإعارة،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أعرتُه الشیء إعارة وعارة،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أطعته إطاعة و 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ذکر ما فی النهایة و نقل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مأخوذة من عار الفرس، إذا ذهب من صاحبه؛ لخروجها من ید صاحبها،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 غلط؛ لأنّ العاریّة من الواو</w:t>
      </w:r>
      <w:r>
        <w:rPr>
          <w:rFonts w:eastAsia="IRNazanin" w:cs="IRNazanin"/>
          <w:color w:val="111111"/>
          <w:sz w:val="28"/>
          <w:szCs w:val="28"/>
          <w:rtl w:val="true"/>
          <w:lang w:bidi="fa-IR"/>
        </w:rPr>
        <w:t>»</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مجمع البحرین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اعتوروه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تداولوه، و منه العاریّة بالتشدید</w:t>
      </w:r>
      <w:r>
        <w:rPr>
          <w:rFonts w:eastAsia="IRNazanin" w:cs="IRNazanin"/>
          <w:color w:val="111111"/>
          <w:sz w:val="28"/>
          <w:szCs w:val="28"/>
          <w:rtl w:val="true"/>
          <w:lang w:bidi="fa-IR"/>
        </w:rPr>
        <w:t>»</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لسان العرب</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فی اللّغة، و أمّا فی اصطلاح الفقهاء فقد عرّفها المحقّق فی الشرائع بأنّها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ثمرته التبرّع بالمنفعة</w:t>
      </w:r>
      <w:r>
        <w:rPr>
          <w:rFonts w:eastAsia="Amiri" w:cs="Amiri" w:ascii="Amiri" w:hAnsi="Amiri"/>
          <w:color w:val="111111"/>
          <w:sz w:val="28"/>
          <w:szCs w:val="28"/>
          <w:rtl w:val="true"/>
          <w:lang w:bidi="ar-SA"/>
        </w:rPr>
        <w:t>»</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بتشدید 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شرّع لإباحة الانتفاع</w:t>
      </w:r>
      <w:r>
        <w:rPr>
          <w:rFonts w:eastAsia="IRNazanin" w:cs="IRNazanin"/>
          <w:color w:val="111111"/>
          <w:sz w:val="28"/>
          <w:szCs w:val="28"/>
          <w:rtl w:val="true"/>
          <w:lang w:bidi="fa-IR"/>
        </w:rPr>
        <w:t>»</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الإذن فی الانتفاع بالعین تبرّعاً</w:t>
      </w:r>
      <w:r>
        <w:rPr>
          <w:rFonts w:eastAsia="IRNazanin" w:cs="IRNazanin"/>
          <w:color w:val="111111"/>
          <w:sz w:val="28"/>
          <w:szCs w:val="28"/>
          <w:rtl w:val="true"/>
          <w:lang w:bidi="fa-IR"/>
        </w:rPr>
        <w:t>»</w:t>
      </w:r>
      <w:r>
        <w:rPr>
          <w:rStyle w:val="FootnoteAnchor"/>
          <w:rtl w:val="true"/>
        </w:rPr>
        <w:footnoteReference w:id="19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الریاض</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الأظهر ما جاء فی تحریر الوسیلة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التسلیط علی العین للانتفاع بها علی جهة التبرّع</w:t>
      </w:r>
      <w:r>
        <w:rPr>
          <w:rFonts w:eastAsia="IRNazanin" w:cs="IRNazanin"/>
          <w:color w:val="111111"/>
          <w:sz w:val="28"/>
          <w:szCs w:val="28"/>
          <w:rtl w:val="true"/>
          <w:lang w:bidi="fa-IR"/>
        </w:rPr>
        <w:t>»</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تحتاج إلی إیجاب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لفظ دلّ علی تسویغ الانتفاع بالعین مع بقائها مطلقاً أو مدّة معیّنة، و لا یختصّ لفظاً، و لا یشترط القبول نطقاً، کما فی القواعد</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یجوز أن یکون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وقوعها بالمعاطاة</w:t>
      </w:r>
      <w:r>
        <w:rPr>
          <w:rFonts w:eastAsia="IRNazanin" w:cs="IRNazanin"/>
          <w:color w:val="111111"/>
          <w:sz w:val="28"/>
          <w:szCs w:val="28"/>
          <w:rtl w:val="true"/>
          <w:lang w:bidi="fa-IR"/>
        </w:rPr>
        <w:t>»</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العاریة مشروعة بالنصّ و الإجماع، کما فی التذکرة</w:t>
      </w:r>
      <w:r>
        <w:rPr>
          <w:rStyle w:val="FootnoteAnchor"/>
          <w:rtl w:val="true"/>
        </w:rPr>
        <w:footnoteReference w:id="1965"/>
      </w:r>
      <w:r>
        <w:rPr>
          <w:rFonts w:ascii="Amiri" w:hAnsi="Amiri" w:eastAsia="Amiri" w:cs="Amiri"/>
          <w:color w:val="111111"/>
          <w:sz w:val="28"/>
          <w:sz w:val="28"/>
          <w:szCs w:val="28"/>
          <w:rtl w:val="true"/>
          <w:lang w:bidi="ar-SA"/>
        </w:rPr>
        <w:t>و المهذّب</w:t>
      </w:r>
      <w:r>
        <w:rPr>
          <w:rStyle w:val="FootnoteAnchor"/>
          <w:rtl w:val="true"/>
        </w:rPr>
        <w:footnoteReference w:id="1966"/>
      </w:r>
      <w:r>
        <w:rPr>
          <w:rFonts w:ascii="IRNazanin" w:hAnsi="IRNazanin" w:eastAsia="IRNazanin"/>
          <w:color w:val="111111"/>
          <w:sz w:val="28"/>
          <w:sz w:val="28"/>
          <w:szCs w:val="28"/>
          <w:rtl w:val="true"/>
          <w:lang w:bidi="fa-IR"/>
        </w:rPr>
        <w:t>و غیرهما</w:t>
      </w:r>
      <w:r>
        <w:rPr>
          <w:rStyle w:val="FootnoteAnchor"/>
          <w:rtl w:val="true"/>
        </w:rPr>
        <w:footnoteReference w:id="1967"/>
      </w:r>
      <w:r>
        <w:rPr>
          <w:rFonts w:ascii="IRNazanin" w:hAnsi="IRNazanin" w:eastAsia="IRNazanin"/>
          <w:color w:val="111111"/>
          <w:sz w:val="28"/>
          <w:sz w:val="28"/>
          <w:szCs w:val="28"/>
          <w:rtl w:val="true"/>
          <w:lang w:bidi="fa-IR"/>
        </w:rPr>
        <w:t>، و هی جائزة من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 العاریة من العقود الجائزة لکلّ من المتعاقدین فسخه متی شاء موضع وفاق، لکن یستثنی</w:t>
      </w:r>
      <w:bookmarkStart w:id="550" w:name="pg11757_135748"/>
    </w:p>
    <w:p>
      <w:pPr>
        <w:pStyle w:val="BookText"/>
        <w:rPr/>
      </w:pPr>
      <w:bookmarkEnd w:id="550"/>
      <w:r>
        <w:rPr>
          <w:rFonts w:ascii="IRNazanin" w:hAnsi="IRNazanin" w:eastAsia="IRNazanin"/>
          <w:color w:val="111111"/>
          <w:sz w:val="28"/>
          <w:sz w:val="28"/>
          <w:szCs w:val="28"/>
          <w:rtl w:val="true"/>
          <w:lang w:bidi="fa-IR"/>
        </w:rPr>
        <w:t>منه مواضع</w:t>
      </w:r>
      <w:r>
        <w:rPr>
          <w:rFonts w:eastAsia="IRNazanin" w:cs="IRNazanin"/>
          <w:color w:val="111111"/>
          <w:sz w:val="28"/>
          <w:szCs w:val="28"/>
          <w:rtl w:val="true"/>
          <w:lang w:bidi="fa-IR"/>
        </w:rPr>
        <w:t>»</w:t>
      </w:r>
      <w:r>
        <w:rPr>
          <w:rStyle w:val="FootnoteAnchor"/>
          <w:rtl w:val="true"/>
        </w:rPr>
        <w:footnoteReference w:id="1968"/>
      </w:r>
      <w:r>
        <w:rPr>
          <w:rFonts w:ascii="IRNazanin" w:hAnsi="IRNazanin" w:eastAsia="IRNazanin"/>
          <w:color w:val="111111"/>
          <w:sz w:val="28"/>
          <w:sz w:val="28"/>
          <w:szCs w:val="28"/>
          <w:rtl w:val="true"/>
          <w:lang w:bidi="fa-IR"/>
        </w:rPr>
        <w:t>، ثمّ ذکر تلک المواضع</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 أمانة لا یضمنها المستعیر، قال المحقّق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العاریة أمانة بإجماع علمائنا، و النصّ من أهل البیت علیهم السلام</w:t>
      </w:r>
      <w:r>
        <w:rPr>
          <w:rStyle w:val="FootnoteAnchor"/>
          <w:rtl w:val="true"/>
        </w:rPr>
        <w:footnoteReference w:id="1970"/>
      </w:r>
      <w:r>
        <w:rPr>
          <w:rFonts w:ascii="IRNazanin" w:hAnsi="IRNazanin" w:eastAsia="IRNazanin"/>
          <w:color w:val="111111"/>
          <w:sz w:val="28"/>
          <w:sz w:val="28"/>
          <w:szCs w:val="28"/>
          <w:rtl w:val="true"/>
          <w:lang w:bidi="fa-IR"/>
        </w:rPr>
        <w:t>، إلّا فی مواضع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التعدّی أو التفریط فی الحفظ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ذکر مواضع اخری‌</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أرکانها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المالک للعین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ینتفع بالعین بما جرت العادة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العین المستعارة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کلّ ما یصحّ الانتفاع به شرعاً مع بقاء عینه منفعة معتدّاً بها عند العقلاء</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1" w:name="__RefHeading___Toc9696921_73709187"/>
      <w:bookmarkStart w:id="552" w:name="_Toc204"/>
      <w:bookmarkEnd w:id="551"/>
      <w:r>
        <w:rPr>
          <w:rtl w:val="true"/>
        </w:rPr>
        <w:t>شروط الإعارة</w:t>
      </w:r>
      <w:bookmarkEnd w:id="552"/>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ذکروا للإعارة و أرکانها فی الکتب المفصّلة شروطاً،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المعیر مکلّفاً عاقلاً جائز التصرّف، فلا تصحّ إعارة الصبیّ؛ لأنّه ممنوع من التصرّفات، و من جملتها الإعارة، کما فی الشرائع</w:t>
      </w:r>
      <w:r>
        <w:rPr>
          <w:rStyle w:val="FootnoteAnchor"/>
          <w:rtl w:val="true"/>
        </w:rPr>
        <w:footnoteReference w:id="1973"/>
      </w:r>
      <w:r>
        <w:rPr>
          <w:rFonts w:ascii="IRNazanin" w:hAnsi="IRNazanin" w:eastAsia="IRNazanin"/>
          <w:color w:val="111111"/>
          <w:sz w:val="28"/>
          <w:sz w:val="28"/>
          <w:szCs w:val="28"/>
          <w:rtl w:val="true"/>
          <w:lang w:bidi="fa-IR"/>
        </w:rPr>
        <w:t>و التذکرة</w:t>
      </w:r>
      <w:r>
        <w:rPr>
          <w:rStyle w:val="FootnoteAnchor"/>
          <w:rtl w:val="true"/>
        </w:rPr>
        <w:footnoteReference w:id="1974"/>
      </w:r>
      <w:r>
        <w:rPr>
          <w:rFonts w:ascii="IRNazanin" w:hAnsi="IRNazanin" w:eastAsia="IRNazanin"/>
          <w:color w:val="111111"/>
          <w:sz w:val="28"/>
          <w:sz w:val="28"/>
          <w:szCs w:val="28"/>
          <w:rtl w:val="true"/>
          <w:lang w:bidi="fa-IR"/>
        </w:rPr>
        <w:t xml:space="preserve">و التحریر </w:t>
      </w:r>
      <w:r>
        <w:rPr>
          <w:rStyle w:val="FootnoteAnchor"/>
          <w:rtl w:val="true"/>
        </w:rPr>
        <w:footnoteReference w:id="1975"/>
      </w:r>
      <w:bookmarkStart w:id="553" w:name="pg11757_135749"/>
    </w:p>
    <w:p>
      <w:pPr>
        <w:pStyle w:val="BookText"/>
        <w:rPr/>
      </w:pPr>
      <w:bookmarkEnd w:id="553"/>
      <w:r>
        <w:rPr>
          <w:rFonts w:ascii="Amiri" w:hAnsi="Amiri" w:eastAsia="Amiri" w:cs="Amiri"/>
          <w:color w:val="111111"/>
          <w:sz w:val="28"/>
          <w:sz w:val="28"/>
          <w:szCs w:val="28"/>
          <w:rtl w:val="true"/>
          <w:lang w:bidi="ar-SA"/>
        </w:rPr>
        <w:t>و اللمعة</w:t>
      </w:r>
      <w:r>
        <w:rPr>
          <w:rStyle w:val="FootnoteAnchor"/>
          <w:rtl w:val="true"/>
        </w:rPr>
        <w:footnoteReference w:id="1976"/>
      </w:r>
      <w:r>
        <w:rPr>
          <w:rFonts w:ascii="IRNazanin" w:hAnsi="IRNazanin" w:eastAsia="IRNazanin"/>
          <w:color w:val="111111"/>
          <w:sz w:val="28"/>
          <w:sz w:val="28"/>
          <w:szCs w:val="28"/>
          <w:rtl w:val="true"/>
          <w:lang w:bidi="fa-IR"/>
        </w:rPr>
        <w:t>و المسالک</w:t>
      </w:r>
      <w:r>
        <w:rPr>
          <w:rStyle w:val="FootnoteAnchor"/>
          <w:rtl w:val="true"/>
        </w:rPr>
        <w:footnoteReference w:id="1977"/>
      </w:r>
      <w:r>
        <w:rPr>
          <w:rFonts w:ascii="Amiri" w:hAnsi="Amiri" w:eastAsia="Amiri" w:cs="Amiri"/>
          <w:color w:val="111111"/>
          <w:sz w:val="28"/>
          <w:sz w:val="28"/>
          <w:szCs w:val="28"/>
          <w:rtl w:val="true"/>
          <w:lang w:bidi="ar-SA"/>
        </w:rPr>
        <w:t>و مجمع الفائدة</w:t>
      </w:r>
      <w:r>
        <w:rPr>
          <w:rStyle w:val="FootnoteAnchor"/>
          <w:rtl w:val="true"/>
        </w:rPr>
        <w:footnoteReference w:id="1978"/>
      </w:r>
      <w:r>
        <w:rPr>
          <w:rFonts w:ascii="IRNazanin" w:hAnsi="IRNazanin" w:eastAsia="IRNazanin"/>
          <w:color w:val="111111"/>
          <w:sz w:val="28"/>
          <w:sz w:val="28"/>
          <w:szCs w:val="28"/>
          <w:rtl w:val="true"/>
          <w:lang w:bidi="fa-IR"/>
        </w:rPr>
        <w:t>و الریاض</w:t>
      </w:r>
      <w:r>
        <w:rPr>
          <w:rStyle w:val="FootnoteAnchor"/>
          <w:rtl w:val="true"/>
        </w:rPr>
        <w:footnoteReference w:id="1979"/>
      </w:r>
      <w:r>
        <w:rPr>
          <w:rFonts w:ascii="IRNazanin" w:hAnsi="IRNazanin" w:eastAsia="IRNazanin"/>
          <w:color w:val="111111"/>
          <w:sz w:val="28"/>
          <w:sz w:val="28"/>
          <w:szCs w:val="28"/>
          <w:rtl w:val="true"/>
          <w:lang w:bidi="fa-IR"/>
        </w:rPr>
        <w:t>و غیرها</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یشترط أن یکون المستعیر مکلّفاً، 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بدّ أن یکون مکلّفاً، فلا یصحّ استعارة الصبیّ و المجنون؛ لما عرفت من سلب عبارتهما و فعلهما، فلو استعارا ففی ضمانهما ما تقدّم فی الودیعة</w:t>
      </w:r>
      <w:r>
        <w:rPr>
          <w:rFonts w:eastAsia="IRNazanin" w:cs="IRNazanin"/>
          <w:color w:val="111111"/>
          <w:sz w:val="28"/>
          <w:szCs w:val="28"/>
          <w:rtl w:val="true"/>
          <w:lang w:bidi="fa-IR"/>
        </w:rPr>
        <w:t>»</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إذا کان الصبیّ مستقلّاً فی التصرّف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لا خلاف بینهم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أذن له الولیّ فسیأتی حکمه قریباً</w:t>
      </w:r>
      <w:r>
        <w:rPr>
          <w:rFonts w:eastAsia="IRNazanin" w:cs="IRNazanin"/>
          <w:color w:val="111111"/>
          <w:sz w:val="28"/>
          <w:szCs w:val="28"/>
          <w:rtl w:val="true"/>
          <w:lang w:bidi="fa-IR"/>
        </w:rPr>
        <w:t>.</w:t>
      </w:r>
    </w:p>
    <w:p>
      <w:pPr>
        <w:pStyle w:val="Heading4"/>
        <w:numPr>
          <w:ilvl w:val="3"/>
          <w:numId w:val="1"/>
        </w:numPr>
        <w:rPr/>
      </w:pPr>
      <w:bookmarkStart w:id="554" w:name="__RefHeading___Toc9696923_73709187"/>
      <w:bookmarkStart w:id="555" w:name="_Toc205"/>
      <w:bookmarkEnd w:id="554"/>
      <w:r>
        <w:rPr>
          <w:rtl w:val="true"/>
        </w:rPr>
        <w:t>صحّة إعارة الصبیّ‌</w:t>
      </w:r>
      <w:bookmarkEnd w:id="555"/>
    </w:p>
    <w:p>
      <w:pPr>
        <w:pStyle w:val="BookText"/>
        <w:rPr/>
      </w:pPr>
      <w:r>
        <w:rPr>
          <w:rFonts w:ascii="IRNazanin" w:hAnsi="IRNazanin" w:eastAsia="IRNazanin"/>
          <w:color w:val="111111"/>
          <w:sz w:val="28"/>
          <w:sz w:val="28"/>
          <w:szCs w:val="28"/>
          <w:rtl w:val="true"/>
          <w:lang w:bidi="fa-IR"/>
        </w:rPr>
        <w:t xml:space="preserve">هل یصحّ أن یعیر الصبیّ الممیّز بإذن 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رعایة المصلحة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یملکه أو ما یکون نائباً فیه عن المالک، أو لا یصحّ؟</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المشهور بین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لم نجد مخالفاً فی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الأقوی، قال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تصحّ إعارة الصبیّ و لا المجنون، و لو أذن الولیّ جاز للصبیّ مع مراعاة المصلحة</w:t>
      </w:r>
      <w:r>
        <w:rPr>
          <w:rFonts w:eastAsia="IRNazanin" w:cs="IRNazanin"/>
          <w:color w:val="111111"/>
          <w:sz w:val="28"/>
          <w:szCs w:val="28"/>
          <w:rtl w:val="true"/>
          <w:lang w:bidi="fa-IR"/>
        </w:rPr>
        <w:t>»</w:t>
      </w:r>
      <w:r>
        <w:rPr>
          <w:rStyle w:val="FootnoteAnchor"/>
          <w:rtl w:val="true"/>
        </w:rPr>
        <w:footnoteReference w:id="19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القواعد</w:t>
      </w:r>
      <w:r>
        <w:rPr>
          <w:rStyle w:val="FootnoteAnchor"/>
          <w:rtl w:val="true"/>
        </w:rPr>
        <w:footnoteReference w:id="1983"/>
      </w:r>
      <w:r>
        <w:rPr>
          <w:rFonts w:ascii="Amiri" w:hAnsi="Amiri" w:eastAsia="Amiri" w:cs="Amiri"/>
          <w:color w:val="111111"/>
          <w:sz w:val="28"/>
          <w:sz w:val="28"/>
          <w:szCs w:val="28"/>
          <w:rtl w:val="true"/>
          <w:lang w:bidi="ar-SA"/>
        </w:rPr>
        <w:t>و اللمعة</w:t>
      </w:r>
      <w:r>
        <w:rPr>
          <w:rStyle w:val="FootnoteAnchor"/>
          <w:rtl w:val="true"/>
        </w:rPr>
        <w:footnoteReference w:id="1984"/>
      </w:r>
      <w:r>
        <w:rPr>
          <w:rFonts w:ascii="IRNazanin" w:hAnsi="IRNazanin" w:eastAsia="IRNazanin"/>
          <w:color w:val="111111"/>
          <w:sz w:val="28"/>
          <w:sz w:val="28"/>
          <w:szCs w:val="28"/>
          <w:rtl w:val="true"/>
          <w:lang w:bidi="fa-IR"/>
        </w:rPr>
        <w:t>و الإرشاد</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الصبیّ ممیّزاً أو</w:t>
      </w:r>
      <w:r>
        <w:rPr>
          <w:rStyle w:val="FootnoteAnchor"/>
          <w:rtl w:val="true"/>
        </w:rPr>
        <w:footnoteReference w:id="1986"/>
      </w:r>
      <w:r>
        <w:rPr>
          <w:rFonts w:ascii="IRNazanin" w:hAnsi="IRNazanin" w:eastAsia="IRNazanin"/>
          <w:color w:val="111111"/>
          <w:sz w:val="28"/>
          <w:sz w:val="28"/>
          <w:szCs w:val="28"/>
          <w:rtl w:val="true"/>
          <w:lang w:bidi="fa-IR"/>
        </w:rPr>
        <w:t>أذن له الولیّ فی الإعارة جاز مع المصلحة، و لا فرق بین أن یعیر ما یملکه أو یکون نائباً عن غیره</w:t>
      </w:r>
      <w:r>
        <w:rPr>
          <w:rFonts w:eastAsia="IRNazanin" w:cs="IRNazanin"/>
          <w:color w:val="111111"/>
          <w:sz w:val="28"/>
          <w:szCs w:val="28"/>
          <w:rtl w:val="true"/>
          <w:lang w:bidi="fa-IR"/>
        </w:rPr>
        <w:t>»</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مجمع الفائدة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یصحّ الإعارة إلّا من جائز التصرّف، أو ممّن یجوز له ذلک، مثل الطفل إذا جوّز له الولیّ، فلو أذن الولیّ للطفل أن یعیر ماله مع المصلحة جاز، فإنّ عبارته معتبرة فی الجملة</w:t>
      </w:r>
      <w:r>
        <w:rPr>
          <w:rFonts w:eastAsia="IRNazanin" w:cs="IRNazanin"/>
          <w:color w:val="111111"/>
          <w:sz w:val="28"/>
          <w:szCs w:val="28"/>
          <w:rtl w:val="true"/>
          <w:lang w:bidi="fa-IR"/>
        </w:rPr>
        <w:t>»</w:t>
      </w:r>
      <w:r>
        <w:rPr>
          <w:rStyle w:val="FootnoteAnchor"/>
          <w:rtl w:val="true"/>
        </w:rPr>
        <w:footnoteReference w:id="1988"/>
      </w:r>
      <w:r>
        <w:rPr>
          <w:rFonts w:ascii="IRNazanin" w:hAnsi="IRNazanin" w:eastAsia="IRNazanin"/>
          <w:color w:val="111111"/>
          <w:sz w:val="28"/>
          <w:sz w:val="28"/>
          <w:szCs w:val="28"/>
          <w:rtl w:val="true"/>
          <w:lang w:bidi="fa-IR"/>
        </w:rPr>
        <w:t>، و اختاره فی المسالک</w:t>
      </w:r>
      <w:r>
        <w:rPr>
          <w:rStyle w:val="FootnoteAnchor"/>
          <w:rtl w:val="true"/>
        </w:rPr>
        <w:footnoteReference w:id="1989"/>
      </w:r>
      <w:r>
        <w:rPr>
          <w:rFonts w:ascii="Amiri" w:hAnsi="Amiri" w:eastAsia="Amiri" w:cs="Amiri"/>
          <w:color w:val="111111"/>
          <w:sz w:val="28"/>
          <w:sz w:val="28"/>
          <w:szCs w:val="28"/>
          <w:rtl w:val="true"/>
          <w:lang w:bidi="ar-SA"/>
        </w:rPr>
        <w:t>و الروضة</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جامع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شکّ فی الجواز مع المصلحة</w:t>
      </w:r>
      <w:r>
        <w:rPr>
          <w:rFonts w:eastAsia="IRNazanin" w:cs="IRNazanin"/>
          <w:color w:val="111111"/>
          <w:sz w:val="28"/>
          <w:szCs w:val="28"/>
          <w:rtl w:val="true"/>
          <w:lang w:bidi="fa-IR"/>
        </w:rPr>
        <w:t>»</w:t>
      </w:r>
      <w:r>
        <w:rPr>
          <w:rStyle w:val="FootnoteAnchor"/>
          <w:rtl w:val="true"/>
        </w:rPr>
        <w:footnoteReference w:id="1991"/>
      </w:r>
      <w:r>
        <w:rPr>
          <w:rFonts w:ascii="IRNazanin" w:hAnsi="IRNazanin" w:eastAsia="IRNazanin"/>
          <w:color w:val="111111"/>
          <w:sz w:val="28"/>
          <w:sz w:val="28"/>
          <w:szCs w:val="28"/>
          <w:rtl w:val="true"/>
          <w:lang w:bidi="fa-IR"/>
        </w:rPr>
        <w:t>، و به قال فی الریاض</w:t>
      </w:r>
      <w:r>
        <w:rPr>
          <w:rStyle w:val="FootnoteAnchor"/>
          <w:rtl w:val="true"/>
        </w:rPr>
        <w:footnoteReference w:id="1992"/>
      </w:r>
      <w:r>
        <w:rPr>
          <w:rFonts w:ascii="IRNazanin" w:hAnsi="IRNazanin" w:eastAsia="IRNazanin"/>
          <w:color w:val="111111"/>
          <w:sz w:val="28"/>
          <w:sz w:val="28"/>
          <w:szCs w:val="28"/>
          <w:rtl w:val="true"/>
          <w:lang w:bidi="fa-IR"/>
        </w:rPr>
        <w:t>و غیرها</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صحّة إعارة الصبیّ بإذن الولیّ احتمال لا یخلو من قوّة</w:t>
      </w:r>
      <w:r>
        <w:rPr>
          <w:rFonts w:eastAsia="IRNazanin" w:cs="IRNazanin"/>
          <w:color w:val="111111"/>
          <w:sz w:val="28"/>
          <w:szCs w:val="28"/>
          <w:rtl w:val="true"/>
          <w:lang w:bidi="fa-IR"/>
        </w:rPr>
        <w:t>»</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علیه فی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المعتبر إذن الولیّ، و هو کافٍ فی تحقّق هذا العقد</w:t>
      </w:r>
      <w:r>
        <w:rPr>
          <w:rFonts w:eastAsia="IRNazanin" w:cs="IRNazanin"/>
          <w:color w:val="111111"/>
          <w:sz w:val="28"/>
          <w:szCs w:val="28"/>
          <w:rtl w:val="true"/>
          <w:lang w:bidi="fa-IR"/>
        </w:rPr>
        <w:t>»</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عقد الصبیّ لا عبرة به و إن أذن له الولیّ، و إنّما جاز</w:t>
      </w:r>
    </w:p>
    <w:p>
      <w:pPr>
        <w:pStyle w:val="BookText"/>
        <w:rPr/>
      </w:pPr>
      <w:r>
        <w:rPr>
          <w:rFonts w:ascii="IRNazanin" w:hAnsi="IRNazanin" w:eastAsia="IRNazanin"/>
          <w:color w:val="111111"/>
          <w:sz w:val="28"/>
          <w:sz w:val="28"/>
          <w:szCs w:val="28"/>
          <w:rtl w:val="true"/>
          <w:lang w:bidi="fa-IR"/>
        </w:rPr>
        <w:t xml:space="preserve">هنا لأنّ العاریة لمّا کانت جائزة و لا تختصّ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کلّ ما دلّ علی رضا المعیر و هو هنا الولیّ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إذنه للصبیّ بمنزلة الإیجاب، فالعبرة حینئذٍ بإذنه لا بعبارة الصبیّ، و علی هذا فلا فرق بین الممیّز و غیره</w:t>
      </w:r>
      <w:r>
        <w:rPr>
          <w:rFonts w:eastAsia="IRNazanin" w:cs="IRNazanin"/>
          <w:color w:val="111111"/>
          <w:sz w:val="28"/>
          <w:szCs w:val="28"/>
          <w:rtl w:val="true"/>
          <w:lang w:bidi="fa-IR"/>
        </w:rPr>
        <w:t>»</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الریاض</w:t>
      </w:r>
      <w:r>
        <w:rPr>
          <w:rStyle w:val="FootnoteAnchor"/>
          <w:rtl w:val="true"/>
        </w:rPr>
        <w:footnoteReference w:id="1997"/>
      </w:r>
      <w:r>
        <w:rPr>
          <w:rFonts w:ascii="IRNazanin" w:hAnsi="IRNazanin" w:eastAsia="IRNazanin"/>
          <w:color w:val="111111"/>
          <w:sz w:val="28"/>
          <w:sz w:val="28"/>
          <w:szCs w:val="28"/>
          <w:rtl w:val="true"/>
          <w:lang w:bidi="fa-IR"/>
        </w:rPr>
        <w:t>و مفتاح الکرامة، و زاد فی الأخیر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ذکر یعرف الفرق بین العقود الجائزة و اللازمة، فإنّ الضابط فی اللازمة أن تکون بعبارات مخصوصة مقرّرة معتبرة، بمعنی أن تکون عن بالغ عاقل، و فی العقود الجائزة مجرّد حصول الإذن و لو خلی عن العبارة بالکلّیّة</w:t>
      </w:r>
      <w:r>
        <w:rPr>
          <w:rFonts w:eastAsia="IRNazanin" w:cs="IRNazanin"/>
          <w:color w:val="111111"/>
          <w:sz w:val="28"/>
          <w:szCs w:val="28"/>
          <w:rtl w:val="true"/>
          <w:lang w:bidi="fa-IR"/>
        </w:rPr>
        <w:t>»</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الکاظمی فی بحث صحّة بیع الصبیّ إذا کان فیه بمنزلة الآلة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فالاعتماد فی الحقیقة علی الإذن المستفاد من حال المالک فی الأخذ و الإعطاء مع البناء علی ما هو الغالب من کونه صحیح التصرّف، لا علی قول الصبیّ أو معاملته من حیث أنّه کذلک، و کثیراً ما یعتمد الناس علی الإذن المستفاد من غیر وجود ذی ید أصلاً إذا شهدت الحال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المعاوضات من أنواع التصرّفات</w:t>
      </w:r>
      <w:r>
        <w:rPr>
          <w:rFonts w:eastAsia="IRNazanin" w:cs="IRNazanin"/>
          <w:color w:val="111111"/>
          <w:sz w:val="28"/>
          <w:szCs w:val="28"/>
          <w:rtl w:val="true"/>
          <w:lang w:bidi="fa-IR"/>
        </w:rPr>
        <w:t>»</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الطفل الممیّز لیس آلة محضة کالحیوان، و لا دلیل علی الفرق بین العقد الجائز و اللازم، کما أنّ العقد الجائز لیس مجرد الإذن فقط،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بحث بیع الصبیّ‌</w:t>
      </w:r>
      <w:r>
        <w:rPr>
          <w:rStyle w:val="FootnoteAnchor"/>
          <w:rtl w:val="true"/>
        </w:rPr>
        <w:footnoteReference w:id="2000"/>
      </w:r>
      <w:r>
        <w:rPr>
          <w:rFonts w:ascii="IRNazanin" w:hAnsi="IRNazanin" w:eastAsia="IRNazanin"/>
          <w:color w:val="111111"/>
          <w:sz w:val="28"/>
          <w:sz w:val="28"/>
          <w:szCs w:val="28"/>
          <w:rtl w:val="true"/>
          <w:lang w:bidi="fa-IR"/>
        </w:rPr>
        <w:t>أنّه لا دلیل علی کونه مسلوب العبارة، بل غایة ما یستفاد من الأدلّة عدم جواز استقلاله فی التصرّف المعاملی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إذن الولیّ و مراعاة المصلحة فتصحّ تصرّفاته من بیعه و شرائه و کونه مباشراً للعقود، فالمدار علی صحّة تصرّفه، لا رضی المالک، و إلّا یلزم الحکم بصحّة إعارة غیر الممیّز و المجنون و لم یقل أحد بصحّة إعارتهما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جواز التصرّف فیما أتاه الصبیّ غیر الممیّز فلعلّه من جهة أنّهم یرونه کالآلة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حیث إنّه لم یقم دلیل علی عدم صحّة تصرّف الصبیّ الممیّز إذا کان بإذن الولیّ و تشمله الإطلاقات قالوا بصحّة عاریته إن کان کذلک، فالدلیل الذی یدلّ علی الصحّة هنا یدلّ علیها فی سائر أبواب المعاملات و العقود؛ إذ لا دلیل بخصوصه فی المقام، و لا فرق بین العاریة و غیرها من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الإیراد علی ما فی المسالک و الذی تقدّم ذکره آنفاً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فإنّ مظهر الجواز و عدمه هو صحّة تصرّف المستعیر و المشتری، سواء کان العقد لازماً أو جائزاً، فإن جوّزنا له ذلک بعقد الصبیّ المأذون له من الولیّ، فلا فرق فی ذلک بین اللازم و الجائز، و إلّا فلا؛ إذ لا مدخل لذلک فی الجواز و عدمه، کما لا یخفی</w:t>
      </w:r>
      <w:r>
        <w:rPr>
          <w:rFonts w:eastAsia="IRNazanin" w:cs="IRNazanin"/>
          <w:color w:val="111111"/>
          <w:sz w:val="28"/>
          <w:szCs w:val="28"/>
          <w:rtl w:val="true"/>
          <w:lang w:bidi="fa-IR"/>
        </w:rPr>
        <w:t>»</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السیّد الخوانساری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ظاهر هذه العبارات أنّه مع الإذن من قبل الولیّ یجوز للصبیّ الإعارة لا بنحو آلیّة الصبیّ بحیث یکون الآذن الولیّ، و هذا خلاف ما یظهر من کلماتهم فی سائر 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کالبیع و الإجارة و الصلح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نفوذ تصرّف الصبیّ مع الإذن من الولیّ إلاّ أن یکون الصبیّ آلة، و فی الحقیقة طرف المعاملة لیس غیر الولیّ، و الظاهر أنّ المستفاد من أدلّة الحجر</w:t>
      </w:r>
      <w:bookmarkStart w:id="556" w:name="pg11757_135753"/>
    </w:p>
    <w:p>
      <w:pPr>
        <w:pStyle w:val="BookText"/>
        <w:rPr/>
      </w:pPr>
      <w:bookmarkEnd w:id="556"/>
      <w:r>
        <w:rPr>
          <w:rFonts w:ascii="IRNazanin" w:hAnsi="IRNazanin" w:eastAsia="IRNazanin"/>
          <w:color w:val="111111"/>
          <w:sz w:val="28"/>
          <w:sz w:val="28"/>
          <w:szCs w:val="28"/>
          <w:rtl w:val="true"/>
          <w:lang w:bidi="fa-IR"/>
        </w:rPr>
        <w:t>لیس إلّا عدم النفوذ بالاستقلال لامع إذن الولیّ، و المذکور فی المقام لیس مخالفاً لدلیل حجر الصبیّ، و ما ذکروا فی مثل البیع و الإجارة من عدم النفوذ حتّی مع الإذن، بل الصحّة منحصرة بصورة آلیّة الطفل، یشکل استفادته من الأدلّة</w:t>
      </w:r>
      <w:r>
        <w:rPr>
          <w:rFonts w:eastAsia="IRNazanin" w:cs="IRNazanin"/>
          <w:color w:val="111111"/>
          <w:sz w:val="28"/>
          <w:szCs w:val="28"/>
          <w:rtl w:val="true"/>
          <w:lang w:bidi="fa-IR"/>
        </w:rPr>
        <w:t>»</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فی الجواهر بعد الرّد علی ما فی المسالک و الریاض بأنّ إذن الولیّ و أمره یجعل</w:t>
      </w:r>
      <w:r>
        <w:rPr>
          <w:rStyle w:val="FootnoteAnchor"/>
          <w:rtl w:val="true"/>
        </w:rPr>
        <w:footnoteReference w:id="2003"/>
      </w:r>
      <w:r>
        <w:rPr>
          <w:rFonts w:ascii="IRNazanin" w:hAnsi="IRNazanin" w:eastAsia="IRNazanin"/>
          <w:color w:val="111111"/>
          <w:sz w:val="28"/>
          <w:sz w:val="28"/>
          <w:szCs w:val="28"/>
          <w:rtl w:val="true"/>
          <w:lang w:bidi="fa-IR"/>
        </w:rPr>
        <w:t>فعل الصبیّ فعلاً للولیّ، کما أنّ أمره له بأفعال الحجّ یکون موجباً للصحّة فی الجملة،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ذلک متوقّف علی دلیل اختصاص العاریة بذلک، و لعلّه للسّیرة المعتضدة بهذه الکلمات من الأصحاب و إرسالهم إرسال المسلّمات</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7" w:name="__RefHeading___Toc9696925_73709187"/>
      <w:bookmarkStart w:id="558" w:name="_Toc206"/>
      <w:bookmarkEnd w:id="557"/>
      <w:r>
        <w:rPr>
          <w:rtl w:val="true"/>
        </w:rPr>
        <w:t>تکملة</w:t>
      </w:r>
      <w:bookmarkEnd w:id="558"/>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الضابط فی العاریة مجرّد الإذن بها و لو خلا عن العبارة بالکلّیّة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علم المستعیر بإذن الولیّ، و إلّا لم یقبل قول الصبیّ فی حقّه، إلّا أن تنضمّ إلیه قرینة، هی للظنّ المتاخم للعلم به مفیدة، کما إذا طالبها من الولیّ فجاء بها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 أنّه أرسله بها و نحو ذلک، کما یقبل قوله فی الهدیّة و الإذن فی دخول الدار بالقرینة</w:t>
      </w:r>
      <w:r>
        <w:rPr>
          <w:rFonts w:eastAsia="IRNazanin" w:cs="IRNazanin"/>
          <w:color w:val="111111"/>
          <w:sz w:val="28"/>
          <w:szCs w:val="28"/>
          <w:rtl w:val="true"/>
          <w:lang w:bidi="fa-IR"/>
        </w:rPr>
        <w:t>.</w:t>
      </w:r>
      <w:bookmarkStart w:id="559" w:name="pg11757_135754"/>
    </w:p>
    <w:p>
      <w:pPr>
        <w:pStyle w:val="BookText"/>
        <w:rPr/>
      </w:pPr>
      <w:bookmarkEnd w:id="559"/>
      <w:r>
        <w:rPr>
          <w:rFonts w:ascii="IRNazanin" w:hAnsi="IRNazanin" w:eastAsia="IRNazanin"/>
          <w:color w:val="111111"/>
          <w:sz w:val="28"/>
          <w:sz w:val="28"/>
          <w:szCs w:val="28"/>
          <w:rtl w:val="true"/>
          <w:lang w:bidi="fa-IR"/>
        </w:rPr>
        <w:t>و لا بدّ مع إذن الولیّ له فی إعارة ماله من وجود المصلحة، بأن تکون ید المستعیر أحفظ من ید الولیّ فی ذلک الوقت أو لانتفاع الصبیّ بالمستعیر بما یزید عن منفعة ماله، أو تکون العین ینفعها الاستعمال و یضرّها الإهمال و نحو ذلک</w:t>
      </w:r>
      <w:r>
        <w:rPr>
          <w:rStyle w:val="FootnoteAnchor"/>
          <w:rtl w:val="true"/>
        </w:rPr>
        <w:footnoteReference w:id="20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المسالک</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0" w:name="__RefHeading___Toc9696927_73709187"/>
      <w:bookmarkStart w:id="561" w:name="_Toc207"/>
      <w:bookmarkEnd w:id="560"/>
      <w:r>
        <w:rPr>
          <w:rtl w:val="true"/>
        </w:rPr>
        <w:t>عاریة الصبیّ عند أهل السنّة</w:t>
      </w:r>
      <w:bookmarkEnd w:id="561"/>
    </w:p>
    <w:p>
      <w:pPr>
        <w:pStyle w:val="BookText"/>
        <w:rPr/>
      </w:pPr>
      <w:r>
        <w:rPr>
          <w:rFonts w:ascii="IRNazanin" w:hAnsi="IRNazanin" w:eastAsia="IRNazanin"/>
          <w:color w:val="111111"/>
          <w:sz w:val="28"/>
          <w:sz w:val="28"/>
          <w:szCs w:val="28"/>
          <w:rtl w:val="true"/>
          <w:lang w:bidi="fa-IR"/>
        </w:rPr>
        <w:t>یشترط عند الشافعیّة و الحنابلة و المالکیّة أن یکون المعیر و المستعیر بالغاً جائز التصرّف، فلا تصحّ إعارة الصبیّ عندهم، و إطلاق کلامهم یشمل حتّی لو کان مأذوناً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تصحّ الإعارة إلّا من جائز التصرّف فی المال، فأمّا من لا یملک التصرّف فی المال کالصبیّ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تصحّ منه؛ لأنّه تصرّف فی المال فلا یملکه الصبیّ کالبیع</w:t>
      </w:r>
      <w:r>
        <w:rPr>
          <w:rFonts w:eastAsia="IRNazanin" w:cs="IRNazanin"/>
          <w:color w:val="111111"/>
          <w:sz w:val="28"/>
          <w:szCs w:val="28"/>
          <w:rtl w:val="true"/>
          <w:lang w:bidi="fa-IR"/>
        </w:rPr>
        <w:t>»</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النوویّ فی شرحه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تفترض العاریة ثلاثة أرکان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المعیر، و یعتبر فیه صحّة تبرّعه، و أن یکون مختاراً؛ لأنّ العاریة تبرّع بإباحة المنفعة، فلا تصحّ ممّن لا یصحّ تبرّعه کصبیّ و سفیه و مفلّس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الصبیّ غیر جائز التصرّف فی المال کالمجنون، فلا تصحّ له؛ لحدیث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القلم عن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الصبیّ حتّی یحتلم</w:t>
      </w:r>
      <w:r>
        <w:rPr>
          <w:rFonts w:eastAsia="IRNazanin" w:cs="IRNazanin"/>
          <w:color w:val="111111"/>
          <w:sz w:val="28"/>
          <w:szCs w:val="28"/>
          <w:rtl w:val="true"/>
          <w:lang w:bidi="fa-IR"/>
        </w:rPr>
        <w:t>»</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الرکن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المستعیر، و یشترط أن یکون أهلاً للتبرّع علیه بعقد یشتمل</w:t>
      </w:r>
    </w:p>
    <w:p>
      <w:pPr>
        <w:pStyle w:val="BookText"/>
        <w:rPr/>
      </w:pPr>
      <w:r>
        <w:rPr>
          <w:rFonts w:ascii="IRNazanin" w:hAnsi="IRNazanin" w:eastAsia="IRNazanin"/>
          <w:color w:val="111111"/>
          <w:sz w:val="28"/>
          <w:sz w:val="28"/>
          <w:szCs w:val="28"/>
          <w:rtl w:val="true"/>
          <w:lang w:bidi="fa-IR"/>
        </w:rPr>
        <w:t>علی إیجاب و قبول بقول أو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لا تصحّ 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تصحّ الهبة منه</w:t>
      </w:r>
      <w:r>
        <w:rPr>
          <w:rFonts w:eastAsia="IRNazanin" w:cs="IRNazanin"/>
          <w:color w:val="111111"/>
          <w:sz w:val="28"/>
          <w:szCs w:val="28"/>
          <w:rtl w:val="true"/>
          <w:lang w:bidi="fa-IR"/>
        </w:rPr>
        <w:t>»</w:t>
      </w:r>
      <w:r>
        <w:rPr>
          <w:rStyle w:val="FootnoteAnchor"/>
          <w:rtl w:val="true"/>
        </w:rPr>
        <w:footnoteReference w:id="20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مغنی المحتاج</w:t>
      </w:r>
      <w:r>
        <w:rPr>
          <w:rStyle w:val="FootnoteAnchor"/>
          <w:rtl w:val="true"/>
        </w:rPr>
        <w:footnoteReference w:id="2010"/>
      </w:r>
      <w:r>
        <w:rPr>
          <w:rFonts w:ascii="IRNazanin" w:hAnsi="IRNazanin" w:eastAsia="IRNazanin"/>
          <w:color w:val="111111"/>
          <w:sz w:val="28"/>
          <w:sz w:val="28"/>
          <w:szCs w:val="28"/>
          <w:rtl w:val="true"/>
          <w:lang w:bidi="fa-IR"/>
        </w:rPr>
        <w:t>و روضة الطالبین</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تصحّ العاریة إلّا من جائز التصرّف؛ لأنّه تصرّف فی المال فأشبه التصرّف بالبیع</w:t>
      </w:r>
      <w:r>
        <w:rPr>
          <w:rFonts w:eastAsia="IRNazanin" w:cs="IRNazanin"/>
          <w:color w:val="111111"/>
          <w:sz w:val="28"/>
          <w:szCs w:val="28"/>
          <w:rtl w:val="true"/>
          <w:lang w:bidi="fa-IR"/>
        </w:rPr>
        <w:t>»</w:t>
      </w:r>
      <w:r>
        <w:rPr>
          <w:rStyle w:val="FootnoteAnchor"/>
          <w:rtl w:val="true"/>
        </w:rPr>
        <w:footnoteReference w:id="20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بلغة السالک</w:t>
      </w:r>
      <w:r>
        <w:rPr>
          <w:rStyle w:val="FootnoteAnchor"/>
          <w:rtl w:val="true"/>
        </w:rPr>
        <w:footnoteReference w:id="2013"/>
      </w:r>
      <w:r>
        <w:rPr>
          <w:rFonts w:ascii="IRNazanin" w:hAnsi="IRNazanin" w:eastAsia="IRNazanin"/>
          <w:color w:val="111111"/>
          <w:sz w:val="28"/>
          <w:sz w:val="28"/>
          <w:szCs w:val="28"/>
          <w:rtl w:val="true"/>
          <w:lang w:bidi="fa-IR"/>
        </w:rPr>
        <w:t>و عقد الجواهر الثمینة</w:t>
      </w:r>
      <w:r>
        <w:rPr>
          <w:rStyle w:val="FootnoteAnchor"/>
          <w:rtl w:val="true"/>
        </w:rPr>
        <w:footnoteReference w:id="2014"/>
      </w:r>
      <w:r>
        <w:rPr>
          <w:rFonts w:ascii="IRNazanin" w:hAnsi="IRNazanin" w:eastAsia="IRNazanin"/>
          <w:color w:val="111111"/>
          <w:sz w:val="28"/>
          <w:sz w:val="28"/>
          <w:szCs w:val="28"/>
          <w:rtl w:val="true"/>
          <w:lang w:bidi="fa-IR"/>
        </w:rPr>
        <w:t>و حاشیة الخرشی</w:t>
      </w:r>
      <w:r>
        <w:rPr>
          <w:rStyle w:val="FootnoteAnchor"/>
          <w:rtl w:val="true"/>
        </w:rPr>
        <w:footnoteReference w:id="2015"/>
      </w:r>
      <w:r>
        <w:rPr>
          <w:rFonts w:ascii="IRNazanin" w:hAnsi="IRNazanin" w:eastAsia="IRNazanin"/>
          <w:color w:val="111111"/>
          <w:sz w:val="28"/>
          <w:sz w:val="28"/>
          <w:szCs w:val="28"/>
          <w:rtl w:val="true"/>
          <w:lang w:bidi="fa-IR"/>
        </w:rPr>
        <w:t>و غیرها</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الحنفیّة فلا یشترط عندهم أن یکون المعیر بالغاً، قال فی البدائع</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الشرائط التی یصیر الرکن بها إعارة شرعاً فأنواع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العقل، فلا تصحّ الإعارة من المجنون و الصبیّ الذی لا یعقل، و أمّا البلوغ فلیس بشرط عندنا حتّی تصحّ الإعارة من الصبیّ المأذون؛ لأنّها من توابع التجارة، و أنّه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من توابعها، و عند الشافعی لا یملک</w:t>
      </w:r>
      <w:r>
        <w:rPr>
          <w:rFonts w:eastAsia="IRNazanin" w:cs="IRNazanin"/>
          <w:color w:val="111111"/>
          <w:sz w:val="28"/>
          <w:szCs w:val="28"/>
          <w:rtl w:val="true"/>
          <w:lang w:bidi="fa-IR"/>
        </w:rPr>
        <w:t>»</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bookmarkStart w:id="562" w:name="pg11757_135758"/>
    </w:p>
    <w:p>
      <w:pPr>
        <w:pStyle w:val="Heading3"/>
        <w:numPr>
          <w:ilvl w:val="2"/>
          <w:numId w:val="1"/>
        </w:numPr>
        <w:rPr/>
      </w:pPr>
      <w:bookmarkStart w:id="563" w:name="__RefHeading___Toc9696929_73709187"/>
      <w:bookmarkStart w:id="564" w:name="_Toc208"/>
      <w:bookmarkEnd w:id="562"/>
      <w:bookmarkEnd w:id="563"/>
      <w:r>
        <w:rPr>
          <w:rtl w:val="true"/>
        </w:rPr>
        <w:t>الفصل الرابع عشر</w:t>
      </w:r>
      <w:r>
        <w:rPr>
          <w:rtl w:val="true"/>
        </w:rPr>
        <w:t xml:space="preserve">: </w:t>
      </w:r>
      <w:r>
        <w:rPr>
          <w:rtl w:val="true"/>
        </w:rPr>
        <w:t>إجارة الصبیّ</w:t>
      </w:r>
      <w:bookmarkEnd w:id="564"/>
    </w:p>
    <w:p>
      <w:pPr>
        <w:pStyle w:val="Heading4"/>
        <w:numPr>
          <w:ilvl w:val="3"/>
          <w:numId w:val="1"/>
        </w:numPr>
        <w:rPr/>
      </w:pPr>
      <w:bookmarkStart w:id="565" w:name="__RefHeading___Toc9696931_73709187"/>
      <w:bookmarkStart w:id="566" w:name="_Toc209"/>
      <w:bookmarkEnd w:id="565"/>
      <w:r>
        <w:rPr>
          <w:rtl w:val="true"/>
        </w:rPr>
        <w:t>تعریف الإجارة</w:t>
      </w:r>
      <w:bookmarkEnd w:id="566"/>
    </w:p>
    <w:p>
      <w:pPr>
        <w:pStyle w:val="Heading5"/>
        <w:numPr>
          <w:ilvl w:val="4"/>
          <w:numId w:val="1"/>
        </w:numPr>
        <w:rPr/>
      </w:pPr>
      <w:bookmarkStart w:id="567" w:name="__RefHeading___Toc9696933_73709187"/>
      <w:bookmarkStart w:id="568" w:name="_Toc210"/>
      <w:bookmarkEnd w:id="567"/>
      <w:r>
        <w:rPr>
          <w:rtl w:val="true"/>
        </w:rPr>
        <w:t>اشارة</w:t>
      </w:r>
      <w:bookmarkEnd w:id="568"/>
    </w:p>
    <w:p>
      <w:pPr>
        <w:pStyle w:val="BookText"/>
        <w:rPr/>
      </w:pPr>
      <w:r>
        <w:rPr>
          <w:rFonts w:ascii="IRNazanin" w:hAnsi="IRNazanin" w:eastAsia="IRNazanin"/>
          <w:color w:val="111111"/>
          <w:sz w:val="28"/>
          <w:sz w:val="28"/>
          <w:szCs w:val="28"/>
          <w:rtl w:val="true"/>
          <w:lang w:bidi="fa-IR"/>
        </w:rPr>
        <w:t>الإجارة لغة من الأجر،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أکراه، و آجرته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أکریتها، و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الاُجرة علی العمل</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الإجارة من أجر یأجر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أعطیت من أجر فی عمل</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فی الاصطلاح فقد عرّفها العلّامة فی القواعد 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 ثمرته نقل المنافع بعوض معلوم مع بقاء الملک علی أصله</w:t>
      </w:r>
      <w:r>
        <w:rPr>
          <w:rFonts w:eastAsia="IRNazanin" w:cs="IRNazanin"/>
          <w:color w:val="111111"/>
          <w:sz w:val="28"/>
          <w:szCs w:val="28"/>
          <w:rtl w:val="true"/>
          <w:lang w:bidi="fa-IR"/>
        </w:rPr>
        <w:t>»</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جامع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تملیک المنفعة المعیّنة مدّة معینة بعوض معلوم مع بقاء الملک علی أصله</w:t>
      </w:r>
      <w:r>
        <w:rPr>
          <w:rFonts w:eastAsia="IRNazanin" w:cs="IRNazanin"/>
          <w:color w:val="111111"/>
          <w:sz w:val="28"/>
          <w:szCs w:val="28"/>
          <w:rtl w:val="true"/>
          <w:lang w:bidi="fa-IR"/>
        </w:rPr>
        <w:t>»</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الإمام الخمینی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 معاملة یستتبعها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تملیک عمل أو</w:t>
      </w:r>
      <w:bookmarkStart w:id="569" w:name="pg11757_135759"/>
    </w:p>
    <w:p>
      <w:pPr>
        <w:pStyle w:val="BookText"/>
        <w:rPr/>
      </w:pPr>
      <w:bookmarkEnd w:id="569"/>
      <w:r>
        <w:rPr>
          <w:rFonts w:ascii="IRNazanin" w:hAnsi="IRNazanin" w:eastAsia="IRNazanin"/>
          <w:color w:val="111111"/>
          <w:sz w:val="28"/>
          <w:sz w:val="28"/>
          <w:szCs w:val="28"/>
          <w:rtl w:val="true"/>
          <w:lang w:bidi="fa-IR"/>
        </w:rPr>
        <w:t xml:space="preserve">منفعة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التملیک مفاداً أوّلیّاً للإجارة، و لهذا یکون لفظها الصریح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ملّکتک منفعة الدار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مریداً به الإجارة فلیس من اللفظ الصریح و إن صحّت الإجارة بمثله</w:t>
      </w:r>
      <w:r>
        <w:rPr>
          <w:rFonts w:eastAsia="IRNazanin" w:cs="IRNazanin"/>
          <w:color w:val="111111"/>
          <w:sz w:val="28"/>
          <w:szCs w:val="28"/>
          <w:rtl w:val="true"/>
          <w:lang w:bidi="fa-IR"/>
        </w:rPr>
        <w:t>»</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التعریف الأوّل و الثالث ناظران إلی العقد المرکّب من الإیجاب و القبول، و الثانی ناظر إلی فعل الموجر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الأردبیلی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یراد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الإجارة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المقتضی لانتقال المنفعة المعینة بعوض معیّن مع التراضی، و قد یراد منها هذا الانتقال الذی هو ثمرته</w:t>
      </w:r>
      <w:r>
        <w:rPr>
          <w:rFonts w:eastAsia="IRNazanin" w:cs="IRNazanin"/>
          <w:color w:val="111111"/>
          <w:sz w:val="28"/>
          <w:szCs w:val="28"/>
          <w:rtl w:val="true"/>
          <w:lang w:bidi="fa-IR"/>
        </w:rPr>
        <w:t>»</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 باعتبار المعقود علیه تنقسم إلی 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الإجارة الواردة علی منافع الأعیان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المقصود منها هو المنفعة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کإجارة السیّارة للرّکوب و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الإجارة الواردة علی الأعمال و منافع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المقصود منها هو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کالإجارة علی الکتابة و الخیاطة و الزرع و غیر ذلک، فیقع الکلام فیها بالنسبة إلی الصبیّ فی مقامین</w:t>
      </w:r>
      <w:r>
        <w:rPr>
          <w:rFonts w:eastAsia="IRNazanin" w:cs="IRNazanin"/>
          <w:color w:val="111111"/>
          <w:sz w:val="28"/>
          <w:szCs w:val="28"/>
          <w:rtl w:val="true"/>
          <w:lang w:bidi="fa-IR"/>
        </w:rPr>
        <w:t>:</w:t>
      </w:r>
    </w:p>
    <w:p>
      <w:pPr>
        <w:pStyle w:val="Heading5"/>
        <w:numPr>
          <w:ilvl w:val="4"/>
          <w:numId w:val="1"/>
        </w:numPr>
        <w:rPr/>
      </w:pPr>
      <w:bookmarkStart w:id="570" w:name="__RefHeading___Toc9696935_73709187"/>
      <w:bookmarkStart w:id="571" w:name="_Toc211"/>
      <w:bookmarkEnd w:id="570"/>
      <w:r>
        <w:rPr>
          <w:rtl w:val="true"/>
        </w:rPr>
        <w:t>المقام الأوّل</w:t>
      </w:r>
      <w:r>
        <w:rPr>
          <w:rtl w:val="true"/>
        </w:rPr>
        <w:t xml:space="preserve">: </w:t>
      </w:r>
      <w:r>
        <w:rPr>
          <w:rtl w:val="true"/>
        </w:rPr>
        <w:t>إیجار الصبیّ منافع الأعیان</w:t>
      </w:r>
      <w:bookmarkEnd w:id="571"/>
    </w:p>
    <w:p>
      <w:pPr>
        <w:pStyle w:val="Heading6"/>
        <w:numPr>
          <w:ilvl w:val="5"/>
          <w:numId w:val="1"/>
        </w:numPr>
        <w:rPr/>
      </w:pPr>
      <w:bookmarkStart w:id="572" w:name="__RefHeading___Toc9696937_73709187"/>
      <w:bookmarkStart w:id="573" w:name="_Toc212"/>
      <w:bookmarkEnd w:id="572"/>
      <w:r>
        <w:rPr>
          <w:rtl w:val="true"/>
        </w:rPr>
        <w:t>اشارة</w:t>
      </w:r>
      <w:bookmarkEnd w:id="573"/>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تنعقد إجارة الصبیّ غیر الممیّز و لو أذن له الولیّ أو أجازه بعد ذلک بلا خلاف فیه، قال المحقّق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شرائط الإجارة، و هی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المتعاقدان کاملین جائزی التصرّف، فلو آجر المجنون لم تنعقد إجارته،</w:t>
      </w:r>
      <w:bookmarkStart w:id="574" w:name="pg11757_135760"/>
    </w:p>
    <w:p>
      <w:pPr>
        <w:pStyle w:val="BookText"/>
        <w:rPr/>
      </w:pPr>
      <w:bookmarkEnd w:id="574"/>
      <w:r>
        <w:rPr>
          <w:rFonts w:ascii="Amiri" w:hAnsi="Amiri" w:eastAsia="Amiri" w:cs="Amiri"/>
          <w:color w:val="111111"/>
          <w:sz w:val="28"/>
          <w:sz w:val="28"/>
          <w:szCs w:val="28"/>
          <w:rtl w:val="true"/>
          <w:lang w:bidi="ar-SA"/>
        </w:rPr>
        <w:t>و کذا الصبیّ غیر الممیّز</w:t>
      </w:r>
      <w:r>
        <w:rPr>
          <w:rFonts w:eastAsia="Amiri" w:cs="Amiri" w:ascii="Amiri" w:hAnsi="Amiri"/>
          <w:color w:val="111111"/>
          <w:sz w:val="28"/>
          <w:szCs w:val="28"/>
          <w:rtl w:val="true"/>
          <w:lang w:bidi="ar-SA"/>
        </w:rPr>
        <w:t>»</w:t>
      </w:r>
      <w:r>
        <w:rPr>
          <w:rStyle w:val="FootnoteAnchor"/>
          <w:rtl w:val="true"/>
        </w:rPr>
        <w:footnoteReference w:id="2024"/>
      </w:r>
      <w:r>
        <w:rPr>
          <w:rFonts w:ascii="IRNazanin" w:hAnsi="IRNazanin" w:eastAsia="IRNazanin"/>
          <w:color w:val="111111"/>
          <w:sz w:val="28"/>
          <w:sz w:val="28"/>
          <w:szCs w:val="28"/>
          <w:rtl w:val="true"/>
          <w:lang w:bidi="fa-IR"/>
        </w:rPr>
        <w:t>؛ إذ لا أثر لعبارة غیر الممیّز بعد أن کان فاقداً للقصد المعتبر فی العقد، سواء کان العقد لنفسه أو لغیره، فإنّه بمنزلة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الصبیّ الممیّز فهل تصحّ إجارته أم لا؟ و فیه أقوال</w:t>
      </w:r>
      <w:r>
        <w:rPr>
          <w:rFonts w:eastAsia="IRNazanin" w:cs="IRNazanin"/>
          <w:color w:val="111111"/>
          <w:sz w:val="28"/>
          <w:szCs w:val="28"/>
          <w:rtl w:val="true"/>
          <w:lang w:bidi="fa-IR"/>
        </w:rPr>
        <w:t>:</w:t>
      </w:r>
    </w:p>
    <w:p>
      <w:pPr>
        <w:pStyle w:val="Heading6"/>
        <w:numPr>
          <w:ilvl w:val="5"/>
          <w:numId w:val="1"/>
        </w:numPr>
        <w:rPr/>
      </w:pPr>
      <w:bookmarkStart w:id="575" w:name="__RefHeading___Toc9696939_73709187"/>
      <w:bookmarkStart w:id="576" w:name="_Toc213"/>
      <w:bookmarkEnd w:id="575"/>
      <w:r>
        <w:rPr>
          <w:rtl w:val="true"/>
        </w:rPr>
        <w:t>القول الأوّل</w:t>
      </w:r>
      <w:r>
        <w:rPr>
          <w:rtl w:val="true"/>
        </w:rPr>
        <w:t xml:space="preserve">: </w:t>
      </w:r>
      <w:r>
        <w:rPr>
          <w:rtl w:val="true"/>
        </w:rPr>
        <w:t>بطلانها</w:t>
      </w:r>
      <w:r>
        <w:rPr>
          <w:rtl w:val="true"/>
        </w:rPr>
        <w:t>:</w:t>
      </w:r>
      <w:bookmarkEnd w:id="576"/>
    </w:p>
    <w:p>
      <w:pPr>
        <w:pStyle w:val="BookText"/>
        <w:rPr/>
      </w:pPr>
      <w:r>
        <w:rPr>
          <w:rFonts w:ascii="IRNazanin" w:hAnsi="IRNazanin" w:eastAsia="IRNazanin"/>
          <w:color w:val="111111"/>
          <w:sz w:val="28"/>
          <w:sz w:val="28"/>
          <w:szCs w:val="28"/>
          <w:rtl w:val="true"/>
          <w:lang w:bidi="fa-IR"/>
        </w:rPr>
        <w:t>المشهور بین المتأخِّرین عدم انعقاد إجارة الصبیّ مطلقاً، قال العلّامة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تنعقد إجارة الصبیّ إیجاباً و لا قبولاً، سواء کان ممیّزاً أو لا، و سواء أذن له الولیّ أو لا؛ إذ لا عبرة بعبارة الصبیّ</w:t>
      </w:r>
      <w:r>
        <w:rPr>
          <w:rFonts w:eastAsia="IRNazanin" w:cs="IRNazanin"/>
          <w:color w:val="111111"/>
          <w:sz w:val="28"/>
          <w:szCs w:val="28"/>
          <w:rtl w:val="true"/>
          <w:lang w:bidi="fa-IR"/>
        </w:rPr>
        <w:t>»</w:t>
      </w:r>
      <w:r>
        <w:rPr>
          <w:rStyle w:val="FootnoteAnchor"/>
          <w:rtl w:val="true"/>
        </w:rPr>
        <w:footnoteReference w:id="20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الإیضاح</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جامع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الأصحّ عدم الصحّة</w:t>
      </w:r>
      <w:r>
        <w:rPr>
          <w:rFonts w:eastAsia="IRNazanin" w:cs="IRNazanin"/>
          <w:color w:val="111111"/>
          <w:sz w:val="28"/>
          <w:szCs w:val="28"/>
          <w:rtl w:val="true"/>
          <w:lang w:bidi="fa-IR"/>
        </w:rPr>
        <w:t>»</w:t>
      </w:r>
      <w:r>
        <w:rPr>
          <w:rStyle w:val="FootnoteAnchor"/>
          <w:rtl w:val="true"/>
        </w:rPr>
        <w:footnoteReference w:id="2027"/>
      </w:r>
      <w:r>
        <w:rPr>
          <w:rFonts w:ascii="IRNazanin" w:hAnsi="IRNazanin" w:eastAsia="IRNazanin"/>
          <w:color w:val="111111"/>
          <w:sz w:val="28"/>
          <w:sz w:val="28"/>
          <w:szCs w:val="28"/>
          <w:rtl w:val="true"/>
          <w:lang w:bidi="fa-IR"/>
        </w:rPr>
        <w:t>، و فی الروضة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تصحّ إجارة الصبیّ و إن کان ممیّزاً أو أذن له الولیّ، و لا المجنون مطلقاً</w:t>
      </w:r>
      <w:r>
        <w:rPr>
          <w:rFonts w:eastAsia="IRNazanin" w:cs="IRNazanin"/>
          <w:color w:val="111111"/>
          <w:sz w:val="28"/>
          <w:szCs w:val="28"/>
          <w:rtl w:val="true"/>
          <w:lang w:bidi="fa-IR"/>
        </w:rPr>
        <w:t>»</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الأقوی البطلان مطلقاً</w:t>
      </w:r>
      <w:r>
        <w:rPr>
          <w:rFonts w:eastAsia="IRNazanin" w:cs="IRNazanin"/>
          <w:color w:val="111111"/>
          <w:sz w:val="28"/>
          <w:szCs w:val="28"/>
          <w:rtl w:val="true"/>
          <w:lang w:bidi="fa-IR"/>
        </w:rPr>
        <w:t>»</w:t>
      </w:r>
      <w:r>
        <w:rPr>
          <w:rStyle w:val="FootnoteAnchor"/>
          <w:rtl w:val="true"/>
        </w:rPr>
        <w:footnoteReference w:id="2029"/>
      </w:r>
      <w:r>
        <w:rPr>
          <w:rFonts w:ascii="IRNazanin" w:hAnsi="IRNazanin" w:eastAsia="IRNazanin"/>
          <w:color w:val="111111"/>
          <w:sz w:val="28"/>
          <w:sz w:val="28"/>
          <w:szCs w:val="28"/>
          <w:rtl w:val="true"/>
          <w:lang w:bidi="fa-IR"/>
        </w:rPr>
        <w:t>، و کذا فی الریاض</w:t>
      </w:r>
      <w:r>
        <w:rPr>
          <w:rStyle w:val="FootnoteAnchor"/>
          <w:rtl w:val="true"/>
        </w:rPr>
        <w:footnoteReference w:id="2030"/>
      </w:r>
      <w:r>
        <w:rPr>
          <w:rFonts w:ascii="IRNazanin" w:hAnsi="IRNazanin" w:eastAsia="IRNazanin"/>
          <w:color w:val="111111"/>
          <w:sz w:val="28"/>
          <w:sz w:val="28"/>
          <w:szCs w:val="28"/>
          <w:rtl w:val="true"/>
          <w:lang w:bidi="fa-IR"/>
        </w:rPr>
        <w:t>و الحدائق</w:t>
      </w:r>
      <w:r>
        <w:rPr>
          <w:rStyle w:val="FootnoteAnchor"/>
          <w:rtl w:val="true"/>
        </w:rPr>
        <w:footnoteReference w:id="2031"/>
      </w:r>
      <w:r>
        <w:rPr>
          <w:rFonts w:ascii="IRNazanin" w:hAnsi="IRNazanin" w:eastAsia="IRNazanin"/>
          <w:color w:val="111111"/>
          <w:sz w:val="28"/>
          <w:sz w:val="28"/>
          <w:szCs w:val="28"/>
          <w:rtl w:val="true"/>
          <w:lang w:bidi="fa-IR"/>
        </w:rPr>
        <w:t>و مفتاح الکرامة</w:t>
      </w:r>
      <w:r>
        <w:rPr>
          <w:rStyle w:val="FootnoteAnchor"/>
          <w:rtl w:val="true"/>
        </w:rPr>
        <w:footnoteReference w:id="2032"/>
      </w:r>
      <w:r>
        <w:rPr>
          <w:rFonts w:ascii="IRNazanin" w:hAnsi="IRNazanin" w:eastAsia="IRNazanin"/>
          <w:color w:val="111111"/>
          <w:sz w:val="28"/>
          <w:sz w:val="28"/>
          <w:szCs w:val="28"/>
          <w:rtl w:val="true"/>
          <w:lang w:bidi="fa-IR"/>
        </w:rPr>
        <w:t>، و اختاره فی الجواهر</w:t>
      </w:r>
      <w:r>
        <w:rPr>
          <w:rStyle w:val="FootnoteAnchor"/>
          <w:rtl w:val="true"/>
        </w:rPr>
        <w:footnoteReference w:id="2033"/>
      </w:r>
      <w:r>
        <w:rPr>
          <w:rFonts w:ascii="IRNazanin" w:hAnsi="IRNazanin" w:eastAsia="IRNazanin"/>
          <w:color w:val="111111"/>
          <w:sz w:val="28"/>
          <w:sz w:val="28"/>
          <w:szCs w:val="28"/>
          <w:rtl w:val="true"/>
          <w:lang w:bidi="fa-IR"/>
        </w:rPr>
        <w:t>، و یظهر ذلک من العروة</w:t>
      </w:r>
      <w:r>
        <w:rPr>
          <w:rStyle w:val="FootnoteAnchor"/>
          <w:rtl w:val="true"/>
        </w:rPr>
        <w:footnoteReference w:id="2034"/>
      </w:r>
      <w:r>
        <w:rPr>
          <w:rFonts w:ascii="IRNazanin" w:hAnsi="IRNazanin" w:eastAsia="IRNazanin"/>
          <w:color w:val="111111"/>
          <w:sz w:val="28"/>
          <w:sz w:val="28"/>
          <w:szCs w:val="28"/>
          <w:rtl w:val="true"/>
          <w:lang w:bidi="fa-IR"/>
        </w:rPr>
        <w:t>و تحریر الوسیلة</w:t>
      </w:r>
      <w:r>
        <w:rPr>
          <w:rStyle w:val="FootnoteAnchor"/>
          <w:rtl w:val="true"/>
        </w:rPr>
        <w:footnoteReference w:id="2035"/>
      </w:r>
      <w:r>
        <w:rPr>
          <w:rFonts w:ascii="IRNazanin" w:hAnsi="IRNazanin" w:eastAsia="IRNazanin"/>
          <w:color w:val="111111"/>
          <w:sz w:val="28"/>
          <w:sz w:val="28"/>
          <w:szCs w:val="28"/>
          <w:rtl w:val="true"/>
          <w:lang w:bidi="fa-IR"/>
        </w:rPr>
        <w:t>و شرحها</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بحدیث رفع القلم</w:t>
      </w:r>
      <w:r>
        <w:rPr>
          <w:rStyle w:val="FootnoteAnchor"/>
          <w:rtl w:val="true"/>
        </w:rPr>
        <w:footnoteReference w:id="2037"/>
      </w:r>
      <w:r>
        <w:rPr>
          <w:rFonts w:ascii="IRNazanin" w:hAnsi="IRNazanin" w:eastAsia="IRNazanin"/>
          <w:color w:val="111111"/>
          <w:sz w:val="28"/>
          <w:sz w:val="28"/>
          <w:szCs w:val="28"/>
          <w:rtl w:val="true"/>
          <w:lang w:bidi="fa-IR"/>
        </w:rPr>
        <w:t xml:space="preserve">و بما ورد فی صحیح ابن مسلم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و خطأه واحد</w:t>
      </w:r>
      <w:r>
        <w:rPr>
          <w:rFonts w:eastAsia="IRNazanin" w:cs="IRNazanin"/>
          <w:color w:val="111111"/>
          <w:sz w:val="28"/>
          <w:szCs w:val="28"/>
          <w:rtl w:val="true"/>
          <w:lang w:bidi="fa-IR"/>
        </w:rPr>
        <w:t>»</w:t>
      </w:r>
      <w:r>
        <w:rPr>
          <w:rStyle w:val="FootnoteAnchor"/>
          <w:rtl w:val="true"/>
        </w:rPr>
        <w:footnoteReference w:id="2038"/>
      </w:r>
      <w:r>
        <w:rPr>
          <w:rFonts w:ascii="IRNazanin" w:hAnsi="IRNazanin" w:eastAsia="IRNazanin"/>
          <w:color w:val="111111"/>
          <w:sz w:val="28"/>
          <w:sz w:val="28"/>
          <w:szCs w:val="28"/>
          <w:rtl w:val="true"/>
          <w:lang w:bidi="fa-IR"/>
        </w:rPr>
        <w:t>، و معتبرة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الیتیم متی یجوز أمره؟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یبلغ أشدّه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أشدّه؟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الاحتلام</w:t>
      </w:r>
      <w:r>
        <w:rPr>
          <w:rStyle w:val="FootnoteAnchor"/>
          <w:rtl w:val="true"/>
        </w:rPr>
        <w:footnoteReference w:id="20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فإنّها تدلّ علی أنّ نفوذ أمره الذی منه عقد الإجارة متوقّف علی البلوغ، فلا ینفذ قبله و إن أذن الولیّ بمقتضی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استدلّ له بالإجماع</w:t>
      </w:r>
      <w:r>
        <w:rPr>
          <w:rStyle w:val="FootnoteAnchor"/>
          <w:rtl w:val="true"/>
        </w:rPr>
        <w:footnoteReference w:id="2040"/>
      </w:r>
      <w:r>
        <w:rPr>
          <w:rFonts w:ascii="IRNazanin" w:hAnsi="IRNazanin" w:eastAsia="IRNazanin"/>
          <w:color w:val="111111"/>
          <w:sz w:val="28"/>
          <w:sz w:val="28"/>
          <w:szCs w:val="28"/>
          <w:rtl w:val="true"/>
          <w:lang w:bidi="fa-IR"/>
        </w:rPr>
        <w:t>و الأصل و غیرهما ممّا حرّرناه بما لا مزید علیه فی بیع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عبارته مسلوبة بالأصل، فلا یصحّحها الإذن و لا الإجارة؛ لرفع القلم عنه، و هو یقتضی عدم الاعتداد بعبارته شرعاً فی حال، و إذن الولیّ لا یصیّر الناقص کاملاً</w:t>
      </w:r>
      <w:r>
        <w:rPr>
          <w:rFonts w:eastAsia="IRNazanin" w:cs="IRNazanin"/>
          <w:color w:val="111111"/>
          <w:sz w:val="28"/>
          <w:szCs w:val="28"/>
          <w:rtl w:val="true"/>
          <w:lang w:bidi="fa-IR"/>
        </w:rPr>
        <w:t>»</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لعموم أدلّة الحجر علی غیرهما</w:t>
      </w:r>
      <w:r>
        <w:rPr>
          <w:rFonts w:eastAsia="IRNazanin" w:cs="IRNazanin"/>
          <w:color w:val="111111"/>
          <w:sz w:val="28"/>
          <w:szCs w:val="28"/>
          <w:rtl w:val="true"/>
          <w:lang w:bidi="fa-IR"/>
        </w:rPr>
        <w:t>»</w:t>
      </w:r>
      <w:r>
        <w:rPr>
          <w:rStyle w:val="FootnoteAnchor"/>
          <w:rtl w:val="true"/>
        </w:rPr>
        <w:footnoteReference w:id="2042"/>
      </w:r>
      <w:r>
        <w:rPr>
          <w:rFonts w:ascii="IRNazanin" w:hAnsi="IRNazanin" w:eastAsia="IRNazanin"/>
          <w:color w:val="111111"/>
          <w:sz w:val="28"/>
          <w:sz w:val="28"/>
          <w:szCs w:val="28"/>
          <w:rtl w:val="true"/>
          <w:lang w:bidi="fa-IR"/>
        </w:rPr>
        <w:t>، أی المتعاقدین الکاملین بالبلوغ و العقل</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الإیراد علی المحقّق لتردّده فی المقام و تصریحه بعدم صحّة بیع الصبیّ مطلقاً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غیر خفی علیک عدم خصوص دلیل فی المقام یصلح فارقاً بینه و بین البیع</w:t>
      </w:r>
      <w:r>
        <w:rPr>
          <w:rFonts w:eastAsia="IRNazanin" w:cs="IRNazanin"/>
          <w:color w:val="111111"/>
          <w:sz w:val="28"/>
          <w:szCs w:val="28"/>
          <w:rtl w:val="true"/>
          <w:lang w:bidi="fa-IR"/>
        </w:rPr>
        <w:t>»</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bookmarkStart w:id="577" w:name="pg11757_135762"/>
    </w:p>
    <w:p>
      <w:pPr>
        <w:pStyle w:val="BookText"/>
        <w:rPr/>
      </w:pPr>
      <w:bookmarkEnd w:id="577"/>
      <w:r>
        <w:rPr>
          <w:rFonts w:ascii="IRNazanin" w:hAnsi="IRNazanin" w:eastAsia="IRNazanin"/>
          <w:color w:val="111111"/>
          <w:sz w:val="28"/>
          <w:sz w:val="28"/>
          <w:szCs w:val="28"/>
          <w:rtl w:val="true"/>
          <w:lang w:bidi="fa-IR"/>
        </w:rPr>
        <w:t>و الکلّ مخدوش، و تقدّم الجواب عنه فی بیع الصبیّ،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حدیث الرفع ناظر إلی رفع ما علی الصبیّ من الأحکام التکلیفیّة الإلزامیّة التی کانت مخالفتها موجبة للسیّئة، و جواز الأمر فی هذه الروایات ظاهر فی استقلاله فی أمر المعاملة و تسلّطه علیها نحو تسلّط البالغین علی أموالهم و شئونهم،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و خطأه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بباب الجنایات و لا یمکن الأخذ بإطلاقه؛ لأنّ لازم ذلک الحکم بعدم بطلان صوم الصبیّ بالإفطار العمدی و لا صلاته بالتکلّم،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الإجماع ممنوع صغرویّاً و کبرویّاً، و أمّا الأصل فهو محکوم بإطلاقات الأدلّة و عموماتها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السیّد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 السیّد الیزدی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یشترط فی المتعاقدین البلوغ و العقل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إشکال فی ذلک و لا خلاف، و یشهد له بعض النصوص، لکنّ المتیقّن من دلالته عدم صحّة عقد الصبیّ علی وجه الاستقلال، لا عدم الصحّة و إن أذن له الولیّ</w:t>
      </w:r>
      <w:r>
        <w:rPr>
          <w:rFonts w:eastAsia="IRNazanin" w:cs="IRNazanin"/>
          <w:color w:val="111111"/>
          <w:sz w:val="28"/>
          <w:szCs w:val="28"/>
          <w:rtl w:val="true"/>
          <w:lang w:bidi="fa-IR"/>
        </w:rPr>
        <w:t>»</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أشبعنا الکلام فی الأدلّة التی استدلّوا بها للحکم بعدم صحّة معاملات الصبیّ مطلقاً فی البحث عن بیعه، و بیّنّا أنّها تدلّ علی عدم نفوذ معاملاته علی نحو الاستقلال، و لیس المستفاد منها أنّه لا یکون لکلامه حکم أصلاً حتّی لا تصحّ إجارته و لو بإذن الولیّ، فراجع</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8" w:name="__RefHeading___Toc9696941_73709187"/>
      <w:bookmarkStart w:id="579" w:name="_Toc214"/>
      <w:bookmarkEnd w:id="578"/>
      <w:r>
        <w:rPr>
          <w:rtl w:val="true"/>
        </w:rPr>
        <w:t>القول الثانی التردّد فی الحکم</w:t>
      </w:r>
      <w:r>
        <w:rPr>
          <w:rtl w:val="true"/>
        </w:rPr>
        <w:t>:</w:t>
      </w:r>
      <w:bookmarkEnd w:id="579"/>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من بعض الأعلام التوقّف و التردّد فی الحکم، 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تنعقد</w:t>
      </w:r>
      <w:bookmarkStart w:id="580" w:name="pg11757_135763"/>
    </w:p>
    <w:p>
      <w:pPr>
        <w:pStyle w:val="BookText"/>
        <w:rPr/>
      </w:pPr>
      <w:bookmarkEnd w:id="580"/>
      <w:r>
        <w:rPr>
          <w:rFonts w:ascii="IRNazanin" w:hAnsi="IRNazanin" w:eastAsia="IRNazanin"/>
          <w:color w:val="111111"/>
          <w:sz w:val="28"/>
          <w:sz w:val="28"/>
          <w:szCs w:val="28"/>
          <w:rtl w:val="true"/>
          <w:lang w:bidi="fa-IR"/>
        </w:rPr>
        <w:t xml:space="preserve">إجارته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الصبیّ غیر الممیّز، و کذا الممیّز إلاّ بإذن ولیّه، و فیه</w:t>
      </w:r>
      <w:r>
        <w:rPr>
          <w:rStyle w:val="FootnoteAnchor"/>
          <w:rtl w:val="true"/>
        </w:rPr>
        <w:footnoteReference w:id="2046"/>
      </w:r>
      <w:r>
        <w:rPr>
          <w:rFonts w:ascii="Amiri" w:hAnsi="Amiri" w:eastAsia="Amiri" w:cs="Amiri"/>
          <w:color w:val="111111"/>
          <w:sz w:val="28"/>
          <w:sz w:val="28"/>
          <w:szCs w:val="28"/>
          <w:rtl w:val="true"/>
          <w:lang w:bidi="ar-SA"/>
        </w:rPr>
        <w:t>تردّد</w:t>
      </w:r>
      <w:r>
        <w:rPr>
          <w:rFonts w:eastAsia="Amiri" w:cs="Amiri" w:ascii="Amiri" w:hAnsi="Amiri"/>
          <w:color w:val="111111"/>
          <w:sz w:val="28"/>
          <w:szCs w:val="28"/>
          <w:rtl w:val="true"/>
          <w:lang w:bidi="ar-SA"/>
        </w:rPr>
        <w:t>»</w:t>
      </w:r>
      <w:r>
        <w:rPr>
          <w:rStyle w:val="FootnoteAnchor"/>
          <w:rtl w:val="true"/>
        </w:rPr>
        <w:footnoteReference w:id="2047"/>
      </w:r>
      <w:r>
        <w:rPr>
          <w:rFonts w:ascii="IRNazanin" w:hAnsi="IRNazanin" w:eastAsia="IRNazanin"/>
          <w:color w:val="111111"/>
          <w:sz w:val="28"/>
          <w:sz w:val="28"/>
          <w:szCs w:val="28"/>
          <w:rtl w:val="true"/>
          <w:lang w:bidi="fa-IR"/>
        </w:rPr>
        <w:t xml:space="preserve">، و فی القواعد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إشکال</w:t>
      </w:r>
      <w:r>
        <w:rPr>
          <w:rFonts w:eastAsia="IRNazanin" w:cs="IRNazanin"/>
          <w:color w:val="111111"/>
          <w:sz w:val="28"/>
          <w:szCs w:val="28"/>
          <w:rtl w:val="true"/>
          <w:lang w:bidi="fa-IR"/>
        </w:rPr>
        <w:t>»</w:t>
      </w:r>
      <w:r>
        <w:rPr>
          <w:rStyle w:val="FootnoteAnchor"/>
          <w:rtl w:val="true"/>
        </w:rPr>
        <w:footnoteReference w:id="2048"/>
      </w:r>
      <w:r>
        <w:rPr>
          <w:rFonts w:ascii="IRNazanin" w:hAnsi="IRNazanin" w:eastAsia="IRNazanin"/>
          <w:color w:val="111111"/>
          <w:sz w:val="28"/>
          <w:sz w:val="28"/>
          <w:szCs w:val="28"/>
          <w:rtl w:val="true"/>
          <w:lang w:bidi="fa-IR"/>
        </w:rPr>
        <w:t>، و کذا فی التحریر</w:t>
      </w:r>
      <w:r>
        <w:rPr>
          <w:rStyle w:val="FootnoteAnchor"/>
          <w:rtl w:val="true"/>
        </w:rPr>
        <w:footnoteReference w:id="2049"/>
      </w:r>
      <w:r>
        <w:rPr>
          <w:rFonts w:ascii="IRNazanin" w:hAnsi="IRNazanin" w:eastAsia="IRNazanin"/>
          <w:color w:val="111111"/>
          <w:sz w:val="28"/>
          <w:sz w:val="28"/>
          <w:szCs w:val="28"/>
          <w:rtl w:val="true"/>
          <w:lang w:bidi="fa-IR"/>
        </w:rPr>
        <w:t>، و قال المحقّق السبزواری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الممیّز بإذن الولیّ وجهان</w:t>
      </w:r>
      <w:r>
        <w:rPr>
          <w:rFonts w:eastAsia="IRNazanin" w:cs="IRNazanin"/>
          <w:color w:val="111111"/>
          <w:sz w:val="28"/>
          <w:szCs w:val="28"/>
          <w:rtl w:val="true"/>
          <w:lang w:bidi="fa-IR"/>
        </w:rPr>
        <w:t>»</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بیّن فی غایة المرام وجه التردید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منشؤه من عموم النصّ علی عدم اعتبار عبارة الصبیّ، و من أنّه ممیّز قد أذن له الولیّ فانجبر نقصه</w:t>
      </w:r>
      <w:r>
        <w:rPr>
          <w:rFonts w:eastAsia="IRNazanin" w:cs="IRNazanin"/>
          <w:color w:val="111111"/>
          <w:sz w:val="28"/>
          <w:szCs w:val="28"/>
          <w:rtl w:val="true"/>
          <w:lang w:bidi="fa-IR"/>
        </w:rPr>
        <w:t>»</w:t>
      </w:r>
      <w:r>
        <w:rPr>
          <w:rStyle w:val="FootnoteAnchor"/>
          <w:rtl w:val="true"/>
        </w:rPr>
        <w:footnoteReference w:id="20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الإیضاح</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Style w:val="FootnoteAnchor"/>
          <w:rtl w:val="true"/>
        </w:rPr>
        <w:footnoteReference w:id="2053"/>
      </w:r>
      <w:r>
        <w:rPr>
          <w:rFonts w:ascii="IRNazanin" w:hAnsi="IRNazanin" w:eastAsia="IRNazanin"/>
          <w:color w:val="111111"/>
          <w:sz w:val="28"/>
          <w:sz w:val="28"/>
          <w:szCs w:val="28"/>
          <w:rtl w:val="true"/>
          <w:lang w:bidi="fa-IR"/>
        </w:rPr>
        <w:t>أنّ إطلاقات الأدلّة و عموماتها یشمل عقد الصبیّ الممیّز الذی أذن له الولیّ، و سیأتی زیادة توضیح فی ذلک، فالظاهر أنّه لا وجه للتردید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وجه معتدّ به للتردّد فی أصل ذلک فی المقام و فی البیع</w:t>
      </w:r>
      <w:r>
        <w:rPr>
          <w:rFonts w:eastAsia="IRNazanin" w:cs="IRNazanin"/>
          <w:color w:val="111111"/>
          <w:sz w:val="28"/>
          <w:szCs w:val="28"/>
          <w:rtl w:val="true"/>
          <w:lang w:bidi="fa-IR"/>
        </w:rPr>
        <w:t>»</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1" w:name="__RefHeading___Toc9696943_73709187"/>
      <w:bookmarkStart w:id="582" w:name="_Toc215"/>
      <w:bookmarkEnd w:id="581"/>
      <w:r>
        <w:rPr>
          <w:rtl w:val="true"/>
        </w:rPr>
        <w:t xml:space="preserve">القول الثالث </w:t>
      </w:r>
      <w:r>
        <w:rPr>
          <w:rtl w:val="true"/>
        </w:rPr>
        <w:t xml:space="preserve">- </w:t>
      </w:r>
      <w:r>
        <w:rPr>
          <w:rtl w:val="true"/>
        </w:rPr>
        <w:t>أنّها تصحّ</w:t>
      </w:r>
      <w:r>
        <w:rPr>
          <w:rtl w:val="true"/>
        </w:rPr>
        <w:t>:</w:t>
      </w:r>
      <w:bookmarkEnd w:id="582"/>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بعض المتأخّرین و جمع من أعلام العصر إلی أنّه تصحّ إجارة الصبیّ الممیّز فی مال نفسه إذا أذن له الولیّ أو أجازها بعد وقوعها بحیث تنسب إلیه لا إلی الصبیّ، و هکذا فی مال غیره، بأن یکون وکیلاً عنه فی إجراء عقد</w:t>
      </w:r>
    </w:p>
    <w:p>
      <w:pPr>
        <w:pStyle w:val="BookText"/>
        <w:rPr/>
      </w:pPr>
      <w:r>
        <w:rPr>
          <w:rFonts w:ascii="IRNazanin" w:hAnsi="IRNazanin" w:eastAsia="IRNazanin"/>
          <w:color w:val="111111"/>
          <w:sz w:val="28"/>
          <w:sz w:val="28"/>
          <w:szCs w:val="28"/>
          <w:rtl w:val="true"/>
          <w:lang w:bidi="fa-IR"/>
        </w:rPr>
        <w:t>الإجارة، و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الأردبیلی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یصحّ إجارة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الممیّز مع عدم إجازة الولیّ إن ثبت کونه محجوراً علیه، و أمّا مع الإذن فالظاهر الجواز</w:t>
      </w:r>
      <w:r>
        <w:rPr>
          <w:rFonts w:eastAsia="IRNazanin" w:cs="IRNazanin"/>
          <w:color w:val="111111"/>
          <w:sz w:val="28"/>
          <w:szCs w:val="28"/>
          <w:rtl w:val="true"/>
          <w:lang w:bidi="fa-IR"/>
        </w:rPr>
        <w:t>»</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فی المستمسک</w:t>
      </w:r>
      <w:r>
        <w:rPr>
          <w:rStyle w:val="FootnoteAnchor"/>
          <w:rtl w:val="true"/>
        </w:rPr>
        <w:footnoteReference w:id="2056"/>
      </w:r>
      <w:r>
        <w:rPr>
          <w:rFonts w:ascii="Amiri" w:hAnsi="Amiri" w:eastAsia="Amiri" w:cs="Amiri"/>
          <w:color w:val="111111"/>
          <w:sz w:val="28"/>
          <w:sz w:val="28"/>
          <w:szCs w:val="28"/>
          <w:rtl w:val="true"/>
          <w:lang w:bidi="ar-SA"/>
        </w:rPr>
        <w:t>و نهج الفقاهة</w:t>
      </w:r>
      <w:r>
        <w:rPr>
          <w:rStyle w:val="FootnoteAnchor"/>
          <w:rtl w:val="true"/>
        </w:rPr>
        <w:footnoteReference w:id="2057"/>
      </w:r>
      <w:r>
        <w:rPr>
          <w:rFonts w:ascii="IRNazanin" w:hAnsi="IRNazanin" w:eastAsia="IRNazanin"/>
          <w:color w:val="111111"/>
          <w:sz w:val="28"/>
          <w:sz w:val="28"/>
          <w:szCs w:val="28"/>
          <w:rtl w:val="true"/>
          <w:lang w:bidi="fa-IR"/>
        </w:rPr>
        <w:t>، و اختاره السیّدان الخوئی رحمه الله</w:t>
      </w:r>
      <w:r>
        <w:rPr>
          <w:rStyle w:val="FootnoteAnchor"/>
          <w:rtl w:val="true"/>
        </w:rPr>
        <w:footnoteReference w:id="2058"/>
      </w:r>
      <w:r>
        <w:rPr>
          <w:rFonts w:ascii="IRNazanin" w:hAnsi="IRNazanin" w:eastAsia="IRNazanin"/>
          <w:color w:val="111111"/>
          <w:sz w:val="28"/>
          <w:sz w:val="28"/>
          <w:szCs w:val="28"/>
          <w:rtl w:val="true"/>
          <w:lang w:bidi="fa-IR"/>
        </w:rPr>
        <w:t>و السبزواری رحمه الله</w:t>
      </w:r>
      <w:r>
        <w:rPr>
          <w:rStyle w:val="FootnoteAnchor"/>
          <w:rtl w:val="true"/>
        </w:rPr>
        <w:footnoteReference w:id="2059"/>
      </w:r>
      <w:r>
        <w:rPr>
          <w:rFonts w:ascii="IRNazanin" w:hAnsi="IRNazanin" w:eastAsia="IRNazanin"/>
          <w:color w:val="111111"/>
          <w:sz w:val="28"/>
          <w:sz w:val="28"/>
          <w:szCs w:val="28"/>
          <w:rtl w:val="true"/>
          <w:lang w:bidi="fa-IR"/>
        </w:rPr>
        <w:t>، و به قال کاشف الغطاء</w:t>
      </w:r>
      <w:r>
        <w:rPr>
          <w:rStyle w:val="FootnoteAnchor"/>
          <w:rtl w:val="true"/>
        </w:rPr>
        <w:footnoteReference w:id="2060"/>
      </w:r>
      <w:r>
        <w:rPr>
          <w:rFonts w:ascii="IRNazanin" w:hAnsi="IRNazanin" w:eastAsia="IRNazanin"/>
          <w:color w:val="111111"/>
          <w:sz w:val="28"/>
          <w:sz w:val="28"/>
          <w:szCs w:val="28"/>
          <w:rtl w:val="true"/>
          <w:lang w:bidi="fa-IR"/>
        </w:rPr>
        <w:t>و الإمام الخمینی رحمه الله</w:t>
      </w:r>
      <w:r>
        <w:rPr>
          <w:rStyle w:val="FootnoteAnchor"/>
          <w:rtl w:val="true"/>
        </w:rPr>
        <w:footnoteReference w:id="2061"/>
      </w:r>
      <w:r>
        <w:rPr>
          <w:rFonts w:ascii="IRNazanin" w:hAnsi="IRNazanin" w:eastAsia="IRNazanin"/>
          <w:color w:val="111111"/>
          <w:sz w:val="28"/>
          <w:sz w:val="28"/>
          <w:szCs w:val="28"/>
          <w:rtl w:val="true"/>
          <w:lang w:bidi="fa-IR"/>
        </w:rPr>
        <w:t>و المحقّق الإیروانی</w:t>
      </w:r>
      <w:r>
        <w:rPr>
          <w:rStyle w:val="FootnoteAnchor"/>
          <w:rtl w:val="true"/>
        </w:rPr>
        <w:footnoteReference w:id="2062"/>
      </w:r>
      <w:r>
        <w:rPr>
          <w:rFonts w:ascii="IRNazanin" w:hAnsi="IRNazanin" w:eastAsia="IRNazanin"/>
          <w:color w:val="111111"/>
          <w:sz w:val="28"/>
          <w:sz w:val="28"/>
          <w:szCs w:val="28"/>
          <w:rtl w:val="true"/>
          <w:lang w:bidi="fa-IR"/>
        </w:rPr>
        <w:t>، و السیّد الیزدی رحمه الله</w:t>
      </w:r>
      <w:r>
        <w:rPr>
          <w:rStyle w:val="FootnoteAnchor"/>
          <w:rtl w:val="true"/>
        </w:rPr>
        <w:footnoteReference w:id="2063"/>
      </w:r>
      <w:r>
        <w:rPr>
          <w:rFonts w:ascii="IRNazanin" w:hAnsi="IRNazanin" w:eastAsia="IRNazanin"/>
          <w:color w:val="111111"/>
          <w:sz w:val="28"/>
          <w:sz w:val="28"/>
          <w:szCs w:val="28"/>
          <w:rtl w:val="true"/>
          <w:lang w:bidi="fa-IR"/>
        </w:rPr>
        <w:t>فی بحث بیع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ما تقدّم فی بحث جواز بیع الصبیّ الممیّز مع إذن الولیّ‌</w:t>
      </w:r>
      <w:r>
        <w:rPr>
          <w:rStyle w:val="FootnoteAnchor"/>
          <w:rtl w:val="true"/>
        </w:rPr>
        <w:footnoteReference w:id="2064"/>
      </w:r>
      <w:r>
        <w:rPr>
          <w:rFonts w:ascii="IRNazanin" w:hAnsi="IRNazanin" w:eastAsia="IRNazanin"/>
          <w:color w:val="111111"/>
          <w:sz w:val="28"/>
          <w:sz w:val="28"/>
          <w:szCs w:val="28"/>
          <w:rtl w:val="true"/>
          <w:lang w:bidi="fa-IR"/>
        </w:rPr>
        <w:t>، فإنّ شرائط المتعاقدین فی باب الإجارة هی الشرائط المتقدّمة فی باب البیع؛ ضرورة أنّ تلک الشرائط إنّما تعتبر فی المتعاقدین فی کل المعاملات، و لا خصوصیّة للبیع بخصوصه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الأصفهانی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تصرّف یستقلّ به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بتفویض الولیّ أو المالک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فالصبیّ محجور عنه بالنصّ و الإجماع، و کلّ ما لا یستقلّ به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المستقلّ به غیره، و إنّما الصبیّ عاقد محض، سواء کان بالإضافة</w:t>
      </w:r>
      <w:bookmarkStart w:id="583" w:name="pg11757_135765"/>
    </w:p>
    <w:p>
      <w:pPr>
        <w:pStyle w:val="BookText"/>
        <w:rPr/>
      </w:pPr>
      <w:bookmarkEnd w:id="583"/>
      <w:r>
        <w:rPr>
          <w:rFonts w:ascii="IRNazanin" w:hAnsi="IRNazanin" w:eastAsia="IRNazanin"/>
          <w:color w:val="111111"/>
          <w:sz w:val="28"/>
          <w:sz w:val="28"/>
          <w:szCs w:val="28"/>
          <w:rtl w:val="true"/>
          <w:lang w:bidi="fa-IR"/>
        </w:rPr>
        <w:t>إلی ماله الذی قد استقلّ بتدبیر شئونه ولیّه، أو بالإضافة إلی مال غیره الذی یکون تدبیر شأنه بید مالکه المسبب إلی إجراء الصبیّ للعقد علیه فقط، فإنّ مثله غیر مشمول للنصوص و لمعاقد الإجماعات</w:t>
      </w:r>
      <w:r>
        <w:rPr>
          <w:rFonts w:eastAsia="IRNazanin" w:cs="IRNazanin"/>
          <w:color w:val="111111"/>
          <w:sz w:val="28"/>
          <w:szCs w:val="28"/>
          <w:rtl w:val="true"/>
          <w:lang w:bidi="fa-IR"/>
        </w:rPr>
        <w:t>»</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الخوئی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تصدّیه لمجرّد إجراء الصیغة إمّا فی ماله أو فی مال الغیر وکالة عنه، فلیس فی الآیة و لا الروایة ما یدلّ علی عدم نفوذه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استقلاله فی معاملة لم تتعلّق بماله، کما لو کان وکیلاً عن شخص آخر فی بیع أو شراء له علی وجه الاستقلال لا مجرّد آلة فی إجراء الصیغة، کما لعلّ السیرة جاریة علیه خارجاً، حیث إنّ البقّال أو العطّار یجعل مکانه صبیّاً فطناً یبیع له و یشتری فی غیابه، فظاهر کلمات الفقهاء علی ما نسب إلیهم عدم الجواز هنا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أیضاً غیر واضح؛ لعدم نهوض دلیل یعوّل علیه</w:t>
      </w:r>
      <w:r>
        <w:rPr>
          <w:rFonts w:eastAsia="IRNazanin" w:cs="IRNazanin"/>
          <w:color w:val="111111"/>
          <w:sz w:val="28"/>
          <w:szCs w:val="28"/>
          <w:rtl w:val="true"/>
          <w:lang w:bidi="fa-IR"/>
        </w:rPr>
        <w:t>»</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إذا أذن الولیّ للصبیّ فی إجارة ماله الخاصّ به فالظاهر أنّه لا بأس به، و لا دلیل للمنع عنها بل یشملها الإطلاقات و العمومات بالتقریب المتقدّم فی بحث بیع الصبیّ، فلیراجع</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4" w:name="__RefHeading___Toc9696945_73709187"/>
      <w:bookmarkStart w:id="585" w:name="_Toc216"/>
      <w:bookmarkEnd w:id="584"/>
      <w:r>
        <w:rPr>
          <w:rtl w:val="true"/>
        </w:rPr>
        <w:t>المقام الثانی</w:t>
      </w:r>
      <w:r>
        <w:rPr>
          <w:rtl w:val="true"/>
        </w:rPr>
        <w:t xml:space="preserve">: </w:t>
      </w:r>
      <w:r>
        <w:rPr>
          <w:rtl w:val="true"/>
        </w:rPr>
        <w:t>إیجار الصبیّ نفسه للعمل</w:t>
      </w:r>
      <w:bookmarkEnd w:id="585"/>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یقع البحث تارةً فی إجارة الولیّ نفس الصبیّ و تملیک منافعه، و لا شکّ أنّ للولیّ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أباً أو جدّاً أو وصیّاً أو حاکماً أو أمینه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سلطنة علی تملیک منافع الصبیّ و إجارتها، و قد مضی الکلام فیه فیما سبق</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تارةً من حیث إجارة الصبیّ نفسه للعمل، فإن کان الصبیّ غیر ممیّز فلا تصحّ بلا خلاف مطلقاً، و إن أذن له الولیّ أو أجازها بعد ذلک؛ لأنّه فاقد للقصد و بمنزلة المجنون و البهائم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الصبیّ الممیّز فتارةً یقع منه بالاستقلال، و أُخری مع الإذن أو الإجازة من 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الاُولی و هو أن یأجر الصبیّ نفسه للکتابة و الخیاطة و غیرهما استقلالاً من دون إذن ولیّه فإنّه لا ینبغی التأمّل فی عدم نفوذه، کما لا تصحّ تصرّفاته فی ماله علی سبیل الاستقلال؛ لأنّ منافع عمله من أمواله و تملیک المنافع تصرّف فی أمواله عرفاً و هو محجور علیه کما صرّح به فی التذکرة</w:t>
      </w:r>
      <w:r>
        <w:rPr>
          <w:rStyle w:val="FootnoteAnchor"/>
          <w:rtl w:val="true"/>
        </w:rPr>
        <w:footnoteReference w:id="2069"/>
      </w:r>
      <w:r>
        <w:rPr>
          <w:rFonts w:ascii="IRNazanin" w:hAnsi="IRNazanin" w:eastAsia="IRNazanin"/>
          <w:color w:val="111111"/>
          <w:sz w:val="28"/>
          <w:sz w:val="28"/>
          <w:szCs w:val="28"/>
          <w:rtl w:val="true"/>
          <w:lang w:bidi="fa-IR"/>
        </w:rPr>
        <w:t>و الإیضاح</w:t>
      </w:r>
      <w:r>
        <w:rPr>
          <w:rStyle w:val="FootnoteAnchor"/>
          <w:rtl w:val="true"/>
        </w:rPr>
        <w:footnoteReference w:id="2070"/>
      </w:r>
      <w:r>
        <w:rPr>
          <w:rFonts w:ascii="IRNazanin" w:hAnsi="IRNazanin" w:eastAsia="IRNazanin"/>
          <w:color w:val="111111"/>
          <w:sz w:val="28"/>
          <w:sz w:val="28"/>
          <w:szCs w:val="28"/>
          <w:rtl w:val="true"/>
          <w:lang w:bidi="fa-IR"/>
        </w:rPr>
        <w:t>و المسالک</w:t>
      </w:r>
      <w:r>
        <w:rPr>
          <w:rStyle w:val="FootnoteAnchor"/>
          <w:rtl w:val="true"/>
        </w:rPr>
        <w:footnoteReference w:id="2071"/>
      </w:r>
      <w:r>
        <w:rPr>
          <w:rFonts w:ascii="IRNazanin" w:hAnsi="IRNazanin" w:eastAsia="IRNazanin"/>
          <w:color w:val="111111"/>
          <w:sz w:val="28"/>
          <w:sz w:val="28"/>
          <w:szCs w:val="28"/>
          <w:rtl w:val="true"/>
          <w:lang w:bidi="fa-IR"/>
        </w:rPr>
        <w:t>و الحدائق</w:t>
      </w:r>
      <w:r>
        <w:rPr>
          <w:rStyle w:val="FootnoteAnchor"/>
          <w:rtl w:val="true"/>
        </w:rPr>
        <w:footnoteReference w:id="2072"/>
      </w:r>
      <w:r>
        <w:rPr>
          <w:rFonts w:ascii="IRNazanin" w:hAnsi="IRNazanin" w:eastAsia="IRNazanin"/>
          <w:color w:val="111111"/>
          <w:sz w:val="28"/>
          <w:sz w:val="28"/>
          <w:szCs w:val="28"/>
          <w:rtl w:val="true"/>
          <w:lang w:bidi="fa-IR"/>
        </w:rPr>
        <w:t>و غیرها</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إیجار الصبیّ نفسه للعمل مع الإذن أو الإجازة من ولیّه فلم یعنون فی کلمات الفقهاء بخصوصها، و لکن تأتی فیها المباحث المتقدِّمة فی إجارة الصبیّ منافع الأعیان، و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الإیجار من الصبیّ تارةً یقع مع الإذن الکلّی المتعلّق بنوع التصرّفات، بحیث یکون الصبیّ بعد الإذن مستقلّاً فی العمل، فمقتضی الأخبار أنّ العمل مهما صار عملاً للصبیّ فهو لا یمضی و لا ینفذ</w:t>
      </w:r>
      <w:r>
        <w:rPr>
          <w:rFonts w:eastAsia="IRNazanin" w:cs="IRNazanin"/>
          <w:color w:val="111111"/>
          <w:sz w:val="28"/>
          <w:szCs w:val="28"/>
          <w:rtl w:val="true"/>
          <w:lang w:bidi="fa-IR"/>
        </w:rPr>
        <w:t>.</w:t>
      </w:r>
      <w:bookmarkStart w:id="586" w:name="pg11757_135767"/>
    </w:p>
    <w:p>
      <w:pPr>
        <w:pStyle w:val="BookText"/>
        <w:rPr/>
      </w:pPr>
      <w:bookmarkEnd w:id="586"/>
      <w:r>
        <w:rPr>
          <w:rFonts w:ascii="IRNazanin" w:hAnsi="IRNazanin" w:eastAsia="IRNazanin"/>
          <w:color w:val="111111"/>
          <w:sz w:val="28"/>
          <w:sz w:val="28"/>
          <w:szCs w:val="28"/>
          <w:rtl w:val="true"/>
          <w:lang w:bidi="fa-IR"/>
        </w:rPr>
        <w:t>و تارة یقع الإیجار مع الإذن الخاصّ بحیث ینسب العمل عرفاً إلی الولیّ فیصحّ؛ لأنّ القلم مرفوع عن الصبیّ لا عن الولیّ، و الصبیّ آلة محضة فی إجراء الصیغة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بعد تحصیل المال و أخذ الاُجرة لا یصحّ له أن یتصرّف فیه بالاستقلال؛ لأنّه محجور علیه فی أمواله، و مع ذلک کلّه ینبغی أن لا یترک الاحتیاط حیث لم یرد نصّ فی المورد حتّی یعتمد علیه فی الحکم</w:t>
      </w:r>
      <w:r>
        <w:rPr>
          <w:rFonts w:eastAsia="IRNazanin" w:cs="IRNazanin"/>
          <w:color w:val="111111"/>
          <w:sz w:val="28"/>
          <w:szCs w:val="28"/>
          <w:rtl w:val="true"/>
          <w:lang w:bidi="fa-IR"/>
        </w:rPr>
        <w:t>.</w:t>
      </w:r>
    </w:p>
    <w:p>
      <w:pPr>
        <w:pStyle w:val="Heading4"/>
        <w:numPr>
          <w:ilvl w:val="3"/>
          <w:numId w:val="1"/>
        </w:numPr>
        <w:rPr/>
      </w:pPr>
      <w:bookmarkStart w:id="587" w:name="__RefHeading___Toc9696947_73709187"/>
      <w:bookmarkStart w:id="588" w:name="_Toc217"/>
      <w:bookmarkEnd w:id="587"/>
      <w:r>
        <w:rPr>
          <w:rtl w:val="true"/>
        </w:rPr>
        <w:t>استحقاق الصبیّ اجرة المثل لعمله</w:t>
      </w:r>
      <w:bookmarkEnd w:id="588"/>
    </w:p>
    <w:p>
      <w:pPr>
        <w:pStyle w:val="BookText"/>
        <w:rPr/>
      </w:pPr>
      <w:r>
        <w:rPr>
          <w:rFonts w:ascii="IRNazanin" w:hAnsi="IRNazanin" w:eastAsia="IRNazanin"/>
          <w:color w:val="111111"/>
          <w:sz w:val="28"/>
          <w:sz w:val="28"/>
          <w:szCs w:val="28"/>
          <w:rtl w:val="true"/>
          <w:lang w:bidi="fa-IR"/>
        </w:rPr>
        <w:t>علی تقدیر بطلان إجارة الصبیّ نفسه للعمل فإن عمل للمستأجر فهل یستحقّ الاُجرة أم لا؟ و علی فرض استحقاقه فهل له اجرة المثل أو المسمّی؟</w:t>
      </w:r>
    </w:p>
    <w:p>
      <w:pPr>
        <w:pStyle w:val="BookText"/>
        <w:rPr/>
      </w:pPr>
      <w:r>
        <w:rPr>
          <w:rFonts w:ascii="IRNazanin" w:hAnsi="IRNazanin" w:eastAsia="IRNazanin"/>
          <w:color w:val="111111"/>
          <w:sz w:val="28"/>
          <w:sz w:val="28"/>
          <w:szCs w:val="28"/>
          <w:rtl w:val="true"/>
          <w:lang w:bidi="fa-IR"/>
        </w:rPr>
        <w:t>الصحیح أنّه یستحقّ اجرة المثل، سواء زادت عن المسمّی أو نقصت عنه، علم المستأجر ببطلان الإجارة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یستفاد ذلک من کلمات الفقهاء فی بحث حکم الإجارة الفاسدة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موضع یبطل فیه عقد الإجارة تجب فیه اجرة المثل، مع استیفاء المنفعة أو بعضها، سواء زادت عن المسمّی أو نقصت عنه</w:t>
      </w:r>
      <w:r>
        <w:rPr>
          <w:rFonts w:eastAsia="IRNazanin" w:cs="IRNazanin"/>
          <w:color w:val="111111"/>
          <w:sz w:val="28"/>
          <w:szCs w:val="28"/>
          <w:rtl w:val="true"/>
          <w:lang w:bidi="fa-IR"/>
        </w:rPr>
        <w:t>»</w:t>
      </w:r>
      <w:r>
        <w:rPr>
          <w:rStyle w:val="FootnoteAnchor"/>
          <w:rtl w:val="true"/>
        </w:rPr>
        <w:footnoteReference w:id="20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الإرشاد</w:t>
      </w:r>
      <w:r>
        <w:rPr>
          <w:rStyle w:val="FootnoteAnchor"/>
          <w:rtl w:val="true"/>
        </w:rPr>
        <w:footnoteReference w:id="2075"/>
      </w:r>
      <w:r>
        <w:rPr>
          <w:rFonts w:ascii="Amiri" w:hAnsi="Amiri" w:eastAsia="Amiri" w:cs="Amiri"/>
          <w:color w:val="111111"/>
          <w:sz w:val="28"/>
          <w:sz w:val="28"/>
          <w:szCs w:val="28"/>
          <w:rtl w:val="true"/>
          <w:lang w:bidi="ar-SA"/>
        </w:rPr>
        <w:t>و مجمع الفائدة</w:t>
      </w:r>
      <w:r>
        <w:rPr>
          <w:rStyle w:val="FootnoteAnchor"/>
          <w:rtl w:val="true"/>
        </w:rPr>
        <w:footnoteReference w:id="2076"/>
      </w:r>
      <w:r>
        <w:rPr>
          <w:rFonts w:ascii="IRNazanin" w:hAnsi="IRNazanin" w:eastAsia="IRNazanin"/>
          <w:color w:val="111111"/>
          <w:sz w:val="28"/>
          <w:sz w:val="28"/>
          <w:szCs w:val="28"/>
          <w:rtl w:val="true"/>
          <w:lang w:bidi="fa-IR"/>
        </w:rPr>
        <w:t>و المسالک</w:t>
      </w:r>
      <w:r>
        <w:rPr>
          <w:rStyle w:val="FootnoteAnchor"/>
          <w:rtl w:val="true"/>
        </w:rPr>
        <w:footnoteReference w:id="2077"/>
      </w:r>
      <w:r>
        <w:rPr>
          <w:rFonts w:ascii="IRNazanin" w:hAnsi="IRNazanin" w:eastAsia="IRNazanin"/>
          <w:color w:val="111111"/>
          <w:sz w:val="28"/>
          <w:sz w:val="28"/>
          <w:szCs w:val="28"/>
          <w:rtl w:val="true"/>
          <w:lang w:bidi="fa-IR"/>
        </w:rPr>
        <w:t>و الریاض</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أجده فیه فی شیء من ذلک، بل قد یظهر من إرسالهم ذلک إرسال المسلّمات أنّه من القطعیّات</w:t>
      </w:r>
      <w:r>
        <w:rPr>
          <w:rFonts w:eastAsia="IRNazanin" w:cs="IRNazanin"/>
          <w:color w:val="111111"/>
          <w:sz w:val="28"/>
          <w:szCs w:val="28"/>
          <w:rtl w:val="true"/>
          <w:lang w:bidi="fa-IR"/>
        </w:rPr>
        <w:t>»</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bookmarkStart w:id="589" w:name="pg11757_135768"/>
    </w:p>
    <w:p>
      <w:pPr>
        <w:pStyle w:val="BookText"/>
        <w:rPr/>
      </w:pPr>
      <w:bookmarkEnd w:id="589"/>
      <w:r>
        <w:rPr>
          <w:rFonts w:ascii="IRNazanin" w:hAnsi="IRNazanin" w:eastAsia="IRNazanin"/>
          <w:color w:val="111111"/>
          <w:sz w:val="28"/>
          <w:sz w:val="28"/>
          <w:szCs w:val="28"/>
          <w:rtl w:val="true"/>
          <w:lang w:bidi="fa-IR"/>
        </w:rPr>
        <w:t>و صرّح به أیضاً فی تحریر الوسیلة</w:t>
      </w:r>
      <w:r>
        <w:rPr>
          <w:rStyle w:val="FootnoteAnchor"/>
          <w:rtl w:val="true"/>
        </w:rPr>
        <w:footnoteReference w:id="2080"/>
      </w:r>
      <w:r>
        <w:rPr>
          <w:rFonts w:ascii="IRNazanin" w:hAnsi="IRNazanin" w:eastAsia="IRNazanin"/>
          <w:color w:val="111111"/>
          <w:sz w:val="28"/>
          <w:sz w:val="28"/>
          <w:szCs w:val="28"/>
          <w:rtl w:val="true"/>
          <w:lang w:bidi="fa-IR"/>
        </w:rPr>
        <w:t>و شرحها</w:t>
      </w:r>
      <w:r>
        <w:rPr>
          <w:rStyle w:val="FootnoteAnchor"/>
          <w:rtl w:val="true"/>
        </w:rPr>
        <w:footnoteReference w:id="20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العروة</w:t>
      </w:r>
      <w:r>
        <w:rPr>
          <w:rStyle w:val="FootnoteAnchor"/>
          <w:rtl w:val="true"/>
        </w:rPr>
        <w:footnoteReference w:id="2082"/>
      </w:r>
      <w:r>
        <w:rPr>
          <w:rFonts w:ascii="IRNazanin" w:hAnsi="IRNazanin" w:eastAsia="IRNazanin"/>
          <w:color w:val="111111"/>
          <w:sz w:val="28"/>
          <w:sz w:val="28"/>
          <w:szCs w:val="28"/>
          <w:rtl w:val="true"/>
          <w:lang w:bidi="fa-IR"/>
        </w:rPr>
        <w:t>و المستند</w:t>
      </w:r>
      <w:r>
        <w:rPr>
          <w:rStyle w:val="FootnoteAnchor"/>
          <w:rtl w:val="true"/>
        </w:rPr>
        <w:footnoteReference w:id="2083"/>
      </w:r>
      <w:r>
        <w:rPr>
          <w:rFonts w:ascii="IRNazanin" w:hAnsi="IRNazanin" w:eastAsia="IRNazanin"/>
          <w:color w:val="111111"/>
          <w:sz w:val="28"/>
          <w:sz w:val="28"/>
          <w:szCs w:val="28"/>
          <w:rtl w:val="true"/>
          <w:lang w:bidi="fa-IR"/>
        </w:rPr>
        <w:t>و غیرها</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0" w:name="__RefHeading___Toc9696949_73709187"/>
      <w:bookmarkStart w:id="591" w:name="_Toc218"/>
      <w:bookmarkEnd w:id="590"/>
      <w:r>
        <w:rPr>
          <w:rtl w:val="true"/>
        </w:rPr>
        <w:t>أدلّة استحقاق الصبیّ اجرة المثل</w:t>
      </w:r>
      <w:bookmarkEnd w:id="591"/>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کما ادّعاه فی الجواهر</w:t>
      </w:r>
      <w:r>
        <w:rPr>
          <w:rStyle w:val="FootnoteAnchor"/>
          <w:rtl w:val="true"/>
        </w:rPr>
        <w:footnoteReference w:id="2085"/>
      </w:r>
      <w:r>
        <w:rPr>
          <w:rFonts w:ascii="IRNazanin" w:hAnsi="IRNazanin" w:eastAsia="IRNazanin"/>
          <w:color w:val="111111"/>
          <w:sz w:val="28"/>
          <w:sz w:val="28"/>
          <w:szCs w:val="28"/>
          <w:rtl w:val="true"/>
          <w:lang w:bidi="fa-IR"/>
        </w:rPr>
        <w:t>و المستمسک</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الظاهر أنّ الإجماع فی مثل المقام لیس واجداً لشرائط الحجّیة؛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عدم کون المسألة من المسائل المتلقّاة عن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لعدم التعرّض لها ظاهراً فی الکتب المعدّة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قویّاً أن یکون مدرک المجمعین هو القواعد المتعدّدة التی سنذکرها قریباً، و مع هذا الاحتمال لا یبقی للاتّکال علیه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الإقدام</w:t>
      </w:r>
      <w:r>
        <w:rPr>
          <w:rStyle w:val="FootnoteAnchor"/>
          <w:rtl w:val="true"/>
        </w:rPr>
        <w:footnoteReference w:id="2087"/>
      </w:r>
      <w:r>
        <w:rPr>
          <w:rFonts w:ascii="IRNazanin" w:hAnsi="IRNazanin" w:eastAsia="IRNazanin"/>
          <w:color w:val="111111"/>
          <w:sz w:val="28"/>
          <w:sz w:val="28"/>
          <w:szCs w:val="28"/>
          <w:rtl w:val="true"/>
          <w:lang w:bidi="fa-IR"/>
        </w:rPr>
        <w:t>کما یظهر من کلام المحقّق و الشهید الثانیین أیضاً</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استند إلیها فی المقام المحقّق الأصفهانی رحمه الله</w:t>
      </w:r>
      <w:r>
        <w:rPr>
          <w:rStyle w:val="FootnoteAnchor"/>
          <w:rtl w:val="true"/>
        </w:rPr>
        <w:footnoteReference w:id="2089"/>
      </w:r>
      <w:r>
        <w:rPr>
          <w:rFonts w:ascii="IRNazanin" w:hAnsi="IRNazanin" w:eastAsia="IRNazanin"/>
          <w:color w:val="111111"/>
          <w:sz w:val="28"/>
          <w:sz w:val="28"/>
          <w:szCs w:val="28"/>
          <w:rtl w:val="true"/>
          <w:lang w:bidi="fa-IR"/>
        </w:rPr>
        <w:t>، و حیث إنّ المستأجر أقدم علی</w:t>
      </w:r>
    </w:p>
    <w:p>
      <w:pPr>
        <w:pStyle w:val="BookText"/>
        <w:rPr/>
      </w:pPr>
      <w:r>
        <w:rPr>
          <w:rFonts w:ascii="IRNazanin" w:hAnsi="IRNazanin" w:eastAsia="IRNazanin"/>
          <w:color w:val="111111"/>
          <w:sz w:val="28"/>
          <w:sz w:val="28"/>
          <w:szCs w:val="28"/>
          <w:rtl w:val="true"/>
          <w:lang w:bidi="fa-IR"/>
        </w:rPr>
        <w:t xml:space="preserve">استیفاء منافع الأجیر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الصبیّ فی مفروض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ضامن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اورد علیها بعدم إجرائها فی موارد العقود الفاسدة؛ لعدم تحقّق موضوع الإقدام، فإنّ ما أقدم علیه المتعاقدان هو الضمان الخاصّ، و هو کون ما انتقل إلیه مضموناً بإزاء خصوص الطرف الآخر المنتقل عنه، فإنّ المشتری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أقدم علی ضمان المبیع بخصوص الثمن الواقع بإزائه، و المستأجر فی المقام أقدم علی ضمان المنفعة قبال الاُجرة المسمّاة، و المفروض أنّه مع فساد العقد ینتقض هذا الضمان، و الضمان الآخر لیس ممّا أقدم علیه المتعاقدان، فما أقدما علیه غیر واقع لفرض الفساد، و الضمان الآخر لا یکون مقدِّماً علیه</w:t>
      </w:r>
      <w:r>
        <w:rPr>
          <w:rStyle w:val="FootnoteAnchor"/>
          <w:rtl w:val="true"/>
        </w:rPr>
        <w:footnoteReference w:id="2090"/>
      </w:r>
      <w:r>
        <w:rPr>
          <w:rFonts w:ascii="IRNazanin" w:hAnsi="IRNazanin" w:eastAsia="IRNazanin"/>
          <w:color w:val="111111"/>
          <w:sz w:val="28"/>
          <w:sz w:val="28"/>
          <w:szCs w:val="28"/>
          <w:rtl w:val="true"/>
          <w:lang w:bidi="fa-IR"/>
        </w:rPr>
        <w:t>بوجه، کما أشار إلی بعض ذلک المحقّق الأصفهانی رحمه الله</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عنه المحقّق الخراسانی فی تعلیقته علی مکاسب الشیخ الأعظم بما هذا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یمکن أن یقال بأنّهما أقدما علی أصل الضمان فی ضمن الإقدام علی ضمان خاصّ، و الشارع إنّما لم یمضِ الضمان الخاصّ، لا أصله، مع أنّ دلیل فساد العقد لیس بدلیل علی عدم إمضائه، لکن لا دلیل علی کون الإقدام سبباً للضمان أصلاً</w:t>
      </w:r>
      <w:r>
        <w:rPr>
          <w:rFonts w:eastAsia="IRNazanin" w:cs="IRNazanin"/>
          <w:color w:val="111111"/>
          <w:sz w:val="28"/>
          <w:szCs w:val="28"/>
          <w:rtl w:val="true"/>
          <w:lang w:bidi="fa-IR"/>
        </w:rPr>
        <w:t>»</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استشکل فی تفصیل الشریعة علی الاستدلال بالقاعدة و جواب المحقّق الخراسانی عن الإیراد بها حیث یقول</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التمسّک بهذه القاعدة لثبوت الضمان فی موارد العقود الفاسدة</w:t>
      </w:r>
    </w:p>
    <w:p>
      <w:pPr>
        <w:pStyle w:val="BookText"/>
        <w:rPr/>
      </w:pPr>
      <w:r>
        <w:rPr>
          <w:rFonts w:ascii="IRNazanin" w:hAnsi="IRNazanin" w:eastAsia="IRNazanin"/>
          <w:color w:val="111111"/>
          <w:sz w:val="28"/>
          <w:sz w:val="28"/>
          <w:szCs w:val="28"/>
          <w:rtl w:val="true"/>
          <w:lang w:bidi="fa-IR"/>
        </w:rPr>
        <w:t>المعاوضیّة ممنوع؛ لأنّها مخدوشة صغریً و کبریً؛ أمّا الصغری فلأنّ الواضح أنّ الإقدام المتحقّق فی الخارج لیس إلّا فرداً من الإقدام متعلّقاً بالضمان الخاصّ، و لا نظر للمتعاقدین إلی غیره أصلاً، خصوصاً فیما إذا کانا جاهلین بفساد المعاملة، الذی قد عرفت أنّه القدر المتیقّن من مفروض المقام، فدعوی ثبوت إقدام آخر علی أصل الضمان فی ضمن الإقدام علی الضمان الخاصّ لا شاهد لها أصلاً</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علی تقدیر تسلیم هذه الدعوی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غیر منطبقة علی الغرض الأصلیّ و هو إثبات اجرة المثل؛ لأنّ الإقدام علی أصل الضمان إن کان المراد به هو الإقدام علی ما هو نتیجة الضمان فی موارده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اجرة المثل فی الإجارة، و المثل أو القیمة فی البیع و نحوه، بمعنی أنّ الإقدام الضمنی إنّما هو الإقدام علی خصوص اجرة المثل مثلاً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فیردّه وضوح خلافه؛ ضرورة أنّ المقدم لا یکون متوجّهاً إلی اجرة المثل أصلاً، فکیف یقدم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المراد به هو الإقدام علی أصل الضمان الذی مرجعه إلی عدم کون المال له مجّاناً و بلا اجرة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 تقدیر تسلیمه لا یکاد یثبت اجرة المثل بخصوصها؛ لأنّها بخصوصها لم یکن مقدّماً علیها بوجه، و أمّا الکبری فکما أفاده المحقّق الخراسانی قدس سره فی ذیل کلامه لا دلیل علی کون الإقدام سبباً للضمان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کالید و الإتلاف و نحوهما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فالإقدام علی تقدیر ثبوته موضوعاً یحتاج إلی دلیل الإمضاء، و لم یعلم کونه بنفسه عند العقلاء</w:t>
      </w:r>
      <w:r>
        <w:rPr>
          <w:rStyle w:val="FootnoteAnchor"/>
          <w:rtl w:val="true"/>
        </w:rPr>
        <w:footnoteReference w:id="2093"/>
      </w:r>
      <w:r>
        <w:rPr>
          <w:rFonts w:ascii="IRNazanin" w:hAnsi="IRNazanin" w:eastAsia="IRNazanin"/>
          <w:color w:val="111111"/>
          <w:sz w:val="28"/>
          <w:sz w:val="28"/>
          <w:szCs w:val="28"/>
          <w:rtl w:val="true"/>
          <w:lang w:bidi="fa-IR"/>
        </w:rPr>
        <w:t>کذلک حتّی یکون عدم الردع کافیاً فی ثبوت الإمضاء</w:t>
      </w:r>
      <w:r>
        <w:rPr>
          <w:rFonts w:eastAsia="IRNazanin" w:cs="IRNazanin"/>
          <w:color w:val="111111"/>
          <w:sz w:val="28"/>
          <w:szCs w:val="28"/>
          <w:rtl w:val="true"/>
          <w:lang w:bidi="fa-IR"/>
        </w:rPr>
        <w:t>»</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 بها فی الجواهر</w:t>
      </w:r>
      <w:r>
        <w:rPr>
          <w:rStyle w:val="FootnoteAnchor"/>
          <w:rtl w:val="true"/>
        </w:rPr>
        <w:footnoteReference w:id="2096"/>
      </w:r>
      <w:r>
        <w:rPr>
          <w:rFonts w:ascii="Amiri" w:hAnsi="Amiri" w:eastAsia="Amiri" w:cs="Amiri"/>
          <w:color w:val="111111"/>
          <w:sz w:val="28"/>
          <w:sz w:val="28"/>
          <w:szCs w:val="28"/>
          <w:rtl w:val="true"/>
          <w:lang w:bidi="ar-SA"/>
        </w:rPr>
        <w:t>، و ظاهره أنّها قاعدة مستقلّة</w:t>
      </w:r>
      <w:r>
        <w:rPr>
          <w:rStyle w:val="FootnoteAnchor"/>
          <w:rtl w:val="true"/>
        </w:rPr>
        <w:footnoteReference w:id="2097"/>
      </w:r>
      <w:r>
        <w:rPr>
          <w:rFonts w:ascii="IRNazanin" w:hAnsi="IRNazanin" w:eastAsia="IRNazanin"/>
          <w:color w:val="111111"/>
          <w:sz w:val="28"/>
          <w:sz w:val="28"/>
          <w:szCs w:val="28"/>
          <w:rtl w:val="true"/>
          <w:lang w:bidi="fa-IR"/>
        </w:rPr>
        <w:t>بهذا العنوان فی مقابل قاعدة الاحترام و قاعدتی الید و الإتلاف و سائر القواعد التی استند إلیها فی باب الضمان، مع أنّ الظاهر عدم کونها قاعدة مستقلّة فی مقابل تلک القواعد، بل هی قاعدة اصطیادیّة مستفادة من قاعدة الید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البجنوردی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مدرک هذا الحکم الکلّی هی قاعدة علی الید</w:t>
      </w:r>
      <w:r>
        <w:rPr>
          <w:rFonts w:eastAsia="IRNazanin" w:cs="IRNazanin"/>
          <w:color w:val="111111"/>
          <w:sz w:val="28"/>
          <w:szCs w:val="28"/>
          <w:rtl w:val="true"/>
          <w:lang w:bidi="fa-IR"/>
        </w:rPr>
        <w:t>»</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الاحترام التی تدلّ علیها روایة أبی بصیر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سباب المؤمن فسوق، و قتاله کفر، و أکل لحمه معصیة، و حرمة ماله کحرمة دمه</w:t>
      </w:r>
      <w:r>
        <w:rPr>
          <w:rFonts w:eastAsia="IRNazanin" w:cs="IRNazanin"/>
          <w:color w:val="111111"/>
          <w:sz w:val="28"/>
          <w:szCs w:val="28"/>
          <w:rtl w:val="true"/>
          <w:lang w:bidi="fa-IR"/>
        </w:rPr>
        <w:t>»</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تقریب الاستدلال بها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الحرمة المتعلّقة بمال المؤمن هی الحرمة التکلیفیّة، نظراً إلی وقوعها فی سیاق الأحکام التکلیفیّة التی یدلّ علیها الفسوق و الکفر و المعصیة، و حینئذٍ فلا بدّ من استفادة الضمان منها،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أفاده المحقّق الأصفهانی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المال المضاف إلی المسلم بإضافة الملکیّة له جهتان و حیثیّتان</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حیثیّة الملکیّة، و رعایة هذه الحیثیّة و احترام هذا الشأن عدم</w:t>
      </w:r>
    </w:p>
    <w:p>
      <w:pPr>
        <w:pStyle w:val="BookText"/>
        <w:rPr/>
      </w:pPr>
      <w:r>
        <w:rPr>
          <w:rFonts w:ascii="IRNazanin" w:hAnsi="IRNazanin" w:eastAsia="IRNazanin"/>
          <w:color w:val="111111"/>
          <w:sz w:val="28"/>
          <w:sz w:val="28"/>
          <w:szCs w:val="28"/>
          <w:rtl w:val="true"/>
          <w:lang w:bidi="fa-IR"/>
        </w:rPr>
        <w:t>التصرّف فیما هو تحت سلطان الغیر إلاّ بإذنه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حیثیّة المالیّة، و رعایة هذه الحیثیّة و احترام هذا الشأن أن لا یجعله هدراً بحیث یعامل معه معاملة ما لا مالیّة له، فالمال المضاف إلی المسلم بإضافة الملکیّة له حرمتان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المضاف و من حیث الإضافة</w:t>
      </w:r>
      <w:r>
        <w:rPr>
          <w:rFonts w:eastAsia="IRNazanin" w:cs="IRNazanin"/>
          <w:color w:val="111111"/>
          <w:sz w:val="28"/>
          <w:szCs w:val="28"/>
          <w:rtl w:val="true"/>
          <w:lang w:bidi="fa-IR"/>
        </w:rPr>
        <w:t>»</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اورد علیها بالنقض و الإبرام، و لکن لم نتعرّض له خوف التطویل، و من أرادها فلیراجع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فی تفصیل الشریعة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یمکن أن یقال بکون المراد من الحرمة فی الروایة هی الحرمة الوضعیّة أو الأعمّ منها و من التکلیفیّة، بقرینة أنّ المنسبق إلی الأذهان من هذه العبارة هی الحرمة الوضعیّة أو الأعمّ، و حینئذٍ لا مانع عن الاستدلال بها للمقام لو لم یناقش فیها بأنّها لا تکون إلّا بصدد أصل التشریع، و لا دلالة لها علی الإطلاق، أو بأنّها فی مقام إفادة مرتبة الحرمة، و أنّها هی مرتبة حرمة الدّم، فلا بدّ حینئذٍ من إحراز أصل الحرمة مع قطع النظر عن القاعدة حتّی یصحّ التمسّک بها، بل لا حاجة إلیها حینئذٍ؛ لأنّ الکلام إنّما هو فی أصل ثبوت الحرمة لا فی مرتبتها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فمع قطع النظر عن هاتین المناقشتین یتمّ الاستدلال بالروایة التی هی المدرک للقاعدة فی المقام</w:t>
      </w:r>
      <w:r>
        <w:rPr>
          <w:rFonts w:eastAsia="IRNazanin" w:cs="IRNazanin"/>
          <w:color w:val="111111"/>
          <w:sz w:val="28"/>
          <w:szCs w:val="28"/>
          <w:rtl w:val="true"/>
          <w:lang w:bidi="fa-IR"/>
        </w:rPr>
        <w:t>»</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الإتلاف</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المحقّق الأصفهانی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شمولها للمنافع المستوفاة و الأعمال المستوفاة واضح، فإنّ إتلاف المنافع التدریجیّة الوجود باستیفائها تدریجاً</w:t>
      </w:r>
      <w:r>
        <w:rPr>
          <w:rFonts w:eastAsia="IRNazanin" w:cs="IRNazanin"/>
          <w:color w:val="111111"/>
          <w:sz w:val="28"/>
          <w:szCs w:val="28"/>
          <w:rtl w:val="true"/>
          <w:lang w:bidi="fa-IR"/>
        </w:rPr>
        <w:t>»</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استشکل فی تفصیل الشریعة علی الاستدلال بالقاعدة للمنافع المستوفاة أو الفائتة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المنافع و إن کانت مالاً إلاّ أنّ صدق الإتلاف علی الاستیفاء أو التفویت مشکل، بل صدقه علی الأوّل أشکل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یشکل الحکم بشمول القاعدة لصورة الجهل بفساد المعاملة؛ نظراً إلی ظهورها فی ترتّب الضمان علی الإتلاف فیما إذا أحرز کون المال للغیر</w:t>
      </w:r>
      <w:r>
        <w:rPr>
          <w:rFonts w:eastAsia="IRNazanin" w:cs="IRNazanin"/>
          <w:color w:val="111111"/>
          <w:sz w:val="28"/>
          <w:szCs w:val="28"/>
          <w:rtl w:val="true"/>
          <w:lang w:bidi="fa-IR"/>
        </w:rPr>
        <w:t>»</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صدق الإتلاف علی المنافع المستوفاة عند العرف مسلّم حیث إنّ المنافع عندهم بمنزلة المال، و المفروض أنّ المستأجر استوفاها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مجمع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البطلان فی غیر العبادات عدم ترتّب الأثر، فلا بدّ من إرجاع العین الذی هو العوض إلی مالکه، و حینئذ لو لم یلزم شیء للأجیر یلزم الظلم، و هو ظاهر، فلا بدّ له من عوض منفعته، و هو المراد باُجرة المثل، سواء کانت مساویة للمسمّی أو زادت أم نقصت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حصل الرّضا فی استیفاء منفعة دار الغیر و دابّته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باُجرة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متبرّعاً فلا بدّ له من عوض، و لمّا لم یتعیّن یرجع إلی العرف، و کذا استعمال الأجیر و عمله للمستأجر، کما فی سائر الاُمور</w:t>
      </w:r>
    </w:p>
    <w:p>
      <w:pPr>
        <w:pStyle w:val="BookText"/>
        <w:rPr/>
      </w:pPr>
      <w:r>
        <w:rPr>
          <w:rFonts w:ascii="IRNazanin" w:hAnsi="IRNazanin" w:eastAsia="IRNazanin"/>
          <w:color w:val="111111"/>
          <w:sz w:val="28"/>
          <w:sz w:val="28"/>
          <w:szCs w:val="28"/>
          <w:rtl w:val="true"/>
          <w:lang w:bidi="fa-IR"/>
        </w:rPr>
        <w:t>المرجوعة إلی العرف</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الید التی هی مدلول قول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 أخذت حتّی تؤدّی أو تؤدّیه</w:t>
      </w:r>
      <w:r>
        <w:rPr>
          <w:rFonts w:eastAsia="IRNazanin" w:cs="IRNazanin"/>
          <w:color w:val="111111"/>
          <w:sz w:val="28"/>
          <w:szCs w:val="28"/>
          <w:rtl w:val="true"/>
          <w:lang w:bidi="fa-IR"/>
        </w:rPr>
        <w:t>»</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الضرر المستفادة من قوله صلی الله علیه و آله فی روایة سمرة بن جندب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Style w:val="FootnoteAnchor"/>
          <w:rtl w:val="true"/>
        </w:rPr>
        <w:footnoteReference w:id="2107"/>
      </w:r>
      <w:r>
        <w:rPr>
          <w:rFonts w:ascii="IRNazanin" w:hAnsi="IRNazanin" w:eastAsia="IRNazanin"/>
          <w:color w:val="111111"/>
          <w:sz w:val="28"/>
          <w:sz w:val="28"/>
          <w:szCs w:val="28"/>
          <w:rtl w:val="true"/>
          <w:lang w:bidi="fa-IR"/>
        </w:rPr>
        <w:t>، و رواها فی الفقیه مرسلاً فی باب میراث أهل الملل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إضرار فی الإسلام</w:t>
      </w:r>
      <w:r>
        <w:rPr>
          <w:rFonts w:eastAsia="IRNazanin" w:cs="IRNazanin"/>
          <w:color w:val="111111"/>
          <w:sz w:val="28"/>
          <w:szCs w:val="28"/>
          <w:rtl w:val="true"/>
          <w:lang w:bidi="fa-IR"/>
        </w:rPr>
        <w:t>»</w:t>
      </w:r>
      <w:r>
        <w:rPr>
          <w:rStyle w:val="FootnoteAnchor"/>
          <w:rtl w:val="true"/>
        </w:rPr>
        <w:footnoteReference w:id="2108"/>
      </w:r>
      <w:r>
        <w:rPr>
          <w:rFonts w:ascii="IRNazanin" w:hAnsi="IRNazanin" w:eastAsia="IRNazanin"/>
          <w:color w:val="111111"/>
          <w:sz w:val="28"/>
          <w:sz w:val="28"/>
          <w:szCs w:val="28"/>
          <w:rtl w:val="true"/>
          <w:lang w:bidi="fa-IR"/>
        </w:rPr>
        <w:t>بزیادة کلمة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تمسّک بالقاعدتین الأخیرتین و غیرها فی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 أنّه مع بطلان العقد یبقی کلّ من العوضین علی ملک صاحبه، فیجب علی کلّ منهما ردّه بعینه إذا کان موجوداً، و إن کان تالفاً بقیمته أو مثله؛ لفساد الالتزام بالمسمّی بفساد العقد الذی قد وقع فیه، و منه اجرة المثل فی المقام، فإنّها هی قیمة المنفعة المستوفاة</w:t>
      </w:r>
      <w:r>
        <w:rPr>
          <w:rFonts w:eastAsia="IRNazanin" w:cs="IRNazanin"/>
          <w:color w:val="111111"/>
          <w:sz w:val="28"/>
          <w:szCs w:val="28"/>
          <w:rtl w:val="true"/>
          <w:lang w:bidi="fa-IR"/>
        </w:rPr>
        <w:t>»</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استشکل المحقّق الأصفهانی رحمه الله</w:t>
      </w:r>
      <w:r>
        <w:rPr>
          <w:rStyle w:val="FootnoteAnchor"/>
          <w:rtl w:val="true"/>
        </w:rPr>
        <w:footnoteReference w:id="2110"/>
      </w:r>
      <w:r>
        <w:rPr>
          <w:rFonts w:ascii="IRNazanin" w:hAnsi="IRNazanin" w:eastAsia="IRNazanin"/>
          <w:color w:val="111111"/>
          <w:sz w:val="28"/>
          <w:sz w:val="28"/>
          <w:szCs w:val="28"/>
          <w:rtl w:val="true"/>
          <w:lang w:bidi="fa-IR"/>
        </w:rPr>
        <w:t>و الفاضل اللنکرانی</w:t>
      </w:r>
      <w:r>
        <w:rPr>
          <w:rStyle w:val="FootnoteAnchor"/>
          <w:rtl w:val="true"/>
        </w:rPr>
        <w:footnoteReference w:id="2111"/>
      </w:r>
      <w:r>
        <w:rPr>
          <w:rFonts w:ascii="IRNazanin" w:hAnsi="IRNazanin" w:eastAsia="IRNazanin"/>
          <w:color w:val="111111"/>
          <w:sz w:val="28"/>
          <w:sz w:val="28"/>
          <w:szCs w:val="28"/>
          <w:rtl w:val="true"/>
          <w:lang w:bidi="fa-IR"/>
        </w:rPr>
        <w:t>علی الاستدلال بالقاعدتین، تارةً بعدم شمولها للمقام، و أُخری بأنّ کثرة التخصیص لقاعدة الید مانع عن التمسّک بهما فی الموارد المشکوکة، و ثالثة بأنّ مفاد قاعدة لا ضرر</w:t>
      </w:r>
      <w:bookmarkStart w:id="592" w:name="pg11757_135775"/>
    </w:p>
    <w:p>
      <w:pPr>
        <w:pStyle w:val="BookText"/>
        <w:rPr/>
      </w:pPr>
      <w:bookmarkEnd w:id="592"/>
      <w:r>
        <w:rPr>
          <w:rFonts w:ascii="IRNazanin" w:hAnsi="IRNazanin" w:eastAsia="IRNazanin"/>
          <w:color w:val="111111"/>
          <w:sz w:val="28"/>
          <w:sz w:val="28"/>
          <w:szCs w:val="28"/>
          <w:rtl w:val="true"/>
          <w:lang w:bidi="fa-IR"/>
        </w:rPr>
        <w:t>حکم تکلیفی، و لا دلالة لها علی الحکم الوضعی الذی هو المقصود فی المقام، و غیر ذلک من الإیرادات و الجواب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حیث إنّ حکم المسألة معلوم لا غبار علیه، لم نتعرّض لها خوف الإطالة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السبزواری رحمه الله معلّلاً حکم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العقود المعاوضیّة مطلقاً إنّما تکون طریقاً لإحراز مالیّة المال و عدم صیرورة المال هدراً و باطلاً، و ذکر العوض المسمّی إنّما هو لأجل ذلک، لا لأجل موضوعیّة خاصّة فیه، بحیث لو بطل لصار المال هدراً و أصل التعویض باطلاً، و کلّ عاقل یرجع إلی وجدانه یجد ذلک من نفسه، و هذا هو لباب معنی قاعدة الإقدام و الاحترام و الإتلاف و الید و نفی الضرر و القاعدة المتصیّدة منها،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وجه لتطویل القول فیها بعد مراجعة الوجدان، و بناء المتعاملین من نوع الإنسان غنیً عن إقامة البرهان، و من ینکر ما قلناه إنّما ینکره باللسان و یعترف به بالجنان، و التشکیک فی ذلک کالتشکیک فیما هو واضح بالعیان و إلیه یرجع الإجماع المدّعی فی کلمات جمع من الأعیان</w:t>
      </w:r>
      <w:r>
        <w:rPr>
          <w:rFonts w:eastAsia="IRNazanin" w:cs="IRNazanin"/>
          <w:color w:val="111111"/>
          <w:sz w:val="28"/>
          <w:szCs w:val="28"/>
          <w:rtl w:val="true"/>
          <w:lang w:bidi="fa-IR"/>
        </w:rPr>
        <w:t>»</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3" w:name="__RefHeading___Toc9696951_73709187"/>
      <w:bookmarkStart w:id="594" w:name="_Toc219"/>
      <w:bookmarkEnd w:id="593"/>
      <w:r>
        <w:rPr>
          <w:rtl w:val="true"/>
        </w:rPr>
        <w:t>إیجار الصبیّ ماله أو نفسه عند أهل السنّة</w:t>
      </w:r>
      <w:bookmarkEnd w:id="594"/>
    </w:p>
    <w:p>
      <w:pPr>
        <w:pStyle w:val="BookText"/>
        <w:rPr/>
      </w:pPr>
      <w:r>
        <w:rPr>
          <w:rFonts w:ascii="IRNazanin" w:hAnsi="IRNazanin" w:eastAsia="IRNazanin"/>
          <w:color w:val="111111"/>
          <w:sz w:val="28"/>
          <w:sz w:val="28"/>
          <w:szCs w:val="28"/>
          <w:rtl w:val="true"/>
          <w:lang w:bidi="fa-IR"/>
        </w:rPr>
        <w:t>اتّفقت المذاهب الأربعة علی أنّه یشترط فی المتعاقدین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 التمییز، فلا تنعقد الإجارة من المجنون و لا من الصبیّ غیر الممیّز</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البدائع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الذی یرجع إلی العاقد فالعقل، و هو أن یکون العاقد عاقلاً حتّی لا تنعقد الإجارة من المجنون و الصبیّ الذی لا یعقل کما لا ینعقد</w:t>
      </w:r>
    </w:p>
    <w:p>
      <w:pPr>
        <w:pStyle w:val="BookText"/>
        <w:rPr/>
      </w:pPr>
      <w:r>
        <w:rPr>
          <w:rFonts w:ascii="IRNazanin" w:hAnsi="IRNazanin" w:eastAsia="IRNazanin"/>
          <w:color w:val="111111"/>
          <w:sz w:val="28"/>
          <w:sz w:val="28"/>
          <w:szCs w:val="28"/>
          <w:rtl w:val="true"/>
          <w:lang w:bidi="fa-IR"/>
        </w:rPr>
        <w:t>البیع منهما</w:t>
      </w:r>
      <w:r>
        <w:rPr>
          <w:rFonts w:eastAsia="IRNazanin" w:cs="IRNazanin"/>
          <w:color w:val="111111"/>
          <w:sz w:val="28"/>
          <w:szCs w:val="28"/>
          <w:rtl w:val="true"/>
          <w:lang w:bidi="fa-IR"/>
        </w:rPr>
        <w:t>»</w:t>
      </w:r>
      <w:r>
        <w:rPr>
          <w:rStyle w:val="FootnoteAnchor"/>
          <w:rtl w:val="true"/>
        </w:rPr>
        <w:footnoteReference w:id="2113"/>
      </w:r>
      <w:r>
        <w:rPr>
          <w:rFonts w:ascii="IRNazanin" w:hAnsi="IRNazanin" w:eastAsia="IRNazanin"/>
          <w:color w:val="111111"/>
          <w:sz w:val="28"/>
          <w:sz w:val="28"/>
          <w:szCs w:val="28"/>
          <w:rtl w:val="true"/>
          <w:lang w:bidi="fa-IR"/>
        </w:rPr>
        <w:t>، و کذا فی الفتاوی الهندیّة</w:t>
      </w:r>
      <w:r>
        <w:rPr>
          <w:rStyle w:val="FootnoteAnchor"/>
          <w:rtl w:val="true"/>
        </w:rPr>
        <w:footnoteReference w:id="2114"/>
      </w:r>
      <w:r>
        <w:rPr>
          <w:rFonts w:ascii="IRNazanin" w:hAnsi="IRNazanin" w:eastAsia="IRNazanin"/>
          <w:color w:val="111111"/>
          <w:sz w:val="28"/>
          <w:sz w:val="28"/>
          <w:szCs w:val="28"/>
          <w:rtl w:val="true"/>
          <w:lang w:bidi="fa-IR"/>
        </w:rPr>
        <w:t>، و یستفاد ذلک أیضاً من مغنی المحتاج</w:t>
      </w:r>
      <w:r>
        <w:rPr>
          <w:rStyle w:val="FootnoteAnchor"/>
          <w:rtl w:val="true"/>
        </w:rPr>
        <w:footnoteReference w:id="2115"/>
      </w:r>
      <w:r>
        <w:rPr>
          <w:rFonts w:ascii="IRNazanin" w:hAnsi="IRNazanin" w:eastAsia="IRNazanin"/>
          <w:color w:val="111111"/>
          <w:sz w:val="28"/>
          <w:sz w:val="28"/>
          <w:szCs w:val="28"/>
          <w:rtl w:val="true"/>
          <w:lang w:bidi="fa-IR"/>
        </w:rPr>
        <w:t>و المغنی و الشرح الکبیر</w:t>
      </w:r>
      <w:r>
        <w:rPr>
          <w:rStyle w:val="FootnoteAnchor"/>
          <w:rtl w:val="true"/>
        </w:rPr>
        <w:footnoteReference w:id="2116"/>
      </w:r>
      <w:r>
        <w:rPr>
          <w:rFonts w:ascii="Amiri" w:hAnsi="Amiri" w:eastAsia="Amiri" w:cs="Amiri"/>
          <w:color w:val="111111"/>
          <w:sz w:val="28"/>
          <w:sz w:val="28"/>
          <w:szCs w:val="28"/>
          <w:rtl w:val="true"/>
          <w:lang w:bidi="ar-SA"/>
        </w:rPr>
        <w:t>و المهذّب</w:t>
      </w:r>
      <w:r>
        <w:rPr>
          <w:rStyle w:val="FootnoteAnchor"/>
          <w:rtl w:val="true"/>
        </w:rPr>
        <w:footnoteReference w:id="2117"/>
      </w:r>
      <w:r>
        <w:rPr>
          <w:rFonts w:ascii="IRNazanin" w:hAnsi="IRNazanin" w:eastAsia="IRNazanin"/>
          <w:color w:val="111111"/>
          <w:sz w:val="28"/>
          <w:sz w:val="28"/>
          <w:szCs w:val="28"/>
          <w:rtl w:val="true"/>
          <w:lang w:bidi="fa-IR"/>
        </w:rPr>
        <w:t>و غیرها</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اختلفوا فی الصبیّ العاقل الممیّز، فالحنفیّة قالوا بعدم اشتراط البلوغ لا للانعقاد و لا للنّفاذ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الفتاوی الهندیّة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البلوغ فلیس من شرائط الانعقاد و لا من شرائط النفاذ عندنا حتّی أنّ الصبیّ العاقل لو آجر ماله أو نفسه، فإن کان مأذوناً تنفذ، و إن کان محجوراً اتّفق علی إجازة الولیّ عندنا، و کذا لو آجر الصبیّ المحجور نفسه و سلم و عمل و سلم من العمل یستحق الأجر، فیکون الأجر له</w:t>
      </w:r>
      <w:r>
        <w:rPr>
          <w:rFonts w:eastAsia="IRNazanin" w:cs="IRNazanin"/>
          <w:color w:val="111111"/>
          <w:sz w:val="28"/>
          <w:szCs w:val="28"/>
          <w:rtl w:val="true"/>
          <w:lang w:bidi="fa-IR"/>
        </w:rPr>
        <w:t>»</w:t>
      </w:r>
      <w:r>
        <w:rPr>
          <w:rStyle w:val="FootnoteAnchor"/>
          <w:rtl w:val="true"/>
        </w:rPr>
        <w:footnoteReference w:id="2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درر الحکّام</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علّله فی البدائع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استحقاق الأجر فلأنّ عدم النفاذ کان نظراً له، و النظر بعد الفراغ من العمل سلیماً فی النفاذ، فیستحقّ الاُجرة و لا یهدر سعیه فیتضرّر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کون الاُجرة المسمّاة له فلأنّها بدل منافع، و هی حقّه</w:t>
      </w:r>
      <w:r>
        <w:rPr>
          <w:rFonts w:eastAsia="IRNazanin" w:cs="IRNazanin"/>
          <w:color w:val="111111"/>
          <w:sz w:val="28"/>
          <w:szCs w:val="28"/>
          <w:rtl w:val="true"/>
          <w:lang w:bidi="fa-IR"/>
        </w:rPr>
        <w:t>»</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فصّل المالکیّة بین الانعقاد و النفاذ، فإن آجر الصبیّ الممیّز ماله أو نفسه تنعقد، و لا تنفذ إلاّ بإذن 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شاس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یشترط التکلیف فی الانعقاد، و لکن یقف اللّزوم علیه</w:t>
      </w:r>
      <w:r>
        <w:rPr>
          <w:rFonts w:eastAsia="IRNazanin" w:cs="IRNazanin"/>
          <w:color w:val="111111"/>
          <w:sz w:val="28"/>
          <w:szCs w:val="28"/>
          <w:rtl w:val="true"/>
          <w:lang w:bidi="fa-IR"/>
        </w:rPr>
        <w:t>»</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حاشیة الدسوقی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صحّة الإجارة بعاقد موجر و مستأجر کالبیع، فشرطهما التمییز، و شرط اللزوم التکلیف، فالصبیّ الممیّز إذا آجر نفسه أو سلعته صحّ و توقّف علی رضا ولیّه</w:t>
      </w:r>
      <w:r>
        <w:rPr>
          <w:rFonts w:eastAsia="IRNazanin" w:cs="IRNazanin"/>
          <w:color w:val="111111"/>
          <w:sz w:val="28"/>
          <w:szCs w:val="28"/>
          <w:rtl w:val="true"/>
          <w:lang w:bidi="fa-IR"/>
        </w:rPr>
        <w:t>»</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الجزیری عن المالکیّة أنّهم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شرط اللزوم فهو التکلیف، فالصبیّ الممیّز تنعقد إجارته و لکنّها لا تلزم إلاّ بإذن ولیّه، فإذا آجر نفسه أو شیئاً یملکه انعقدت موقوفة علی إذن الولیّ</w:t>
      </w:r>
      <w:r>
        <w:rPr>
          <w:rFonts w:eastAsia="IRNazanin" w:cs="IRNazanin"/>
          <w:color w:val="111111"/>
          <w:sz w:val="28"/>
          <w:szCs w:val="28"/>
          <w:rtl w:val="true"/>
          <w:lang w:bidi="fa-IR"/>
        </w:rPr>
        <w:t>»</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الشافعیّة و الحنابلة فیشترط عندهم لانعقاد الإجارة البلوغ 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یصحّ إلّا من جائز التصرّف فی المال؛ لأنّه عقد یقصد به المال فلم یصحّ إلّا من جائز التصرّف فی المال کالبیع</w:t>
      </w:r>
      <w:r>
        <w:rPr>
          <w:rFonts w:eastAsia="IRNazanin" w:cs="IRNazanin"/>
          <w:color w:val="111111"/>
          <w:sz w:val="28"/>
          <w:szCs w:val="28"/>
          <w:rtl w:val="true"/>
          <w:lang w:bidi="fa-IR"/>
        </w:rPr>
        <w:t>»</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المجموع</w:t>
      </w:r>
      <w:r>
        <w:rPr>
          <w:rStyle w:val="FootnoteAnchor"/>
          <w:rtl w:val="true"/>
        </w:rPr>
        <w:footnoteReference w:id="2126"/>
      </w:r>
      <w:r>
        <w:rPr>
          <w:rFonts w:ascii="IRNazanin" w:hAnsi="IRNazanin" w:eastAsia="IRNazanin"/>
          <w:color w:val="111111"/>
          <w:sz w:val="28"/>
          <w:sz w:val="28"/>
          <w:szCs w:val="28"/>
          <w:rtl w:val="true"/>
          <w:lang w:bidi="fa-IR"/>
        </w:rPr>
        <w:t>و علّله بحدیث رفع القلم</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موضع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الصبیّ فلا یصحّ بیعه و لا شراؤه و لا إجارته و سائر عقوده، لا لنفسه و لا لغیره، سواء باع بغبن أو بغبطة، و سواء کان ممیّزاً أو غیره، و سواء باع بإذن الولیّ أو بغیر إذنه</w:t>
      </w:r>
      <w:r>
        <w:rPr>
          <w:rFonts w:eastAsia="IRNazanin" w:cs="IRNazanin"/>
          <w:color w:val="111111"/>
          <w:sz w:val="28"/>
          <w:szCs w:val="28"/>
          <w:rtl w:val="true"/>
          <w:lang w:bidi="fa-IR"/>
        </w:rPr>
        <w:t>»</w:t>
      </w:r>
      <w:r>
        <w:rPr>
          <w:rStyle w:val="FootnoteAnchor"/>
          <w:rtl w:val="true"/>
        </w:rPr>
        <w:footnoteReference w:id="2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البیان</w:t>
      </w:r>
      <w:r>
        <w:rPr>
          <w:rStyle w:val="FootnoteAnchor"/>
          <w:rtl w:val="true"/>
        </w:rPr>
        <w:footnoteReference w:id="2129"/>
      </w:r>
      <w:r>
        <w:rPr>
          <w:rFonts w:ascii="IRNazanin" w:hAnsi="IRNazanin" w:eastAsia="IRNazanin"/>
          <w:color w:val="111111"/>
          <w:sz w:val="28"/>
          <w:sz w:val="28"/>
          <w:szCs w:val="28"/>
          <w:rtl w:val="true"/>
          <w:lang w:bidi="fa-IR"/>
        </w:rPr>
        <w:t>و مغنی</w:t>
      </w:r>
    </w:p>
    <w:p>
      <w:pPr>
        <w:pStyle w:val="BookText"/>
        <w:rPr/>
      </w:pPr>
      <w:r>
        <w:rPr>
          <w:rFonts w:ascii="IRNazanin" w:hAnsi="IRNazanin" w:eastAsia="IRNazanin"/>
          <w:color w:val="111111"/>
          <w:sz w:val="28"/>
          <w:sz w:val="28"/>
          <w:szCs w:val="28"/>
          <w:rtl w:val="true"/>
          <w:lang w:bidi="fa-IR"/>
        </w:rPr>
        <w:t>المحتاج</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تصحّ إلّا من جائز التصرّف؛ لأنّها عقد تملیک فی الحیاة فأشبه البیع</w:t>
      </w:r>
      <w:r>
        <w:rPr>
          <w:rFonts w:eastAsia="IRNazanin" w:cs="IRNazanin"/>
          <w:color w:val="111111"/>
          <w:sz w:val="28"/>
          <w:szCs w:val="28"/>
          <w:rtl w:val="true"/>
          <w:lang w:bidi="fa-IR"/>
        </w:rPr>
        <w:t>»</w:t>
      </w:r>
      <w:r>
        <w:rPr>
          <w:rStyle w:val="FootnoteAnchor"/>
          <w:rtl w:val="true"/>
        </w:rPr>
        <w:footnoteReference w:id="2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الإقناع</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احتمل فی موضع آخر من الشرح الکبیر الصحّة موقوفاً علی إذن الولیّ کالحنفیّة</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bookmarkStart w:id="595" w:name="pg11757_135782"/>
    </w:p>
    <w:p>
      <w:pPr>
        <w:pStyle w:val="Heading3"/>
        <w:numPr>
          <w:ilvl w:val="2"/>
          <w:numId w:val="1"/>
        </w:numPr>
        <w:rPr/>
      </w:pPr>
      <w:bookmarkStart w:id="596" w:name="__RefHeading___Toc9696953_73709187"/>
      <w:bookmarkStart w:id="597" w:name="_Toc220"/>
      <w:bookmarkEnd w:id="595"/>
      <w:bookmarkEnd w:id="596"/>
      <w:r>
        <w:rPr>
          <w:rtl w:val="true"/>
        </w:rPr>
        <w:t>الفصل الخامس عشر</w:t>
      </w:r>
      <w:r>
        <w:rPr>
          <w:rtl w:val="true"/>
        </w:rPr>
        <w:t xml:space="preserve">: </w:t>
      </w:r>
      <w:r>
        <w:rPr>
          <w:rtl w:val="true"/>
        </w:rPr>
        <w:t>وکالة الصبیّ</w:t>
      </w:r>
      <w:bookmarkEnd w:id="597"/>
    </w:p>
    <w:p>
      <w:pPr>
        <w:pStyle w:val="Heading4"/>
        <w:numPr>
          <w:ilvl w:val="3"/>
          <w:numId w:val="1"/>
        </w:numPr>
        <w:rPr/>
      </w:pPr>
      <w:bookmarkStart w:id="598" w:name="__RefHeading___Toc9696955_73709187"/>
      <w:bookmarkStart w:id="599" w:name="_Toc221"/>
      <w:bookmarkEnd w:id="598"/>
      <w:r>
        <w:rPr>
          <w:rtl w:val="true"/>
        </w:rPr>
        <w:t>تعریف الوکالة</w:t>
      </w:r>
      <w:bookmarkEnd w:id="599"/>
    </w:p>
    <w:p>
      <w:pPr>
        <w:pStyle w:val="Heading5"/>
        <w:numPr>
          <w:ilvl w:val="4"/>
          <w:numId w:val="1"/>
        </w:numPr>
        <w:rPr/>
      </w:pPr>
      <w:bookmarkStart w:id="600" w:name="__RefHeading___Toc9696957_73709187"/>
      <w:bookmarkStart w:id="601" w:name="_Toc222"/>
      <w:bookmarkEnd w:id="600"/>
      <w:r>
        <w:rPr>
          <w:rtl w:val="true"/>
        </w:rPr>
        <w:t>اشارة</w:t>
      </w:r>
      <w:bookmarkEnd w:id="601"/>
    </w:p>
    <w:p>
      <w:pPr>
        <w:pStyle w:val="BookText"/>
        <w:rPr/>
      </w:pPr>
      <w:r>
        <w:rPr>
          <w:rFonts w:ascii="Amiri" w:hAnsi="Amiri" w:eastAsia="Amiri" w:cs="Amiri"/>
          <w:color w:val="111111"/>
          <w:sz w:val="28"/>
          <w:sz w:val="28"/>
          <w:szCs w:val="28"/>
          <w:rtl w:val="true"/>
          <w:lang w:bidi="ar-SA"/>
        </w:rPr>
        <w:t>و هی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وَکَلْتُ الأمر إلیه وکْلاً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فوّضته إلیه و اکتفیت به</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الوکالة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فتحاً و کسراً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التوکیل، و هی مشتقّة من وکّل إلیه الأمر، أی فوّضه إلیه، کما فی مجمع البحرین</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المعجم الوسیط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الوکالة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یعهد إلی غیره أن یعمل له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الوکیل و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محدثة</w:t>
      </w:r>
      <w:r>
        <w:rPr>
          <w:rFonts w:eastAsia="IRNazanin" w:cs="IRNazanin"/>
          <w:color w:val="111111"/>
          <w:sz w:val="28"/>
          <w:szCs w:val="28"/>
          <w:rtl w:val="true"/>
          <w:lang w:bidi="fa-IR"/>
        </w:rPr>
        <w:t>)»</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الإیجاب و القبول الدالّین علی الاستنابة فی التصرّف، کما فی الریاض</w:t>
      </w:r>
      <w:r>
        <w:rPr>
          <w:rStyle w:val="FootnoteAnchor"/>
          <w:rtl w:val="true"/>
        </w:rPr>
        <w:footnoteReference w:id="2137"/>
      </w:r>
      <w:r>
        <w:rPr>
          <w:rFonts w:ascii="IRNazanin" w:hAnsi="IRNazanin" w:eastAsia="IRNazanin"/>
          <w:color w:val="111111"/>
          <w:sz w:val="28"/>
          <w:sz w:val="28"/>
          <w:szCs w:val="28"/>
          <w:rtl w:val="true"/>
          <w:lang w:bidi="fa-IR"/>
        </w:rPr>
        <w:t>، 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الاستنابة المخصوصة</w:t>
      </w:r>
      <w:r>
        <w:rPr>
          <w:rFonts w:eastAsia="IRNazanin" w:cs="IRNazanin"/>
          <w:color w:val="111111"/>
          <w:sz w:val="28"/>
          <w:szCs w:val="28"/>
          <w:rtl w:val="true"/>
          <w:lang w:bidi="fa-IR"/>
        </w:rPr>
        <w:t>»</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توضیح ذلک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تفویض أمر إلی الغیر لیعمل له حال حیاته</w:t>
      </w:r>
      <w:r>
        <w:rPr>
          <w:rFonts w:eastAsia="IRNazanin" w:cs="IRNazanin"/>
          <w:color w:val="111111"/>
          <w:sz w:val="28"/>
          <w:szCs w:val="28"/>
          <w:rtl w:val="true"/>
          <w:lang w:bidi="fa-IR"/>
        </w:rPr>
        <w:t>»</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لیعمل له حال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لإخراج الوصیّة، فإنّها ترتبط بما بعد الموت و تسلیط للغیر علی العمل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ثابتة بالکتاب</w:t>
      </w:r>
      <w:r>
        <w:rPr>
          <w:rStyle w:val="FootnoteAnchor"/>
          <w:rtl w:val="true"/>
        </w:rPr>
        <w:footnoteReference w:id="2140"/>
      </w:r>
      <w:r>
        <w:rPr>
          <w:rFonts w:ascii="Amiri" w:hAnsi="Amiri" w:eastAsia="Amiri" w:cs="Amiri"/>
          <w:color w:val="111111"/>
          <w:sz w:val="28"/>
          <w:sz w:val="28"/>
          <w:szCs w:val="28"/>
          <w:rtl w:val="true"/>
          <w:lang w:bidi="ar-SA"/>
        </w:rPr>
        <w:t>و السنّة</w:t>
      </w:r>
      <w:r>
        <w:rPr>
          <w:rStyle w:val="FootnoteAnchor"/>
          <w:rtl w:val="true"/>
        </w:rPr>
        <w:footnoteReference w:id="2141"/>
      </w:r>
      <w:r>
        <w:rPr>
          <w:rFonts w:ascii="IRNazanin" w:hAnsi="IRNazanin" w:eastAsia="IRNazanin"/>
          <w:color w:val="111111"/>
          <w:sz w:val="28"/>
          <w:sz w:val="28"/>
          <w:szCs w:val="28"/>
          <w:rtl w:val="true"/>
          <w:lang w:bidi="fa-IR"/>
        </w:rPr>
        <w:t>و إجماع المسلمین کافّة کما فی المهذّب</w:t>
      </w:r>
      <w:r>
        <w:rPr>
          <w:rStyle w:val="FootnoteAnchor"/>
          <w:rtl w:val="true"/>
        </w:rPr>
        <w:footnoteReference w:id="2142"/>
      </w:r>
      <w:r>
        <w:rPr>
          <w:rFonts w:ascii="IRNazanin" w:hAnsi="IRNazanin" w:eastAsia="IRNazanin"/>
          <w:color w:val="111111"/>
          <w:sz w:val="28"/>
          <w:sz w:val="28"/>
          <w:szCs w:val="28"/>
          <w:rtl w:val="true"/>
          <w:lang w:bidi="fa-IR"/>
        </w:rPr>
        <w:t>و السرائر</w:t>
      </w:r>
      <w:r>
        <w:rPr>
          <w:rStyle w:val="FootnoteAnchor"/>
          <w:rtl w:val="true"/>
        </w:rPr>
        <w:footnoteReference w:id="2143"/>
      </w:r>
      <w:r>
        <w:rPr>
          <w:rFonts w:ascii="IRNazanin" w:hAnsi="IRNazanin" w:eastAsia="IRNazanin"/>
          <w:color w:val="111111"/>
          <w:sz w:val="28"/>
          <w:sz w:val="28"/>
          <w:szCs w:val="28"/>
          <w:rtl w:val="true"/>
          <w:lang w:bidi="fa-IR"/>
        </w:rPr>
        <w:t>و التذکرة</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ریب فی مشروعیّتها، بل لعلّه من ضرورة الدِّین</w:t>
      </w:r>
      <w:r>
        <w:rPr>
          <w:rFonts w:eastAsia="IRNazanin" w:cs="IRNazanin"/>
          <w:color w:val="111111"/>
          <w:sz w:val="28"/>
          <w:szCs w:val="28"/>
          <w:rtl w:val="true"/>
          <w:lang w:bidi="fa-IR"/>
        </w:rPr>
        <w:t>»</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بدّ فی تحقّقه من إیجاب دالّ علی القصد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وکّلتک أو استنبتک أو ما شاکل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وکّلتنی؟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أو أشار بما یدلّ علی الإجابة کفی فی الإیجاب، و أمّا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باللّفظ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عقد جائز من طرفیه، فللوکیل أن یعزل نفسه مع حضور الموکّل و مع غیبته، و للموکّل أن یعزله بشرط أن یُعلمه العزل</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 عقد الوکالة من العقود الجائزة صحّ بکلّ لفظ یدلّ</w:t>
      </w:r>
      <w:bookmarkStart w:id="602" w:name="pg11757_135784"/>
    </w:p>
    <w:p>
      <w:pPr>
        <w:pStyle w:val="BookText"/>
        <w:rPr/>
      </w:pPr>
      <w:bookmarkEnd w:id="602"/>
      <w:r>
        <w:rPr>
          <w:rFonts w:ascii="IRNazanin" w:hAnsi="IRNazanin" w:eastAsia="IRNazanin"/>
          <w:color w:val="111111"/>
          <w:sz w:val="28"/>
          <w:sz w:val="28"/>
          <w:szCs w:val="28"/>
          <w:rtl w:val="true"/>
          <w:lang w:bidi="fa-IR"/>
        </w:rPr>
        <w:t>علی الاستنابة فی التصرّف و إن لم یکن علی نهج الألفاظ المعتبرة فی العقود</w:t>
      </w:r>
      <w:r>
        <w:rPr>
          <w:rFonts w:eastAsia="IRNazanin" w:cs="IRNazanin"/>
          <w:color w:val="111111"/>
          <w:sz w:val="28"/>
          <w:szCs w:val="28"/>
          <w:rtl w:val="true"/>
          <w:lang w:bidi="fa-IR"/>
        </w:rPr>
        <w:t>»</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الأقوی وقوعها بالمعاطاة، بأن سلّم إلیه متاعاً لیبیعه فتسلّمه لذلک، بل لا یبعد تحقّقها بالکتابة من طرف الموکّل، و الرضا بما فیها من طرف الوکیل</w:t>
      </w:r>
      <w:r>
        <w:rPr>
          <w:rFonts w:eastAsia="IRNazanin" w:cs="IRNazanin"/>
          <w:color w:val="111111"/>
          <w:sz w:val="28"/>
          <w:szCs w:val="28"/>
          <w:rtl w:val="true"/>
          <w:lang w:bidi="fa-IR"/>
        </w:rPr>
        <w:t>»</w:t>
      </w:r>
      <w:r>
        <w:rPr>
          <w:rStyle w:val="FootnoteAnchor"/>
          <w:rtl w:val="true"/>
        </w:rPr>
        <w:footnoteReference w:id="2148"/>
      </w:r>
      <w:r>
        <w:rPr>
          <w:rFonts w:ascii="IRNazanin" w:hAnsi="IRNazanin" w:eastAsia="IRNazanin"/>
          <w:color w:val="111111"/>
          <w:sz w:val="28"/>
          <w:sz w:val="28"/>
          <w:szCs w:val="28"/>
          <w:rtl w:val="true"/>
          <w:lang w:bidi="fa-IR"/>
        </w:rPr>
        <w:t>، و اختاره فی تفصیل الشریعة</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أرکانها أربعة،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و الموکّل، و الوکیل، و متعلّق 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البحث عن وکالة الصبیّ فملخّص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رتّب کثیر من الفقهاء صحّة وکالته علی ما اختاروا فی بیعه و عقده، فمَنْ قال بصحّة تصرّفاته من البیع و الشراء و غیرهما مطلقاً أو مع الإذن أو الإجازة قال بصحّة وکالته أیضاً،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عبرة بکلامه یقول ببطلانها، و الدلیل فی باب البیع هو الدلیل هنا، و قد کرّروا فی کلّ أبواب المعاملات المسائل المرتبطة بالصبیّ و إن کان مبنی آرائهم و الأدلّة التی استندوا إلیها واحداً، و نحن أیضاً نقتدی طریقتهم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وکالة الصبیّ فی مقامین</w:t>
      </w:r>
      <w:r>
        <w:rPr>
          <w:rFonts w:eastAsia="IRNazanin" w:cs="IRNazanin"/>
          <w:color w:val="111111"/>
          <w:sz w:val="28"/>
          <w:szCs w:val="28"/>
          <w:rtl w:val="true"/>
          <w:lang w:bidi="fa-IR"/>
        </w:rPr>
        <w:t>:</w:t>
      </w:r>
    </w:p>
    <w:p>
      <w:pPr>
        <w:pStyle w:val="Heading5"/>
        <w:numPr>
          <w:ilvl w:val="4"/>
          <w:numId w:val="1"/>
        </w:numPr>
        <w:rPr/>
      </w:pPr>
      <w:bookmarkStart w:id="603" w:name="__RefHeading___Toc9696959_73709187"/>
      <w:bookmarkStart w:id="604" w:name="_Toc223"/>
      <w:bookmarkEnd w:id="603"/>
      <w:r>
        <w:rPr>
          <w:rtl w:val="true"/>
        </w:rPr>
        <w:t>المقام الأوّل</w:t>
      </w:r>
      <w:r>
        <w:rPr>
          <w:rtl w:val="true"/>
        </w:rPr>
        <w:t xml:space="preserve">: </w:t>
      </w:r>
      <w:r>
        <w:rPr>
          <w:rtl w:val="true"/>
        </w:rPr>
        <w:t>وکالة الصبیّ عن الغیر</w:t>
      </w:r>
      <w:bookmarkEnd w:id="604"/>
    </w:p>
    <w:p>
      <w:pPr>
        <w:pStyle w:val="Heading6"/>
        <w:numPr>
          <w:ilvl w:val="5"/>
          <w:numId w:val="1"/>
        </w:numPr>
        <w:rPr/>
      </w:pPr>
      <w:bookmarkStart w:id="605" w:name="__RefHeading___Toc9696961_73709187"/>
      <w:bookmarkStart w:id="606" w:name="_Toc224"/>
      <w:bookmarkEnd w:id="605"/>
      <w:r>
        <w:rPr>
          <w:rtl w:val="true"/>
        </w:rPr>
        <w:t>اشارة</w:t>
      </w:r>
      <w:bookmarkEnd w:id="606"/>
    </w:p>
    <w:p>
      <w:pPr>
        <w:pStyle w:val="BookText"/>
        <w:rPr/>
      </w:pPr>
      <w:r>
        <w:rPr>
          <w:rFonts w:ascii="IRNazanin" w:hAnsi="IRNazanin" w:eastAsia="IRNazanin"/>
          <w:color w:val="111111"/>
          <w:sz w:val="28"/>
          <w:sz w:val="28"/>
          <w:szCs w:val="28"/>
          <w:rtl w:val="true"/>
          <w:lang w:bidi="fa-IR"/>
        </w:rPr>
        <w:t>لا خلاف فی عدم صحّة وکالة الصبیّ غیر الممیّز و المجنون، و اختلفوا فی الممیّز علی أقوال</w:t>
      </w:r>
      <w:r>
        <w:rPr>
          <w:rFonts w:eastAsia="IRNazanin" w:cs="IRNazanin"/>
          <w:color w:val="111111"/>
          <w:sz w:val="28"/>
          <w:szCs w:val="28"/>
          <w:rtl w:val="true"/>
          <w:lang w:bidi="fa-IR"/>
        </w:rPr>
        <w:t>:</w:t>
      </w:r>
    </w:p>
    <w:p>
      <w:pPr>
        <w:pStyle w:val="Heading6"/>
        <w:numPr>
          <w:ilvl w:val="5"/>
          <w:numId w:val="1"/>
        </w:numPr>
        <w:rPr/>
      </w:pPr>
      <w:bookmarkStart w:id="607" w:name="__RefHeading___Toc9696963_73709187"/>
      <w:bookmarkStart w:id="608" w:name="_Toc225"/>
      <w:bookmarkEnd w:id="607"/>
      <w:r>
        <w:rPr>
          <w:rtl w:val="true"/>
        </w:rPr>
        <w:t xml:space="preserve">الأوّل </w:t>
      </w:r>
      <w:r>
        <w:rPr>
          <w:rtl w:val="true"/>
        </w:rPr>
        <w:t xml:space="preserve">- </w:t>
      </w:r>
      <w:r>
        <w:rPr>
          <w:rtl w:val="true"/>
        </w:rPr>
        <w:t>عدم الصحّة مطلقاً</w:t>
      </w:r>
      <w:r>
        <w:rPr>
          <w:rtl w:val="true"/>
        </w:rPr>
        <w:t>:</w:t>
      </w:r>
      <w:bookmarkEnd w:id="608"/>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وکّل صبیّاً فی بیع أو شراء أو غیرهما، لم یصحّ</w:t>
      </w:r>
    </w:p>
    <w:p>
      <w:pPr>
        <w:pStyle w:val="BookText"/>
        <w:rPr/>
      </w:pPr>
      <w:r>
        <w:rPr>
          <w:rFonts w:ascii="Amiri" w:hAnsi="Amiri" w:eastAsia="Amiri" w:cs="Amiri"/>
          <w:color w:val="111111"/>
          <w:sz w:val="28"/>
          <w:sz w:val="28"/>
          <w:szCs w:val="28"/>
          <w:rtl w:val="true"/>
          <w:lang w:bidi="ar-SA"/>
        </w:rPr>
        <w:t>التوکیل، و إن تصرّف لم یصحّ تصرّفه</w:t>
      </w:r>
      <w:r>
        <w:rPr>
          <w:rFonts w:eastAsia="Amiri" w:cs="Amiri" w:ascii="Amiri" w:hAnsi="Amiri"/>
          <w:color w:val="111111"/>
          <w:sz w:val="28"/>
          <w:szCs w:val="28"/>
          <w:rtl w:val="true"/>
          <w:lang w:bidi="ar-SA"/>
        </w:rPr>
        <w:t>»</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الجامع للشرائع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یصحّ وکالة الصبیّ و المعتوه فی العقود</w:t>
      </w:r>
      <w:r>
        <w:rPr>
          <w:rFonts w:eastAsia="IRNazanin" w:cs="IRNazanin"/>
          <w:color w:val="111111"/>
          <w:sz w:val="28"/>
          <w:szCs w:val="28"/>
          <w:rtl w:val="true"/>
          <w:lang w:bidi="fa-IR"/>
        </w:rPr>
        <w:t>»</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یشترط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 العقل، فلا تصحّ وکالة الصبیّ و لا المجنون</w:t>
      </w:r>
      <w:r>
        <w:rPr>
          <w:rFonts w:eastAsia="IRNazanin" w:cs="IRNazanin"/>
          <w:color w:val="111111"/>
          <w:sz w:val="28"/>
          <w:szCs w:val="28"/>
          <w:rtl w:val="true"/>
          <w:lang w:bidi="fa-IR"/>
        </w:rPr>
        <w:t>»</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یشترط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 کمال العقل، فلا تصحّ استنابة الصبیّ و لا المجنون و المغمی علیه، فلو وکّل الصبیّ لم یصحّ تصرّفه و إن کان یعقل ما یقول</w:t>
      </w:r>
      <w:r>
        <w:rPr>
          <w:rFonts w:eastAsia="IRNazanin" w:cs="IRNazanin"/>
          <w:color w:val="111111"/>
          <w:sz w:val="28"/>
          <w:szCs w:val="28"/>
          <w:rtl w:val="true"/>
          <w:lang w:bidi="fa-IR"/>
        </w:rPr>
        <w:t>»</w:t>
      </w:r>
      <w:r>
        <w:rPr>
          <w:rStyle w:val="FootnoteAnchor"/>
          <w:rtl w:val="true"/>
        </w:rPr>
        <w:footnoteReference w:id="2153"/>
      </w:r>
      <w:r>
        <w:rPr>
          <w:rFonts w:ascii="IRNazanin" w:hAnsi="IRNazanin" w:eastAsia="IRNazanin"/>
          <w:color w:val="111111"/>
          <w:sz w:val="28"/>
          <w:sz w:val="28"/>
          <w:szCs w:val="28"/>
          <w:rtl w:val="true"/>
          <w:lang w:bidi="fa-IR"/>
        </w:rPr>
        <w:t>، و به قال فی التذکرة</w:t>
      </w:r>
      <w:r>
        <w:rPr>
          <w:rStyle w:val="FootnoteAnchor"/>
          <w:rtl w:val="true"/>
        </w:rPr>
        <w:footnoteReference w:id="2154"/>
      </w:r>
      <w:r>
        <w:rPr>
          <w:rFonts w:ascii="IRNazanin" w:hAnsi="IRNazanin" w:eastAsia="IRNazanin"/>
          <w:color w:val="111111"/>
          <w:sz w:val="28"/>
          <w:sz w:val="28"/>
          <w:szCs w:val="28"/>
          <w:rtl w:val="true"/>
          <w:lang w:bidi="fa-IR"/>
        </w:rPr>
        <w:t>و الإرشاد</w:t>
      </w:r>
      <w:r>
        <w:rPr>
          <w:rStyle w:val="FootnoteAnchor"/>
          <w:rtl w:val="true"/>
        </w:rPr>
        <w:footnoteReference w:id="2155"/>
      </w:r>
      <w:r>
        <w:rPr>
          <w:rFonts w:ascii="IRNazanin" w:hAnsi="IRNazanin" w:eastAsia="IRNazanin"/>
          <w:color w:val="111111"/>
          <w:sz w:val="28"/>
          <w:sz w:val="28"/>
          <w:szCs w:val="28"/>
          <w:rtl w:val="true"/>
          <w:lang w:bidi="fa-IR"/>
        </w:rPr>
        <w:t>و الإیضاح</w:t>
      </w:r>
      <w:r>
        <w:rPr>
          <w:rStyle w:val="FootnoteAnchor"/>
          <w:rtl w:val="true"/>
        </w:rPr>
        <w:footnoteReference w:id="2156"/>
      </w:r>
      <w:r>
        <w:rPr>
          <w:rFonts w:ascii="IRNazanin" w:hAnsi="IRNazanin" w:eastAsia="IRNazanin"/>
          <w:color w:val="111111"/>
          <w:sz w:val="28"/>
          <w:sz w:val="28"/>
          <w:szCs w:val="28"/>
          <w:rtl w:val="true"/>
          <w:lang w:bidi="fa-IR"/>
        </w:rPr>
        <w:t>، و اختاره الشهیدان</w:t>
      </w:r>
      <w:r>
        <w:rPr>
          <w:rStyle w:val="FootnoteAnchor"/>
          <w:rtl w:val="true"/>
        </w:rPr>
        <w:footnoteReference w:id="2157"/>
      </w:r>
      <w:r>
        <w:rPr>
          <w:rFonts w:ascii="IRNazanin" w:hAnsi="IRNazanin" w:eastAsia="IRNazanin"/>
          <w:color w:val="111111"/>
          <w:sz w:val="28"/>
          <w:sz w:val="28"/>
          <w:szCs w:val="28"/>
          <w:rtl w:val="true"/>
          <w:lang w:bidi="fa-IR"/>
        </w:rPr>
        <w:t>و المحقّق الثانی</w:t>
      </w:r>
      <w:r>
        <w:rPr>
          <w:rStyle w:val="FootnoteAnchor"/>
          <w:rtl w:val="true"/>
        </w:rPr>
        <w:footnoteReference w:id="2158"/>
      </w:r>
      <w:r>
        <w:rPr>
          <w:rFonts w:ascii="IRNazanin" w:hAnsi="IRNazanin" w:eastAsia="IRNazanin"/>
          <w:color w:val="111111"/>
          <w:sz w:val="28"/>
          <w:sz w:val="28"/>
          <w:szCs w:val="28"/>
          <w:rtl w:val="true"/>
          <w:lang w:bidi="fa-IR"/>
        </w:rPr>
        <w:t>و الخراسانی</w:t>
      </w:r>
      <w:r>
        <w:rPr>
          <w:rStyle w:val="FootnoteAnchor"/>
          <w:rtl w:val="true"/>
        </w:rPr>
        <w:footnoteReference w:id="2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المهذّب البارع</w:t>
      </w:r>
      <w:r>
        <w:rPr>
          <w:rStyle w:val="FootnoteAnchor"/>
          <w:rtl w:val="true"/>
        </w:rPr>
        <w:footnoteReference w:id="2160"/>
      </w:r>
      <w:r>
        <w:rPr>
          <w:rFonts w:ascii="IRNazanin" w:hAnsi="IRNazanin" w:eastAsia="IRNazanin"/>
          <w:color w:val="111111"/>
          <w:sz w:val="28"/>
          <w:sz w:val="28"/>
          <w:szCs w:val="28"/>
          <w:rtl w:val="true"/>
          <w:lang w:bidi="fa-IR"/>
        </w:rPr>
        <w:t>و مفتاح الکرامة</w:t>
      </w:r>
      <w:r>
        <w:rPr>
          <w:rStyle w:val="FootnoteAnchor"/>
          <w:rtl w:val="true"/>
        </w:rPr>
        <w:footnoteReference w:id="2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للقول المذکور بوجوه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دلیلنا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القلم عن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الصبیّ حتّی یحتلم</w:t>
      </w:r>
      <w:r>
        <w:rPr>
          <w:rFonts w:eastAsia="IRNazanin" w:cs="IRNazanin"/>
          <w:color w:val="111111"/>
          <w:sz w:val="28"/>
          <w:szCs w:val="28"/>
          <w:rtl w:val="true"/>
          <w:lang w:bidi="fa-IR"/>
        </w:rPr>
        <w:t>»</w:t>
      </w:r>
      <w:r>
        <w:rPr>
          <w:rStyle w:val="FootnoteAnchor"/>
          <w:rtl w:val="true"/>
        </w:rPr>
        <w:footnoteReference w:id="2162"/>
      </w:r>
      <w:r>
        <w:rPr>
          <w:rFonts w:ascii="IRNazanin" w:hAnsi="IRNazanin" w:eastAsia="IRNazanin"/>
          <w:color w:val="111111"/>
          <w:sz w:val="28"/>
          <w:sz w:val="28"/>
          <w:szCs w:val="28"/>
          <w:rtl w:val="true"/>
          <w:lang w:bidi="fa-IR"/>
        </w:rPr>
        <w:t>، الحدیث، و رفع القلم یقتضی أن لا یکون لکلامه</w:t>
      </w:r>
    </w:p>
    <w:p>
      <w:pPr>
        <w:pStyle w:val="BookText"/>
        <w:rPr/>
      </w:pP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w:t>
      </w:r>
      <w:r>
        <w:rPr>
          <w:rStyle w:val="FootnoteAnchor"/>
          <w:rtl w:val="true"/>
        </w:rPr>
        <w:footnoteReference w:id="2164"/>
      </w:r>
      <w:r>
        <w:rPr>
          <w:rFonts w:ascii="IRNazanin" w:hAnsi="IRNazanin" w:eastAsia="IRNazanin"/>
          <w:color w:val="111111"/>
          <w:sz w:val="28"/>
          <w:sz w:val="28"/>
          <w:szCs w:val="28"/>
          <w:rtl w:val="true"/>
          <w:lang w:bidi="fa-IR"/>
        </w:rPr>
        <w:t>من أنّه لا یدلّ علی عدم العبرة بکلام الصبیّ، بل علی رفع المؤاخذة أو التکالیف الإلزامیّة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جاء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دلالة علی صحّة هذه الوکالة، فیجب بطلانها</w:t>
      </w:r>
      <w:r>
        <w:rPr>
          <w:rFonts w:eastAsia="IRNazanin" w:cs="IRNazanin"/>
          <w:color w:val="111111"/>
          <w:sz w:val="28"/>
          <w:szCs w:val="28"/>
          <w:rtl w:val="true"/>
          <w:lang w:bidi="fa-IR"/>
        </w:rPr>
        <w:t>»</w:t>
      </w:r>
      <w:r>
        <w:rPr>
          <w:rStyle w:val="FootnoteAnchor"/>
          <w:rtl w:val="true"/>
        </w:rPr>
        <w:footnoteReference w:id="2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العمومات و الإطلاقات الواردة تشملها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یشترط فی الموکّل التمکّن من مباشرة التصرّف للموکّل فیه بنفسه، یشترط فی الوکیل التمکّن من مباشرته بنفسه، و ذلک بأن یکون صحیح العبارة فیه، فلا یصحّ للصبیّ و لا للمجنون أن یکونا وکیلین فی التصرّفات، سواء کان الصبیّ ممیّزاً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سواء کان فی المعروف أو لا؟</w:t>
      </w:r>
      <w:r>
        <w:rPr>
          <w:rFonts w:eastAsia="IRNazanin" w:cs="IRNazanin"/>
          <w:color w:val="111111"/>
          <w:sz w:val="28"/>
          <w:szCs w:val="28"/>
          <w:rtl w:val="true"/>
          <w:lang w:bidi="fa-IR"/>
        </w:rPr>
        <w:t>»</w:t>
      </w:r>
      <w:r>
        <w:rPr>
          <w:rStyle w:val="FootnoteAnchor"/>
          <w:rtl w:val="true"/>
        </w:rPr>
        <w:footnoteReference w:id="2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مفتاح الکرامة</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من أنّ الأدلّة المانعة التی تدلّ علی ممنوعیّة تصرّف الصبیّ فی أمواله علی نحو الاستقلال، و أمّا بالنسبة إلی أموال الغیر أو فی أمواله بإذن ولیّه مع مراعاة المصلحة فلا دلیل علی المنع، و لعلّه لما ذکرنا ترک قدس سره اعتبار هذا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یملک مباشرة التصرّف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الوکیل فی سائر کتبه</w:t>
      </w:r>
      <w:r>
        <w:rPr>
          <w:rStyle w:val="FootnoteAnchor"/>
          <w:rtl w:val="true"/>
        </w:rPr>
        <w:footnoteReference w:id="2168"/>
      </w:r>
      <w:r>
        <w:rPr>
          <w:rFonts w:ascii="IRNazanin" w:hAnsi="IRNazanin" w:eastAsia="IRNazanin"/>
          <w:color w:val="111111"/>
          <w:sz w:val="28"/>
          <w:sz w:val="28"/>
          <w:szCs w:val="28"/>
          <w:rtl w:val="true"/>
          <w:lang w:bidi="fa-IR"/>
        </w:rPr>
        <w:t>کما هو المستفاد من کلام المحقّق کما سیأتی قریباً</w:t>
      </w:r>
      <w:r>
        <w:rPr>
          <w:rFonts w:eastAsia="IRNazanin" w:cs="IRNazanin"/>
          <w:color w:val="111111"/>
          <w:sz w:val="28"/>
          <w:szCs w:val="28"/>
          <w:rtl w:val="true"/>
          <w:lang w:bidi="fa-IR"/>
        </w:rPr>
        <w:t>.</w:t>
      </w:r>
      <w:bookmarkStart w:id="609" w:name="pg11757_135787"/>
    </w:p>
    <w:p>
      <w:pPr>
        <w:pStyle w:val="BookText"/>
        <w:rPr/>
      </w:pPr>
      <w:bookmarkEnd w:id="609"/>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یستدلّ بالنصوص المتقدّمة التی تدلّ علی عدم صحّة تصرّفات الصبیّ مطلقاً، سواء کانت لنفسه أو لغیره،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 الصبیّ و خطاه واحد</w:t>
      </w:r>
      <w:r>
        <w:rPr>
          <w:rFonts w:eastAsia="IRNazanin" w:cs="IRNazanin"/>
          <w:color w:val="111111"/>
          <w:sz w:val="28"/>
          <w:szCs w:val="28"/>
          <w:rtl w:val="true"/>
          <w:lang w:bidi="fa-IR"/>
        </w:rPr>
        <w:t>»</w:t>
      </w:r>
      <w:r>
        <w:rPr>
          <w:rStyle w:val="FootnoteAnchor"/>
          <w:rtl w:val="true"/>
        </w:rPr>
        <w:footnoteReference w:id="2169"/>
      </w:r>
      <w:r>
        <w:rPr>
          <w:rFonts w:ascii="IRNazanin" w:hAnsi="IRNazanin" w:eastAsia="IRNazanin"/>
          <w:color w:val="111111"/>
          <w:sz w:val="28"/>
          <w:sz w:val="28"/>
          <w:szCs w:val="28"/>
          <w:rtl w:val="true"/>
          <w:lang w:bidi="fa-IR"/>
        </w:rPr>
        <w:t>،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الغلام لا یجوز أمره فی الشراء و البیع، و لا یخرج من الیتم حتّی یبلغ خمس عشرة سنة أو یحتلم</w:t>
      </w:r>
      <w:r>
        <w:rPr>
          <w:rFonts w:eastAsia="IRNazanin" w:cs="IRNazanin"/>
          <w:color w:val="111111"/>
          <w:sz w:val="28"/>
          <w:szCs w:val="28"/>
          <w:rtl w:val="true"/>
          <w:lang w:bidi="fa-IR"/>
        </w:rPr>
        <w:t>»</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تقدّم من اختصاص الطائفة الاُولی بباب الجنایات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الأخذ بإطلاقها خلاف طریقة الشرع و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الطائفة الثانیة فجواز الأمر فیها ظاهر فی استقلاله فی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قال المحقّق الکاظمی فی البحث عن بیع الصبیّ الممیّز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الخلاف فیه مبنیّ علی جواز توکیله و عدمه، و الظاهر من أصحابنا اتّفاقهم علی المنع و عدم الخلاف فی ذلک یعتدّ به</w:t>
      </w:r>
      <w:r>
        <w:rPr>
          <w:rFonts w:eastAsia="IRNazanin" w:cs="IRNazanin"/>
          <w:color w:val="111111"/>
          <w:sz w:val="28"/>
          <w:szCs w:val="28"/>
          <w:rtl w:val="true"/>
          <w:lang w:bidi="fa-IR"/>
        </w:rPr>
        <w:t>»</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الإجماع ممنوع صغرویّاً و کبرویّاً</w:t>
      </w:r>
      <w:r>
        <w:rPr>
          <w:rFonts w:eastAsia="Amiri" w:cs="Amiri" w:ascii="Amiri" w:hAnsi="Amiri"/>
          <w:color w:val="111111"/>
          <w:sz w:val="28"/>
          <w:szCs w:val="28"/>
          <w:rtl w:val="true"/>
          <w:lang w:bidi="ar-SA"/>
        </w:rPr>
        <w:t>.</w:t>
      </w:r>
    </w:p>
    <w:p>
      <w:pPr>
        <w:pStyle w:val="Heading6"/>
        <w:numPr>
          <w:ilvl w:val="5"/>
          <w:numId w:val="1"/>
        </w:numPr>
        <w:rPr/>
      </w:pPr>
      <w:bookmarkStart w:id="610" w:name="__RefHeading___Toc9696965_73709187"/>
      <w:bookmarkStart w:id="611" w:name="_Toc226"/>
      <w:bookmarkEnd w:id="610"/>
      <w:r>
        <w:rPr>
          <w:rtl w:val="true"/>
        </w:rPr>
        <w:t xml:space="preserve">القول الثانی </w:t>
      </w:r>
      <w:r>
        <w:rPr>
          <w:rtl w:val="true"/>
        </w:rPr>
        <w:t xml:space="preserve">- </w:t>
      </w:r>
      <w:r>
        <w:rPr>
          <w:rtl w:val="true"/>
        </w:rPr>
        <w:t>صحّة وکالة الصبیّ سیّما إذا کان بإذن الولیّ</w:t>
      </w:r>
      <w:r>
        <w:rPr>
          <w:rtl w:val="true"/>
        </w:rPr>
        <w:t>:</w:t>
      </w:r>
      <w:bookmarkEnd w:id="611"/>
    </w:p>
    <w:p>
      <w:pPr>
        <w:pStyle w:val="BookText"/>
        <w:rPr/>
      </w:pPr>
      <w:r>
        <w:rPr>
          <w:rFonts w:ascii="IRNazanin" w:hAnsi="IRNazanin" w:eastAsia="IRNazanin"/>
          <w:color w:val="111111"/>
          <w:sz w:val="28"/>
          <w:sz w:val="28"/>
          <w:szCs w:val="28"/>
          <w:rtl w:val="true"/>
          <w:lang w:bidi="fa-IR"/>
        </w:rPr>
        <w:t>قال فی مجمع الفائدة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نجد منه مانعاً مع التمیز و المعرفة التامّة بأن یوقع عقداً بحضور الموکّل، و أن یکون وکیلاً فی إیصال الحقوق إلی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توجیه قول من یقول بعدم صحّة وکالته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إجماع عند الأصحاب و إلّا فدلیله غیر ظاهر، فتأمّل</w:t>
      </w:r>
      <w:r>
        <w:rPr>
          <w:rFonts w:eastAsia="IRNazanin" w:cs="IRNazanin"/>
          <w:color w:val="111111"/>
          <w:sz w:val="28"/>
          <w:szCs w:val="28"/>
          <w:rtl w:val="true"/>
          <w:lang w:bidi="fa-IR"/>
        </w:rPr>
        <w:t>»</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أنّ الإجماع غیر ثابت فی المسألة، و قال فی موضع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صحّة تصرّفه مع الإذن و فی المعروف، فلو جاز ذلک له یجوز له التوکیل</w:t>
      </w:r>
      <w:r>
        <w:rPr>
          <w:rFonts w:eastAsia="IRNazanin" w:cs="IRNazanin"/>
          <w:color w:val="111111"/>
          <w:sz w:val="28"/>
          <w:szCs w:val="28"/>
          <w:rtl w:val="true"/>
          <w:lang w:bidi="fa-IR"/>
        </w:rPr>
        <w:t>»</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کلام المحقّق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یشترط فیه کمال العقل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اقتصاره علی هذا الشرط دون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المارّ فی الموکّل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علی جواز کون المحجور لغیر نقص العقل فی الجملة وکیلاً لغیره فیما حجر علیه فیه من التصرّف، کالمفلّس و السّفیه مطلقاً و لو لم یأذن لهما الولیّ</w:t>
      </w:r>
      <w:r>
        <w:rPr>
          <w:rFonts w:eastAsia="IRNazanin" w:cs="IRNazanin"/>
          <w:color w:val="111111"/>
          <w:sz w:val="28"/>
          <w:szCs w:val="28"/>
          <w:rtl w:val="true"/>
          <w:lang w:bidi="fa-IR"/>
        </w:rPr>
        <w:t>»</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الخوئی رحمه الله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جواز کونه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وکیلاً عن غیره فی عقد أو إیقاع، و لو کان التوکیل علی نحو التفویض، سواء أ کان الموکّل ولیّاً أم کان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علی نحو الاستقلال و بدون إذن الولیّ، فضلاً عمّا إذا أوقعه بإذنه، أو کان وکیلاً فی إجراء الصیغة فقط</w:t>
      </w:r>
      <w:r>
        <w:rPr>
          <w:rFonts w:eastAsia="IRNazanin" w:cs="IRNazanin"/>
          <w:color w:val="111111"/>
          <w:sz w:val="28"/>
          <w:szCs w:val="28"/>
          <w:rtl w:val="true"/>
          <w:lang w:bidi="fa-IR"/>
        </w:rPr>
        <w:t>»</w:t>
      </w:r>
      <w:r>
        <w:rPr>
          <w:rStyle w:val="FootnoteAnchor"/>
          <w:rtl w:val="true"/>
        </w:rPr>
        <w:footnoteReference w:id="2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جامع 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قوّی بعض الأکابر صحّة نیابة الصبیّ الممیّز فی مجرّد إجراء صیغة البیع و نحوه، و منع کونه مسلوب العبارة حتّی فی مثل ذلک</w:t>
      </w:r>
      <w:r>
        <w:rPr>
          <w:rFonts w:eastAsia="IRNazanin" w:cs="IRNazanin"/>
          <w:color w:val="111111"/>
          <w:sz w:val="28"/>
          <w:szCs w:val="28"/>
          <w:rtl w:val="true"/>
          <w:lang w:bidi="fa-IR"/>
        </w:rPr>
        <w:t>»</w:t>
      </w:r>
      <w:r>
        <w:rPr>
          <w:rStyle w:val="FootnoteAnchor"/>
          <w:rtl w:val="true"/>
        </w:rPr>
        <w:footnoteReference w:id="2176"/>
      </w:r>
      <w:r>
        <w:rPr>
          <w:rFonts w:ascii="IRNazanin" w:hAnsi="IRNazanin" w:eastAsia="IRNazanin"/>
          <w:color w:val="111111"/>
          <w:sz w:val="28"/>
          <w:sz w:val="28"/>
          <w:szCs w:val="28"/>
          <w:rtl w:val="true"/>
          <w:lang w:bidi="fa-IR"/>
        </w:rPr>
        <w:t>، و اختاره فی مهذّب الأحکام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خلاف الاحتیاط‌</w:t>
      </w:r>
      <w:r>
        <w:rPr>
          <w:rStyle w:val="FootnoteAnchor"/>
          <w:rtl w:val="true"/>
        </w:rPr>
        <w:footnoteReference w:id="2177"/>
      </w:r>
      <w:r>
        <w:rPr>
          <w:rFonts w:ascii="IRNazanin" w:hAnsi="IRNazanin" w:eastAsia="IRNazanin"/>
          <w:color w:val="111111"/>
          <w:sz w:val="28"/>
          <w:sz w:val="28"/>
          <w:szCs w:val="28"/>
          <w:rtl w:val="true"/>
          <w:lang w:bidi="fa-IR"/>
        </w:rPr>
        <w:t>، و به قال فی تحریر الوسیلة</w:t>
      </w:r>
      <w:r>
        <w:rPr>
          <w:rStyle w:val="FootnoteAnchor"/>
          <w:rtl w:val="true"/>
        </w:rPr>
        <w:footnoteReference w:id="2178"/>
      </w:r>
      <w:r>
        <w:rPr>
          <w:rFonts w:ascii="IRNazanin" w:hAnsi="IRNazanin" w:eastAsia="IRNazanin"/>
          <w:color w:val="111111"/>
          <w:sz w:val="28"/>
          <w:sz w:val="28"/>
          <w:szCs w:val="28"/>
          <w:rtl w:val="true"/>
          <w:lang w:bidi="fa-IR"/>
        </w:rPr>
        <w:t>و شرحها</w:t>
      </w:r>
      <w:r>
        <w:rPr>
          <w:rStyle w:val="FootnoteAnchor"/>
          <w:rtl w:val="true"/>
        </w:rPr>
        <w:footnoteReference w:id="2179"/>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العمومات و الإطلاقات، مع عدم دلیل علی التخصیص أو</w:t>
      </w:r>
      <w:bookmarkStart w:id="612" w:name="pg11757_135789"/>
    </w:p>
    <w:p>
      <w:pPr>
        <w:pStyle w:val="BookText"/>
        <w:rPr/>
      </w:pPr>
      <w:bookmarkEnd w:id="612"/>
      <w:r>
        <w:rPr>
          <w:rFonts w:ascii="IRNazanin" w:hAnsi="IRNazanin" w:eastAsia="IRNazanin"/>
          <w:color w:val="111111"/>
          <w:sz w:val="28"/>
          <w:sz w:val="28"/>
          <w:szCs w:val="28"/>
          <w:rtl w:val="true"/>
          <w:lang w:bidi="fa-IR"/>
        </w:rPr>
        <w:t>التقیید، فمقتضی الأصل هو جواز تصرّفات الصبیّ فی مال غیره وکالة عنه، کما صرّح به السیّد الخوئی رحمه الله</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مهذّب الأحکام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لا دلیل لهم علی اعتبار البلوغ فی مجرّد إجراء الصبیّ العقد إذا کان الصبیّ ممیّزاً فیه و حصل منه العقد جامعاً للشرائط</w:t>
      </w:r>
      <w:r>
        <w:rPr>
          <w:rFonts w:eastAsia="IRNazanin" w:cs="IRNazanin"/>
          <w:color w:val="111111"/>
          <w:sz w:val="28"/>
          <w:szCs w:val="28"/>
          <w:rtl w:val="true"/>
          <w:lang w:bidi="fa-IR"/>
        </w:rPr>
        <w:t>»</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الإیراد بأنّ الأدلّة المانعة توجب تخصیص العمومات أو تقییدها فقد مرّ الجواب عنه، من أنّها تختصّ بما إذا تصرّف الصبیّ فی ماله، و لا دلالة علی عدم نفوذ عقده و تصرّفه فی مال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حیث إنّه قد ادّعی الإجماع علی عدم نفوذ أمر الصبیّ و أنّه مسلوب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Style w:val="FootnoteAnchor"/>
          <w:rtl w:val="true"/>
        </w:rPr>
        <w:footnoteReference w:id="2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القدر المتیقّن منه ما إذا کان مستقلاًّ فی التصرّف، فیجب أن لا یترک الاحتیاط بأن یأذن له الولیّ أو أجازها بعد وقوعها</w:t>
      </w:r>
      <w:r>
        <w:rPr>
          <w:rFonts w:eastAsia="IRNazanin" w:cs="IRNazanin"/>
          <w:color w:val="111111"/>
          <w:sz w:val="28"/>
          <w:szCs w:val="28"/>
          <w:rtl w:val="true"/>
          <w:lang w:bidi="fa-IR"/>
        </w:rPr>
        <w:t>.</w:t>
      </w:r>
    </w:p>
    <w:p>
      <w:pPr>
        <w:pStyle w:val="Heading6"/>
        <w:numPr>
          <w:ilvl w:val="5"/>
          <w:numId w:val="1"/>
        </w:numPr>
        <w:rPr/>
      </w:pPr>
      <w:bookmarkStart w:id="613" w:name="__RefHeading___Toc9696967_73709187"/>
      <w:bookmarkStart w:id="614" w:name="_Toc227"/>
      <w:bookmarkEnd w:id="613"/>
      <w:r>
        <w:rPr>
          <w:rtl w:val="true"/>
        </w:rPr>
        <w:t>القول الثالث</w:t>
      </w:r>
      <w:r>
        <w:rPr>
          <w:rtl w:val="true"/>
        </w:rPr>
        <w:t xml:space="preserve">: </w:t>
      </w:r>
      <w:r>
        <w:rPr>
          <w:rtl w:val="true"/>
        </w:rPr>
        <w:t>التفصیل</w:t>
      </w:r>
      <w:bookmarkEnd w:id="614"/>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بعض الفقهاء إلی أنّه تصحّ وکالة الصبیّ إذا بلغ عشراً، فی خصوص المعروف و وجوه البرّ احتمله العلّامة فی التذکرة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یصحّ للصبیّ و لا للمجنون أن یکونا وکیلین فی التصرّفات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الروایة المسوّغة تصرّفات الصبیّ إذا بلغ عشر سنین فی المعروف و الوصیّة یحتمل جواز وکالته فیما یملکه من ذلک</w:t>
      </w:r>
      <w:r>
        <w:rPr>
          <w:rFonts w:eastAsia="IRNazanin" w:cs="IRNazanin"/>
          <w:color w:val="111111"/>
          <w:sz w:val="28"/>
          <w:szCs w:val="28"/>
          <w:rtl w:val="true"/>
          <w:lang w:bidi="fa-IR"/>
        </w:rPr>
        <w:t>»</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bookmarkStart w:id="615" w:name="pg11757_135790"/>
    </w:p>
    <w:p>
      <w:pPr>
        <w:pStyle w:val="BookText"/>
        <w:rPr/>
      </w:pPr>
      <w:bookmarkEnd w:id="615"/>
      <w:r>
        <w:rPr>
          <w:rFonts w:ascii="IRNazanin" w:hAnsi="IRNazanin" w:eastAsia="IRNazanin"/>
          <w:color w:val="111111"/>
          <w:sz w:val="28"/>
          <w:sz w:val="28"/>
          <w:szCs w:val="28"/>
          <w:rtl w:val="true"/>
          <w:lang w:bidi="fa-IR"/>
        </w:rPr>
        <w:t>و قال المحقّق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یجیء علی القول بتسویغ تصرّفات ابن العشر و نحوه، فی الصدقة و نحوها احتمال صحّة کونه وکیلاً عن غیره فی ذلک؛ لصحّة مباشرته له</w:t>
      </w:r>
      <w:r>
        <w:rPr>
          <w:rFonts w:eastAsia="IRNazanin" w:cs="IRNazanin"/>
          <w:color w:val="111111"/>
          <w:sz w:val="28"/>
          <w:szCs w:val="28"/>
          <w:rtl w:val="true"/>
          <w:lang w:bidi="fa-IR"/>
        </w:rPr>
        <w:t>»</w:t>
      </w:r>
      <w:r>
        <w:rPr>
          <w:rStyle w:val="FootnoteAnchor"/>
          <w:rtl w:val="true"/>
        </w:rPr>
        <w:footnoteReference w:id="2184"/>
      </w:r>
      <w:r>
        <w:rPr>
          <w:rFonts w:ascii="IRNazanin" w:hAnsi="IRNazanin" w:eastAsia="IRNazanin"/>
          <w:color w:val="111111"/>
          <w:sz w:val="28"/>
          <w:sz w:val="28"/>
          <w:szCs w:val="28"/>
          <w:rtl w:val="true"/>
          <w:lang w:bidi="fa-IR"/>
        </w:rPr>
        <w:t>، و به قال فی الجواهر</w:t>
      </w:r>
      <w:r>
        <w:rPr>
          <w:rStyle w:val="FootnoteAnchor"/>
          <w:rtl w:val="true"/>
        </w:rPr>
        <w:footnoteReference w:id="2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المستند لهذا القول بعض النصوص التی سیأتی ذکرها فی القول الثالث فی المقام الثانی</w:t>
      </w:r>
      <w:r>
        <w:rPr>
          <w:rFonts w:eastAsia="IRNazanin" w:cs="IRNazanin"/>
          <w:color w:val="111111"/>
          <w:sz w:val="28"/>
          <w:szCs w:val="28"/>
          <w:rtl w:val="true"/>
          <w:lang w:bidi="fa-IR"/>
        </w:rPr>
        <w:t>.</w:t>
      </w:r>
    </w:p>
    <w:p>
      <w:pPr>
        <w:pStyle w:val="Heading5"/>
        <w:numPr>
          <w:ilvl w:val="4"/>
          <w:numId w:val="1"/>
        </w:numPr>
        <w:rPr/>
      </w:pPr>
      <w:bookmarkStart w:id="616" w:name="__RefHeading___Toc9696969_73709187"/>
      <w:bookmarkStart w:id="617" w:name="_Toc228"/>
      <w:bookmarkEnd w:id="616"/>
      <w:r>
        <w:rPr>
          <w:rtl w:val="true"/>
        </w:rPr>
        <w:t>المقام الثانی</w:t>
      </w:r>
      <w:r>
        <w:rPr>
          <w:rtl w:val="true"/>
        </w:rPr>
        <w:t xml:space="preserve">: </w:t>
      </w:r>
      <w:r>
        <w:rPr>
          <w:rtl w:val="true"/>
        </w:rPr>
        <w:t>توکیل الصبیّ للغیر</w:t>
      </w:r>
      <w:bookmarkEnd w:id="617"/>
    </w:p>
    <w:p>
      <w:pPr>
        <w:pStyle w:val="BookText"/>
        <w:rPr/>
      </w:pPr>
      <w:r>
        <w:rPr>
          <w:rFonts w:ascii="IRNazanin" w:hAnsi="IRNazanin" w:eastAsia="IRNazanin"/>
          <w:color w:val="111111"/>
          <w:sz w:val="28"/>
          <w:sz w:val="28"/>
          <w:szCs w:val="28"/>
          <w:rtl w:val="true"/>
          <w:lang w:bidi="fa-IR"/>
        </w:rPr>
        <w:t>لا خلاف فی أنّه یشترط فی الموکّل أن یملک مباشرة التصرّف فی الموکّل به و أن یکون قادراً علی ذلک، إمّا بحقّ ملکه أو بحقّ الولایة عن غیره کالأب و الجدّ له بالنسبة إلی الصبیّ؛ لأنّ الوکیل یستفید و یأخذ ولایة التصرّف من الموکّل، و یملک التصرّف من ناحیته، و علیه فالّذی لا یقدر علی التصرّف لا یستطیع تملیک ذلک التصرّف لغیره، و علی هذا لا یصحّ توکیل الصبیّ غیر الممیّز و المجنون للغیر، و أمّا الصبیّ الممیّز ففیه 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الصحّة مطلقاً</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یصحّ توکیل الصبیّ و إن کان ممیّزاً أو بلغ عشراً مطلقاً علی رأی</w:t>
      </w:r>
      <w:r>
        <w:rPr>
          <w:rFonts w:eastAsia="IRNazanin" w:cs="IRNazanin"/>
          <w:color w:val="111111"/>
          <w:sz w:val="28"/>
          <w:szCs w:val="28"/>
          <w:rtl w:val="true"/>
          <w:lang w:bidi="fa-IR"/>
        </w:rPr>
        <w:t>»</w:t>
      </w:r>
      <w:r>
        <w:rPr>
          <w:rStyle w:val="FootnoteAnchor"/>
          <w:rtl w:val="true"/>
        </w:rPr>
        <w:footnoteReference w:id="2186"/>
      </w:r>
      <w:r>
        <w:rPr>
          <w:rFonts w:ascii="IRNazanin" w:hAnsi="IRNazanin" w:eastAsia="IRNazanin"/>
          <w:color w:val="111111"/>
          <w:sz w:val="28"/>
          <w:sz w:val="28"/>
          <w:szCs w:val="28"/>
          <w:rtl w:val="true"/>
          <w:lang w:bidi="fa-IR"/>
        </w:rPr>
        <w:t>، و کذا فی الإرشاد</w:t>
      </w:r>
      <w:r>
        <w:rPr>
          <w:rStyle w:val="FootnoteAnchor"/>
          <w:rtl w:val="true"/>
        </w:rPr>
        <w:footnoteReference w:id="2187"/>
      </w:r>
      <w:r>
        <w:rPr>
          <w:rFonts w:ascii="IRNazanin" w:hAnsi="IRNazanin" w:eastAsia="IRNazanin"/>
          <w:color w:val="111111"/>
          <w:sz w:val="28"/>
          <w:sz w:val="28"/>
          <w:szCs w:val="28"/>
          <w:rtl w:val="true"/>
          <w:lang w:bidi="fa-IR"/>
        </w:rPr>
        <w:t>، و صرّح به فی الإیضاح</w:t>
      </w:r>
      <w:r>
        <w:rPr>
          <w:rStyle w:val="FootnoteAnchor"/>
          <w:rtl w:val="true"/>
        </w:rPr>
        <w:footnoteReference w:id="2188"/>
      </w:r>
      <w:r>
        <w:rPr>
          <w:rFonts w:ascii="IRNazanin" w:hAnsi="IRNazanin" w:eastAsia="IRNazanin"/>
          <w:color w:val="111111"/>
          <w:sz w:val="28"/>
          <w:sz w:val="28"/>
          <w:szCs w:val="28"/>
          <w:rtl w:val="true"/>
          <w:lang w:bidi="fa-IR"/>
        </w:rPr>
        <w:t>، و هو الظاهر من</w:t>
      </w:r>
    </w:p>
    <w:p>
      <w:pPr>
        <w:pStyle w:val="BookText"/>
        <w:rPr/>
      </w:pPr>
      <w:r>
        <w:rPr>
          <w:rFonts w:ascii="IRNazanin" w:hAnsi="IRNazanin" w:eastAsia="IRNazanin"/>
          <w:color w:val="111111"/>
          <w:sz w:val="28"/>
          <w:sz w:val="28"/>
          <w:szCs w:val="28"/>
          <w:rtl w:val="true"/>
          <w:lang w:bidi="fa-IR"/>
        </w:rPr>
        <w:t>الدروس</w:t>
      </w:r>
      <w:r>
        <w:rPr>
          <w:rStyle w:val="FootnoteAnchor"/>
          <w:rtl w:val="true"/>
        </w:rPr>
        <w:footnoteReference w:id="2189"/>
      </w:r>
      <w:r>
        <w:rPr>
          <w:rFonts w:ascii="IRNazanin" w:hAnsi="IRNazanin" w:eastAsia="IRNazanin"/>
          <w:color w:val="111111"/>
          <w:sz w:val="28"/>
          <w:sz w:val="28"/>
          <w:szCs w:val="28"/>
          <w:rtl w:val="true"/>
          <w:lang w:bidi="fa-IR"/>
        </w:rPr>
        <w:t>فی باب الوصیّة و اختاره فی اللمعة</w:t>
      </w:r>
      <w:r>
        <w:rPr>
          <w:rStyle w:val="FootnoteAnchor"/>
          <w:rtl w:val="true"/>
        </w:rPr>
        <w:footnoteReference w:id="2190"/>
      </w:r>
      <w:r>
        <w:rPr>
          <w:rFonts w:ascii="Amiri" w:hAnsi="Amiri" w:eastAsia="Amiri" w:cs="Amiri"/>
          <w:color w:val="111111"/>
          <w:sz w:val="28"/>
          <w:sz w:val="28"/>
          <w:szCs w:val="28"/>
          <w:rtl w:val="true"/>
          <w:lang w:bidi="ar-SA"/>
        </w:rPr>
        <w:t>و الروضة</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المسالک فی شرح قول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بلغ عشراً جاز أن یوکّل فیما له التصرّف فیه کالوصیّة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بناء علی جواز تصرّفه فی هذه الأشیاء، و الأقوی المنع منها</w:t>
      </w:r>
      <w:r>
        <w:rPr>
          <w:rFonts w:eastAsia="IRNazanin" w:cs="IRNazanin"/>
          <w:color w:val="111111"/>
          <w:sz w:val="28"/>
          <w:szCs w:val="28"/>
          <w:rtl w:val="true"/>
          <w:lang w:bidi="fa-IR"/>
        </w:rPr>
        <w:t>»</w:t>
      </w:r>
      <w:r>
        <w:rPr>
          <w:rStyle w:val="FootnoteAnchor"/>
          <w:rtl w:val="true"/>
        </w:rPr>
        <w:footnoteReference w:id="2192"/>
      </w:r>
      <w:r>
        <w:rPr>
          <w:rFonts w:ascii="IRNazanin" w:hAnsi="IRNazanin" w:eastAsia="IRNazanin"/>
          <w:color w:val="111111"/>
          <w:sz w:val="28"/>
          <w:sz w:val="28"/>
          <w:szCs w:val="28"/>
          <w:rtl w:val="true"/>
          <w:lang w:bidi="fa-IR"/>
        </w:rPr>
        <w:t>، و اختاره المحقّق الثانی</w:t>
      </w:r>
      <w:r>
        <w:rPr>
          <w:rStyle w:val="FootnoteAnchor"/>
          <w:rtl w:val="true"/>
        </w:rPr>
        <w:footnoteReference w:id="2193"/>
      </w:r>
      <w:r>
        <w:rPr>
          <w:rFonts w:ascii="IRNazanin" w:hAnsi="IRNazanin" w:eastAsia="IRNazanin"/>
          <w:color w:val="111111"/>
          <w:sz w:val="28"/>
          <w:sz w:val="28"/>
          <w:szCs w:val="28"/>
          <w:rtl w:val="true"/>
          <w:lang w:bidi="fa-IR"/>
        </w:rPr>
        <w:t>و ابن فهد الحلّی</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کفایة الأحکام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 الأقرب العدم</w:t>
      </w:r>
      <w:r>
        <w:rPr>
          <w:rFonts w:eastAsia="IRNazanin" w:cs="IRNazanin"/>
          <w:color w:val="111111"/>
          <w:sz w:val="28"/>
          <w:szCs w:val="28"/>
          <w:rtl w:val="true"/>
          <w:lang w:bidi="fa-IR"/>
        </w:rPr>
        <w:t>»</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فی الإیضاح بأنّ مناط التصرّفات البلوغ و لیس هو ببالغ</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کان تصرّف الوکیل بالوکالة محسوباً من تصرّف الموکّل اشترط لصحّة التوکیل أن یملک الموکّل مباشرة الفعل الموکّل فیه بملک أو ولایة، و إن مَنَعَهُ من إنشاء الفعل الجهل بالشیء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 العلم به شرطاً لصحّة ذلک الفعل کالبیع المشروط بالعلم بالمبیع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الجهل به لا یخلّ بصحّة التوکیل</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لا یصحّ توکیل الصبیّ علی حال فی شیء من التصرفات؛ لأنّه لا یملک مباشرة التصرّف فی شیء</w:t>
      </w:r>
      <w:r>
        <w:rPr>
          <w:rFonts w:eastAsia="IRNazanin" w:cs="IRNazanin"/>
          <w:color w:val="111111"/>
          <w:sz w:val="28"/>
          <w:szCs w:val="28"/>
          <w:rtl w:val="true"/>
          <w:lang w:bidi="fa-IR"/>
        </w:rPr>
        <w:t>»</w:t>
      </w:r>
      <w:r>
        <w:rPr>
          <w:rStyle w:val="FootnoteAnchor"/>
          <w:rtl w:val="true"/>
        </w:rPr>
        <w:footnoteReference w:id="2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مفتاح الکرامة</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مطلقاً</w:t>
      </w:r>
    </w:p>
    <w:p>
      <w:pPr>
        <w:pStyle w:val="BookText"/>
        <w:rPr/>
      </w:pPr>
      <w:r>
        <w:rPr>
          <w:rFonts w:ascii="IRNazanin" w:hAnsi="IRNazanin" w:eastAsia="IRNazanin"/>
          <w:color w:val="111111"/>
          <w:sz w:val="28"/>
          <w:sz w:val="28"/>
          <w:szCs w:val="28"/>
          <w:rtl w:val="true"/>
          <w:lang w:bidi="fa-IR"/>
        </w:rPr>
        <w:t>یستفاد من کلام بعض الفقهاء أنّ توکیل الصبیّ غیره صحیح مطلقاً بشرط أن یکون مأذوناً من طرف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الأردبیلی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مرّ البحث</w:t>
      </w:r>
      <w:r>
        <w:rPr>
          <w:rStyle w:val="FootnoteAnchor"/>
          <w:rtl w:val="true"/>
        </w:rPr>
        <w:footnoteReference w:id="2199"/>
      </w:r>
      <w:r>
        <w:rPr>
          <w:rFonts w:ascii="IRNazanin" w:hAnsi="IRNazanin" w:eastAsia="IRNazanin"/>
          <w:color w:val="111111"/>
          <w:sz w:val="28"/>
          <w:sz w:val="28"/>
          <w:szCs w:val="28"/>
          <w:rtl w:val="true"/>
          <w:lang w:bidi="fa-IR"/>
        </w:rPr>
        <w:t>فی الصبیّ الممیّز و احتمال صحّة تصرّفه مع الإذن و فی المعروف، فلو جاز ذلک له یجوز له التوکیل</w:t>
      </w:r>
      <w:r>
        <w:rPr>
          <w:rFonts w:eastAsia="IRNazanin" w:cs="IRNazanin"/>
          <w:color w:val="111111"/>
          <w:sz w:val="28"/>
          <w:szCs w:val="28"/>
          <w:rtl w:val="true"/>
          <w:lang w:bidi="fa-IR"/>
        </w:rPr>
        <w:t>»</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جامع 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بنینا علی أنّه مع إذن الولیّ یجوز بیعه و شراؤه لا بنحو الآلیّة، فلا مانع من أن یأذن الولیّ التصرّف، و حیث إنّه لا یعتبر المباشرة</w:t>
      </w:r>
      <w:r>
        <w:rPr>
          <w:rStyle w:val="FootnoteAnchor"/>
          <w:rtl w:val="true"/>
        </w:rPr>
        <w:footnoteReference w:id="2201"/>
      </w:r>
      <w:r>
        <w:rPr>
          <w:rFonts w:ascii="Amiri" w:hAnsi="Amiri" w:eastAsia="Amiri" w:cs="Amiri"/>
          <w:color w:val="111111"/>
          <w:sz w:val="28"/>
          <w:sz w:val="28"/>
          <w:szCs w:val="28"/>
          <w:rtl w:val="true"/>
          <w:lang w:bidi="ar-SA"/>
        </w:rPr>
        <w:t>یوکّل الغیر فی التصرّف</w:t>
      </w:r>
      <w:r>
        <w:rPr>
          <w:rFonts w:eastAsia="Amiri" w:cs="Amiri" w:ascii="Amiri" w:hAnsi="Amiri"/>
          <w:color w:val="111111"/>
          <w:sz w:val="28"/>
          <w:szCs w:val="28"/>
          <w:rtl w:val="true"/>
          <w:lang w:bidi="ar-SA"/>
        </w:rPr>
        <w:t>»</w:t>
      </w:r>
      <w:r>
        <w:rPr>
          <w:rStyle w:val="FootnoteAnchor"/>
          <w:rtl w:val="true"/>
        </w:rPr>
        <w:footnoteReference w:id="2202"/>
      </w:r>
      <w:r>
        <w:rPr>
          <w:rFonts w:ascii="IRNazanin" w:hAnsi="IRNazanin" w:eastAsia="IRNazanin"/>
          <w:color w:val="111111"/>
          <w:sz w:val="28"/>
          <w:sz w:val="28"/>
          <w:szCs w:val="28"/>
          <w:rtl w:val="true"/>
          <w:lang w:bidi="fa-IR"/>
        </w:rPr>
        <w:t>، و هو الظّاهر من مهذّب الأحکام</w:t>
      </w:r>
      <w:r>
        <w:rPr>
          <w:rStyle w:val="FootnoteAnchor"/>
          <w:rtl w:val="true"/>
        </w:rPr>
        <w:footnoteReference w:id="2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علیه العمومات و الإطلاقات بالتقریب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توکیل الصبیّ فیما جاز له مباشرته، و هو الأحوط</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شرط الوصیّة أن یکون الموصی عاقلاً حرّاً ثابت العقل، سواء کان صغیراً أو کبیراً، فإن بلغ عشر سنین، و لم یکن قد کمل عقله، غیر أنّه لا یضع الشیء إلّا فی موضعه، کانت وصیّته ماضیةً فی المعروف من وجوه البرّ، و مردودة فیما لم یکن کذلک، و متی کان سنّه أقلّ من</w:t>
      </w:r>
    </w:p>
    <w:p>
      <w:pPr>
        <w:pStyle w:val="BookText"/>
        <w:rPr/>
      </w:pPr>
      <w:r>
        <w:rPr>
          <w:rFonts w:ascii="IRNazanin" w:hAnsi="IRNazanin" w:eastAsia="IRNazanin"/>
          <w:color w:val="111111"/>
          <w:sz w:val="28"/>
          <w:sz w:val="28"/>
          <w:szCs w:val="28"/>
          <w:rtl w:val="true"/>
          <w:lang w:bidi="fa-IR"/>
        </w:rPr>
        <w:t>ذلک لم یجز وصیّته</w:t>
      </w:r>
      <w:r>
        <w:rPr>
          <w:rFonts w:eastAsia="IRNazanin" w:cs="IRNazanin"/>
          <w:color w:val="111111"/>
          <w:sz w:val="28"/>
          <w:szCs w:val="28"/>
          <w:rtl w:val="true"/>
          <w:lang w:bidi="fa-IR"/>
        </w:rPr>
        <w:t>»</w:t>
      </w:r>
      <w:r>
        <w:rPr>
          <w:rStyle w:val="FootnoteAnchor"/>
          <w:rtl w:val="true"/>
        </w:rPr>
        <w:footnoteReference w:id="2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بیان من یجوز له التوکیل و من لا یجوز له التوکیل، فکلّ من یصحّ تصرّفه فی شیء ممّا تدخله النیابة صحّ التوکیل فیه</w:t>
      </w:r>
      <w:r>
        <w:rPr>
          <w:rFonts w:eastAsia="IRNazanin" w:cs="IRNazanin"/>
          <w:color w:val="111111"/>
          <w:sz w:val="28"/>
          <w:szCs w:val="28"/>
          <w:rtl w:val="true"/>
          <w:lang w:bidi="fa-IR"/>
        </w:rPr>
        <w:t>»</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فیستفاد صغری القیاس من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الصبیّ إذا بلغ عشراً یجوز وصیّته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الکبری من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 جاز وصیّته جاز وکالته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ینتج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الصبیّ إذا بلغ عشر سنین جاز وکالته فیما جاز له مباشرته بنفسه من وجوه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یسند هذا القول إلی کلّ من قال بجواز تصرّف الصبیّ بالعتق و الصدقة و الوصیّة، کما جاء فی المقنعة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بلغ الصبیّ عشر سنین جازت وصیّته فی المعروف من وجوه البرّ</w:t>
      </w:r>
      <w:r>
        <w:rPr>
          <w:rFonts w:eastAsia="IRNazanin" w:cs="IRNazanin"/>
          <w:color w:val="111111"/>
          <w:sz w:val="28"/>
          <w:szCs w:val="28"/>
          <w:rtl w:val="true"/>
          <w:lang w:bidi="fa-IR"/>
        </w:rPr>
        <w:t>»</w:t>
      </w:r>
      <w:r>
        <w:rPr>
          <w:rStyle w:val="FootnoteAnchor"/>
          <w:rtl w:val="true"/>
        </w:rPr>
        <w:footnoteReference w:id="2206"/>
      </w:r>
      <w:r>
        <w:rPr>
          <w:rFonts w:ascii="IRNazanin" w:hAnsi="IRNazanin" w:eastAsia="IRNazanin"/>
          <w:color w:val="111111"/>
          <w:sz w:val="28"/>
          <w:sz w:val="28"/>
          <w:szCs w:val="28"/>
          <w:rtl w:val="true"/>
          <w:lang w:bidi="fa-IR"/>
        </w:rPr>
        <w:t>، و به قال ابنا البرّاج</w:t>
      </w:r>
      <w:r>
        <w:rPr>
          <w:rStyle w:val="FootnoteAnchor"/>
          <w:rtl w:val="true"/>
        </w:rPr>
        <w:footnoteReference w:id="2207"/>
      </w:r>
      <w:r>
        <w:rPr>
          <w:rFonts w:ascii="Amiri" w:hAnsi="Amiri" w:eastAsia="Amiri" w:cs="Amiri"/>
          <w:color w:val="111111"/>
          <w:sz w:val="28"/>
          <w:sz w:val="28"/>
          <w:szCs w:val="28"/>
          <w:rtl w:val="true"/>
          <w:lang w:bidi="ar-SA"/>
        </w:rPr>
        <w:t>و زهرة</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بلغ عشراً جاز أن یوکّل فیما له فعله بنفسه، کالوصیّة فی المعروف، و الصدقة و الطلاق علی روایة ممنوعة، و لیس له أن یوکّل فی غیر ذلک و إن کان مراهقاً بإذن الولیّ أو بغیر إذنه</w:t>
      </w:r>
      <w:r>
        <w:rPr>
          <w:rFonts w:eastAsia="IRNazanin" w:cs="IRNazanin"/>
          <w:color w:val="111111"/>
          <w:sz w:val="28"/>
          <w:szCs w:val="28"/>
          <w:rtl w:val="true"/>
          <w:lang w:bidi="fa-IR"/>
        </w:rPr>
        <w:t>»</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مفتاح الکرامة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کانت الصلة قیداً فی الأخیر کان جازماً</w:t>
      </w:r>
    </w:p>
    <w:p>
      <w:pPr>
        <w:pStyle w:val="BookText"/>
        <w:rPr/>
      </w:pPr>
      <w:r>
        <w:rPr>
          <w:rFonts w:ascii="IRNazanin" w:hAnsi="IRNazanin" w:eastAsia="IRNazanin"/>
          <w:color w:val="111111"/>
          <w:sz w:val="28"/>
          <w:sz w:val="28"/>
          <w:szCs w:val="28"/>
          <w:rtl w:val="true"/>
          <w:lang w:bidi="fa-IR"/>
        </w:rPr>
        <w:t>بالجواز فی الاُولیین و بالمنع فی الثالث</w:t>
      </w:r>
      <w:r>
        <w:rPr>
          <w:rFonts w:eastAsia="IRNazanin" w:cs="IRNazanin"/>
          <w:color w:val="111111"/>
          <w:sz w:val="28"/>
          <w:szCs w:val="28"/>
          <w:rtl w:val="true"/>
          <w:lang w:bidi="fa-IR"/>
        </w:rPr>
        <w:t>»</w:t>
      </w:r>
      <w:r>
        <w:rPr>
          <w:rStyle w:val="FootnoteAnchor"/>
          <w:rtl w:val="true"/>
        </w:rPr>
        <w:footnoteReference w:id="2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القول فی الثلاثة الاُولی إلی الشیخ و جماعة</w:t>
      </w:r>
      <w:r>
        <w:rPr>
          <w:rStyle w:val="FootnoteAnchor"/>
          <w:rtl w:val="true"/>
        </w:rPr>
        <w:footnoteReference w:id="2211"/>
      </w:r>
      <w:r>
        <w:rPr>
          <w:rFonts w:ascii="IRNazanin" w:hAnsi="IRNazanin" w:eastAsia="IRNazanin"/>
          <w:color w:val="111111"/>
          <w:sz w:val="28"/>
          <w:sz w:val="28"/>
          <w:szCs w:val="28"/>
          <w:rtl w:val="true"/>
          <w:lang w:bidi="fa-IR"/>
        </w:rPr>
        <w:t>و استحسنه فی الریاض</w:t>
      </w:r>
      <w:r>
        <w:rPr>
          <w:rStyle w:val="FootnoteAnchor"/>
          <w:rtl w:val="true"/>
        </w:rPr>
        <w:footnoteReference w:id="2212"/>
      </w:r>
      <w:r>
        <w:rPr>
          <w:rFonts w:ascii="IRNazanin" w:hAnsi="IRNazanin" w:eastAsia="IRNazanin"/>
          <w:color w:val="111111"/>
          <w:sz w:val="28"/>
          <w:sz w:val="28"/>
          <w:szCs w:val="28"/>
          <w:rtl w:val="true"/>
          <w:lang w:bidi="fa-IR"/>
        </w:rPr>
        <w:t>، و صرّح به فی المناهل</w:t>
      </w:r>
      <w:r>
        <w:rPr>
          <w:rStyle w:val="FootnoteAnchor"/>
          <w:rtl w:val="true"/>
        </w:rPr>
        <w:footnoteReference w:id="2213"/>
      </w:r>
      <w:r>
        <w:rPr>
          <w:rFonts w:ascii="IRNazanin" w:hAnsi="IRNazanin" w:eastAsia="IRNazanin"/>
          <w:color w:val="111111"/>
          <w:sz w:val="28"/>
          <w:sz w:val="28"/>
          <w:szCs w:val="28"/>
          <w:rtl w:val="true"/>
          <w:lang w:bidi="fa-IR"/>
        </w:rPr>
        <w:t>، و کذا فی العروة</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الخوئی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یصحّ توکیل الصغیر فیما جاز له مباشرته کالوصیّة إذا بلغ عشراً، و یجوز أن یکون الصغیر وکیلاً و لو بدون إذن ولیّه</w:t>
      </w:r>
      <w:r>
        <w:rPr>
          <w:rFonts w:eastAsia="IRNazanin" w:cs="IRNazanin"/>
          <w:color w:val="111111"/>
          <w:sz w:val="28"/>
          <w:szCs w:val="28"/>
          <w:rtl w:val="true"/>
          <w:lang w:bidi="fa-IR"/>
        </w:rPr>
        <w:t>»</w:t>
      </w:r>
      <w:r>
        <w:rPr>
          <w:rStyle w:val="FootnoteAnchor"/>
          <w:rtl w:val="true"/>
        </w:rPr>
        <w:footnoteReference w:id="2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الجواهر</w:t>
      </w:r>
      <w:r>
        <w:rPr>
          <w:rStyle w:val="FootnoteAnchor"/>
          <w:rtl w:val="true"/>
        </w:rPr>
        <w:footnoteReference w:id="2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المستند عندهم فی ذلک الأخبار الواردة فی جواز وصیّته،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المشایخ الثلاثة بسند موثق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أتی علی الغلام عشر سنین فإنّه یجوز له فی ماله ما أعتق أو تصدّق أو أوصی علی حدّ معروف و حقّ، فهو جائز</w:t>
      </w:r>
      <w:r>
        <w:rPr>
          <w:rFonts w:eastAsia="IRNazanin" w:cs="IRNazanin"/>
          <w:color w:val="111111"/>
          <w:sz w:val="28"/>
          <w:szCs w:val="28"/>
          <w:rtl w:val="true"/>
          <w:lang w:bidi="fa-IR"/>
        </w:rPr>
        <w:t>»</w:t>
      </w:r>
      <w:r>
        <w:rPr>
          <w:rStyle w:val="FootnoteAnchor"/>
          <w:rtl w:val="true"/>
        </w:rPr>
        <w:footnoteReference w:id="2217"/>
      </w:r>
      <w:r>
        <w:rPr>
          <w:rFonts w:ascii="IRNazanin" w:hAnsi="IRNazanin" w:eastAsia="IRNazanin"/>
          <w:color w:val="111111"/>
          <w:sz w:val="28"/>
          <w:sz w:val="28"/>
          <w:szCs w:val="28"/>
          <w:rtl w:val="true"/>
          <w:lang w:bidi="fa-IR"/>
        </w:rPr>
        <w:t>، و غیرها</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من یصحّ تصرّفه فی شیء تدخله النیابة صحّ التوکیل فیه، فیلزم من ذلک جواز توکیل الصبیّ فی ذلک کلّه، کما فی مفتاح الکرامة</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قال فی جامع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القول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مشهوراً مستنداً إلی</w:t>
      </w:r>
      <w:bookmarkStart w:id="618" w:name="pg11757_135795"/>
    </w:p>
    <w:p>
      <w:pPr>
        <w:pStyle w:val="BookText"/>
        <w:rPr/>
      </w:pPr>
      <w:bookmarkEnd w:id="618"/>
      <w:r>
        <w:rPr>
          <w:rFonts w:ascii="IRNazanin" w:hAnsi="IRNazanin" w:eastAsia="IRNazanin"/>
          <w:color w:val="111111"/>
          <w:sz w:val="28"/>
          <w:sz w:val="28"/>
          <w:szCs w:val="28"/>
          <w:rtl w:val="true"/>
          <w:lang w:bidi="fa-IR"/>
        </w:rPr>
        <w:t xml:space="preserve">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واضح فیمتنع توکیله مطلقاً</w:t>
      </w:r>
      <w:r>
        <w:rPr>
          <w:rFonts w:eastAsia="IRNazanin" w:cs="IRNazanin"/>
          <w:color w:val="111111"/>
          <w:sz w:val="28"/>
          <w:szCs w:val="28"/>
          <w:rtl w:val="true"/>
          <w:lang w:bidi="fa-IR"/>
        </w:rPr>
        <w:t>»</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یرد علی هذا القول بأنّ الأخبار تدلّ علی جواز تصرّف الصبیّ فی أمواله، و لا ملازمة بین ذلک و جواز توکیله الغیر لأنّه علی فرض ممنوعیّة الصبیّ من التصرّف مطلقاً، خرجت من ذلک الموارد المنصوصة، و نشکّ‌</w:t>
      </w:r>
      <w:r>
        <w:rPr>
          <w:rStyle w:val="FootnoteAnchor"/>
          <w:rtl w:val="true"/>
        </w:rPr>
        <w:footnoteReference w:id="2221"/>
      </w:r>
      <w:r>
        <w:rPr>
          <w:rFonts w:ascii="IRNazanin" w:hAnsi="IRNazanin" w:eastAsia="IRNazanin"/>
          <w:color w:val="111111"/>
          <w:sz w:val="28"/>
          <w:sz w:val="28"/>
          <w:szCs w:val="28"/>
          <w:rtl w:val="true"/>
          <w:lang w:bidi="fa-IR"/>
        </w:rPr>
        <w:t>فی توسعة ذلک المخصّص بالنّسبة إلی وکالة الصبیّ، فیکون الدّوران بین الأقلّ و الأکثر، و المرجع فی المخصّص المنفصل هو العام و هو عدم جواز تصرّفه مطلقاً، فنحکم بعدم جواز توکیله فیما جاز له التصرّف، و لکن قد تقدّم أنّه لا دلیل علی هذه الممنوعیّة، بل الممنوع هو التصرّف فی ماله فقط، فما اختاروه فی المقام مستنداً إلی النصوص وجیه</w:t>
      </w:r>
      <w:r>
        <w:rPr>
          <w:rFonts w:eastAsia="IRNazanin" w:cs="IRNazanin"/>
          <w:color w:val="111111"/>
          <w:sz w:val="28"/>
          <w:szCs w:val="28"/>
          <w:rtl w:val="true"/>
          <w:lang w:bidi="fa-IR"/>
        </w:rPr>
        <w:t>.</w:t>
      </w:r>
    </w:p>
    <w:p>
      <w:pPr>
        <w:pStyle w:val="Heading4"/>
        <w:numPr>
          <w:ilvl w:val="3"/>
          <w:numId w:val="1"/>
        </w:numPr>
        <w:rPr/>
      </w:pPr>
      <w:bookmarkStart w:id="619" w:name="__RefHeading___Toc9696971_73709187"/>
      <w:bookmarkStart w:id="620" w:name="_Toc229"/>
      <w:bookmarkEnd w:id="619"/>
      <w:r>
        <w:rPr>
          <w:rtl w:val="true"/>
        </w:rPr>
        <w:t>آراء أهل السنّة فی وکالة الصبیّ‌</w:t>
      </w:r>
      <w:bookmarkEnd w:id="620"/>
    </w:p>
    <w:p>
      <w:pPr>
        <w:pStyle w:val="BookText"/>
        <w:rPr/>
      </w:pPr>
      <w:r>
        <w:rPr>
          <w:rFonts w:ascii="IRNazanin" w:hAnsi="IRNazanin" w:eastAsia="IRNazanin"/>
          <w:color w:val="111111"/>
          <w:sz w:val="28"/>
          <w:sz w:val="28"/>
          <w:szCs w:val="28"/>
          <w:rtl w:val="true"/>
          <w:lang w:bidi="fa-IR"/>
        </w:rPr>
        <w:t>اختلفت المذاهب الأربعة فی جواز وکالة الصبیّ الممیّز عن الغیر و توکیله للغیر، و عدمه علی أقوال</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الحنفیّة من أنّه تصحّ وکالة الصبیّ و إن لم یأذنه الولیّ، و یصحّ توکیله للغیر بشرط أن یکون مأذوناً، جاء فی البدائع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الذی یرجع إلی الوکیل فهو أن یکون عاقلاً، فلا تصحّ وکالة المجنون و الصبیّ الذی لا یعقل لما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الموکّل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البلوغ و الحرّیّة فلیسا بشرط لصحّة الوکالة، فتصحّ وکالة الصبیّ العاقل و العبد، مأذونین کانا أو محجورین، و هذا</w:t>
      </w:r>
    </w:p>
    <w:p>
      <w:pPr>
        <w:pStyle w:val="BookText"/>
        <w:rPr/>
      </w:pPr>
      <w:r>
        <w:rPr>
          <w:rFonts w:ascii="IRNazanin" w:hAnsi="IRNazanin" w:eastAsia="IRNazanin"/>
          <w:color w:val="111111"/>
          <w:sz w:val="28"/>
          <w:sz w:val="28"/>
          <w:szCs w:val="28"/>
          <w:rtl w:val="true"/>
          <w:lang w:bidi="fa-IR"/>
        </w:rPr>
        <w:t>عند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له بما روی من أنّ رسول اللّه صلی الله علیه و آله لمّا خطب امّ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أولیائی غیّب یا رسول اللّه، فقال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فیهم من یکرهنی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لعمر بن سلمة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فزوّج امّک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فزوّجها من رسول اللّه صلی الله علیه و آله و کان</w:t>
      </w:r>
      <w:r>
        <w:rPr>
          <w:rStyle w:val="FootnoteAnchor"/>
          <w:rtl w:val="true"/>
        </w:rPr>
        <w:footnoteReference w:id="2222"/>
      </w:r>
      <w:r>
        <w:rPr>
          <w:rFonts w:ascii="Amiri" w:hAnsi="Amiri" w:eastAsia="Amiri" w:cs="Amiri"/>
          <w:color w:val="111111"/>
          <w:sz w:val="28"/>
          <w:sz w:val="28"/>
          <w:szCs w:val="28"/>
          <w:rtl w:val="true"/>
          <w:lang w:bidi="ar-SA"/>
        </w:rPr>
        <w:t>صبیّاً</w:t>
      </w:r>
      <w:r>
        <w:rPr>
          <w:rFonts w:eastAsia="Amiri" w:cs="Amiri" w:ascii="Amiri" w:hAnsi="Amiri"/>
          <w:color w:val="111111"/>
          <w:sz w:val="28"/>
          <w:szCs w:val="28"/>
          <w:rtl w:val="true"/>
          <w:lang w:bidi="ar-SA"/>
        </w:rPr>
        <w:t>»</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للصغیر الممیّز أن یوکّل آخر فیما کان فی حقّه نفع محض کقبول الهبة و الصدقة، و لو لم یأذنه الولیّ؛ لأنّه ممّا یملکه بنفسه بدون إذن ولیّه، فیملک تفویضه إلی غیره بالتوکیل، و أمّا فیما لا یملکه بنفسه کالطلاق و العتاق و الهبة و الصدقة و نحوها من التصرّفات الضارّة المحضة، فلیس له التوکیل و لو أذنه ولیّه، و أمّا التصرّفات الدائرة بین الضرر و النفع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کالبیع و الإجارة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مأذوناً فی التجارة یصحّ منه التوکیل بها؛ لأنّه یملکه بنفسه، و إن کان محجوراً ینعقد موقوفاً علی إجازة ولیّه، فلو وکّل الصبیّ الممیّز أحداً باُمور و أجازه الولیّ أو الوصیّ بعد ذلک جاز</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الشافعیّة و المالکیّة، من أنّه یشترط فی صحّة الوکالة البلوغ، فلا تصحّ وکالة الصبیّ عن الغیر و لا توکیله له</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رشد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شروط الوکیل أن لا یکون ممنوعاً بالشرع من تصرّفه فی الشیء الذی وکّل فیه، فلا یصحّ توکیل الصبیّ و لا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مالک و الشافعیّ</w:t>
      </w:r>
      <w:r>
        <w:rPr>
          <w:rFonts w:eastAsia="IRNazanin" w:cs="IRNazanin"/>
          <w:color w:val="111111"/>
          <w:sz w:val="28"/>
          <w:szCs w:val="28"/>
          <w:rtl w:val="true"/>
          <w:lang w:bidi="fa-IR"/>
        </w:rPr>
        <w:t>»</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مغنی المحتاج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شرط الوکیل صحّة مباشرته التصرّف المأذون فیه لنفسه، و إلّا فلا یصحّ توکّله؛ لأنّ تصرّف الشخص لنفسه أقوی من تصرّفه لغیره، فإنّ تصرّفه له بطریق الأصالة، و لغیره بطریق النیابة، فإذا لم یقدر علی الأقوی لا یقدر علی الأضعف بطریق الاُولی، فلا یصحّ توکیل مغمی علیه و لا صبیّ و لا مجنون و لا نائم و لا معتوه؛ لسلب ولایتهم</w:t>
      </w:r>
      <w:r>
        <w:rPr>
          <w:rFonts w:eastAsia="IRNazanin" w:cs="IRNazanin"/>
          <w:color w:val="111111"/>
          <w:sz w:val="28"/>
          <w:szCs w:val="28"/>
          <w:rtl w:val="true"/>
          <w:lang w:bidi="fa-IR"/>
        </w:rPr>
        <w:t>»</w:t>
      </w:r>
      <w:r>
        <w:rPr>
          <w:rStyle w:val="FootnoteAnchor"/>
          <w:rtl w:val="true"/>
        </w:rPr>
        <w:footnoteReference w:id="2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عقد الجواهر الثمینة</w:t>
      </w:r>
      <w:r>
        <w:rPr>
          <w:rStyle w:val="FootnoteAnchor"/>
          <w:rtl w:val="true"/>
        </w:rPr>
        <w:footnoteReference w:id="2227"/>
      </w:r>
      <w:r>
        <w:rPr>
          <w:rFonts w:ascii="IRNazanin" w:hAnsi="IRNazanin" w:eastAsia="IRNazanin"/>
          <w:color w:val="111111"/>
          <w:sz w:val="28"/>
          <w:sz w:val="28"/>
          <w:szCs w:val="28"/>
          <w:rtl w:val="true"/>
          <w:lang w:bidi="fa-IR"/>
        </w:rPr>
        <w:t>و الذخیرة</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یصحّ التوکیل إلّا ممّن یملک التصرّف فی الذی یوکّل فیه بملک أو ولایة، فأمّا من لا یملک التصرّف فی الذی یوکّل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کالصبیّ و المجنون و المحجور علیه فی المال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یملک التوکیل فیه؛ لأنّه لا یملکه فلا یملک أن یملک ذلک غیره</w:t>
      </w:r>
      <w:r>
        <w:rPr>
          <w:rFonts w:eastAsia="IRNazanin" w:cs="IRNazanin"/>
          <w:color w:val="111111"/>
          <w:sz w:val="28"/>
          <w:szCs w:val="28"/>
          <w:rtl w:val="true"/>
          <w:lang w:bidi="fa-IR"/>
        </w:rPr>
        <w:t>»</w:t>
      </w:r>
      <w:r>
        <w:rPr>
          <w:rStyle w:val="FootnoteAnchor"/>
          <w:rtl w:val="true"/>
        </w:rPr>
        <w:footnoteReference w:id="2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البیان</w:t>
      </w:r>
      <w:r>
        <w:rPr>
          <w:rStyle w:val="FootnoteAnchor"/>
          <w:rtl w:val="true"/>
        </w:rPr>
        <w:footnoteReference w:id="2230"/>
      </w:r>
      <w:r>
        <w:rPr>
          <w:rFonts w:ascii="IRNazanin" w:hAnsi="IRNazanin" w:eastAsia="IRNazanin"/>
          <w:color w:val="111111"/>
          <w:sz w:val="28"/>
          <w:sz w:val="28"/>
          <w:szCs w:val="28"/>
          <w:rtl w:val="true"/>
          <w:lang w:bidi="fa-IR"/>
        </w:rPr>
        <w:t>و المجموع</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للحنابلة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صحّة وکالة الصبیّ الممیّز و توکیله للغیر إذن 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الإقناع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تصحّ وکالة الممیّز بإذن ولیّه کتصرّفه بإذنه</w:t>
      </w:r>
      <w:r>
        <w:rPr>
          <w:rFonts w:eastAsia="IRNazanin" w:cs="IRNazanin"/>
          <w:color w:val="111111"/>
          <w:sz w:val="28"/>
          <w:szCs w:val="28"/>
          <w:rtl w:val="true"/>
          <w:lang w:bidi="fa-IR"/>
        </w:rPr>
        <w:t>»</w:t>
      </w:r>
      <w:r>
        <w:rPr>
          <w:rStyle w:val="FootnoteAnchor"/>
          <w:rtl w:val="true"/>
        </w:rPr>
        <w:footnoteReference w:id="2232"/>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یصحّ التوکیل فی شیء ممّا لا یصحّ تصرّفه فیه؛ لأنّ من لا یملک التصرّف بنفسه، فبنائبه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من یتصرّف بالإذن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کالعبد</w:t>
      </w:r>
    </w:p>
    <w:p>
      <w:pPr>
        <w:pStyle w:val="BookText"/>
        <w:rPr/>
      </w:pPr>
      <w:r>
        <w:rPr>
          <w:rFonts w:ascii="IRNazanin" w:hAnsi="IRNazanin" w:eastAsia="IRNazanin"/>
          <w:color w:val="111111"/>
          <w:sz w:val="28"/>
          <w:sz w:val="28"/>
          <w:szCs w:val="28"/>
          <w:rtl w:val="true"/>
          <w:lang w:bidi="fa-IR"/>
        </w:rPr>
        <w:t xml:space="preserve">و الصبیّ و الوکیل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أذن لهم فی التوکیل جاز، و إن نهوا عنه لم یجز، و إن أطلق لهم الإذن فلهم التوکیل فیما لا یتولّون مثله بأنفسهم، أو یعجزون عنه لکثرته؛ لأنّ تفویضه إلیهم مع العلم بهذا إذن فی التوکیل، و فیما سوی ذلک روایتان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للعبد و المکاتب التوکیل إلاّ بإذن سیّدهما، و لا الصبیّ إلاّ بإذن ولیّه، و إن کان مأذوناً له فی التجارة؛ لأنّ التوکیل لیس من التجارة، فلا یحصل الإذن فیه إلاّ بالإذن فیها</w:t>
      </w:r>
      <w:r>
        <w:rPr>
          <w:rFonts w:eastAsia="IRNazanin" w:cs="IRNazanin"/>
          <w:color w:val="111111"/>
          <w:sz w:val="28"/>
          <w:szCs w:val="28"/>
          <w:rtl w:val="true"/>
          <w:lang w:bidi="fa-IR"/>
        </w:rPr>
        <w:t>»</w:t>
      </w:r>
      <w:r>
        <w:rPr>
          <w:rStyle w:val="FootnoteAnchor"/>
          <w:rtl w:val="true"/>
        </w:rPr>
        <w:footnoteReference w:id="2233"/>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الشرح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یصحّ التوکیل و التوکّل فی شیء إلّا ممّن یصحّ تصرّفه فیه؛ لأنّ من یصحّ تصرّفه بنفسه فبنائبه أولی، و کلّ من صحّ تصرّفه فی شیء بنفسه و کان ممّا تدخله النّیابة صحّ أن یوکّل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لا یملک التصرّف فی شیء لنفسه لا یصحّ أن یتوکّل فیه، کالمرأة فی عقد النکاح و 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الطفل و المجنون فی الحقوق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تصحّ وکالة الصبیّ الممیّز بإذن الولیّ بناءً علی صحّة تصرّفه بإذنه</w:t>
      </w:r>
      <w:r>
        <w:rPr>
          <w:rFonts w:eastAsia="IRNazanin" w:cs="IRNazanin"/>
          <w:color w:val="111111"/>
          <w:sz w:val="28"/>
          <w:szCs w:val="28"/>
          <w:rtl w:val="true"/>
          <w:lang w:bidi="fa-IR"/>
        </w:rPr>
        <w:t>»</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w:t>
      </w:r>
      <w:bookmarkStart w:id="621" w:name="pg11757_135802"/>
    </w:p>
    <w:p>
      <w:pPr>
        <w:pStyle w:val="Heading3"/>
        <w:numPr>
          <w:ilvl w:val="2"/>
          <w:numId w:val="1"/>
        </w:numPr>
        <w:rPr/>
      </w:pPr>
      <w:bookmarkStart w:id="622" w:name="__RefHeading___Toc9696973_73709187"/>
      <w:bookmarkStart w:id="623" w:name="_Toc230"/>
      <w:bookmarkEnd w:id="621"/>
      <w:bookmarkEnd w:id="622"/>
      <w:r>
        <w:rPr>
          <w:rtl w:val="true"/>
        </w:rPr>
        <w:t>الفصل السادس عشر</w:t>
      </w:r>
      <w:r>
        <w:rPr>
          <w:rtl w:val="true"/>
        </w:rPr>
        <w:t xml:space="preserve">: </w:t>
      </w:r>
      <w:r>
        <w:rPr>
          <w:rtl w:val="true"/>
        </w:rPr>
        <w:t>وقف الصبیّ و صدقته وهبته</w:t>
      </w:r>
      <w:bookmarkEnd w:id="623"/>
    </w:p>
    <w:p>
      <w:pPr>
        <w:pStyle w:val="Heading4"/>
        <w:numPr>
          <w:ilvl w:val="3"/>
          <w:numId w:val="1"/>
        </w:numPr>
        <w:rPr/>
      </w:pPr>
      <w:bookmarkStart w:id="624" w:name="__RefHeading___Toc9696975_73709187"/>
      <w:bookmarkStart w:id="625" w:name="_Toc231"/>
      <w:bookmarkEnd w:id="624"/>
      <w:r>
        <w:rPr>
          <w:rtl w:val="true"/>
        </w:rPr>
        <w:t>اشارة</w:t>
      </w:r>
      <w:bookmarkEnd w:id="625"/>
    </w:p>
    <w:p>
      <w:pPr>
        <w:pStyle w:val="BookText"/>
        <w:rPr/>
      </w:pP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p>
    <w:p>
      <w:pPr>
        <w:pStyle w:val="Heading4"/>
        <w:numPr>
          <w:ilvl w:val="3"/>
          <w:numId w:val="1"/>
        </w:numPr>
        <w:rPr/>
      </w:pPr>
      <w:bookmarkStart w:id="626" w:name="__RefHeading___Toc9696977_73709187"/>
      <w:bookmarkStart w:id="627" w:name="_Toc232"/>
      <w:bookmarkEnd w:id="626"/>
      <w:r>
        <w:rPr>
          <w:rtl w:val="true"/>
        </w:rPr>
        <w:t>المبحث الأوّل</w:t>
      </w:r>
      <w:r>
        <w:rPr>
          <w:rtl w:val="true"/>
        </w:rPr>
        <w:t xml:space="preserve">: </w:t>
      </w:r>
      <w:r>
        <w:rPr>
          <w:rtl w:val="true"/>
        </w:rPr>
        <w:t>وقف الصبیّ‌</w:t>
      </w:r>
      <w:bookmarkEnd w:id="627"/>
    </w:p>
    <w:p>
      <w:pPr>
        <w:pStyle w:val="Heading5"/>
        <w:numPr>
          <w:ilvl w:val="4"/>
          <w:numId w:val="1"/>
        </w:numPr>
        <w:rPr/>
      </w:pPr>
      <w:bookmarkStart w:id="628" w:name="__RefHeading___Toc9696979_73709187"/>
      <w:bookmarkStart w:id="629" w:name="_Toc233"/>
      <w:bookmarkEnd w:id="628"/>
      <w:r>
        <w:rPr>
          <w:rtl w:val="true"/>
        </w:rPr>
        <w:t>اشارة</w:t>
      </w:r>
      <w:bookmarkEnd w:id="629"/>
    </w:p>
    <w:p>
      <w:pPr>
        <w:pStyle w:val="BookText"/>
        <w:rPr/>
      </w:pPr>
      <w:r>
        <w:rPr>
          <w:rFonts w:ascii="IRNazanin" w:hAnsi="IRNazanin" w:eastAsia="IRNazanin"/>
          <w:color w:val="111111"/>
          <w:sz w:val="28"/>
          <w:sz w:val="28"/>
          <w:szCs w:val="28"/>
          <w:rtl w:val="true"/>
          <w:lang w:bidi="fa-IR"/>
        </w:rPr>
        <w:t>الوقف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الحبس،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کذا، أی حبسته، و الجمع أوقاف</w:t>
      </w:r>
      <w:r>
        <w:rPr>
          <w:rStyle w:val="FootnoteAnchor"/>
          <w:rtl w:val="true"/>
        </w:rPr>
        <w:footnoteReference w:id="2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عقد ثمرته تحبیس الأصل و إطلاق المنفعة، کما فی الشرائع</w:t>
      </w:r>
      <w:r>
        <w:rPr>
          <w:rStyle w:val="FootnoteAnchor"/>
          <w:rtl w:val="true"/>
        </w:rPr>
        <w:footnoteReference w:id="2236"/>
      </w:r>
      <w:r>
        <w:rPr>
          <w:rFonts w:ascii="IRNazanin" w:hAnsi="IRNazanin" w:eastAsia="IRNazanin"/>
          <w:color w:val="111111"/>
          <w:sz w:val="28"/>
          <w:sz w:val="28"/>
          <w:szCs w:val="28"/>
          <w:rtl w:val="true"/>
          <w:lang w:bidi="fa-IR"/>
        </w:rPr>
        <w:t>، و فی التحریر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 یقتضی تحبیس الأصل و إطلاق المنفعة</w:t>
      </w:r>
      <w:r>
        <w:rPr>
          <w:rFonts w:eastAsia="IRNazanin" w:cs="IRNazanin"/>
          <w:color w:val="111111"/>
          <w:sz w:val="28"/>
          <w:szCs w:val="28"/>
          <w:rtl w:val="true"/>
          <w:lang w:bidi="fa-IR"/>
        </w:rPr>
        <w:t>»</w:t>
      </w:r>
      <w:r>
        <w:rPr>
          <w:rStyle w:val="FootnoteAnchor"/>
          <w:rtl w:val="true"/>
        </w:rPr>
        <w:footnoteReference w:id="2237"/>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الصدقة الجاریة، ثمرته تحبیس الأصل، إلی آخره</w:t>
      </w:r>
      <w:r>
        <w:rPr>
          <w:rStyle w:val="FootnoteAnchor"/>
          <w:rtl w:val="true"/>
        </w:rPr>
        <w:footnoteReference w:id="2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التعریف تبعاً للحدیث الوارد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احبس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و سبّل الثمرة</w:t>
      </w:r>
      <w:r>
        <w:rPr>
          <w:rFonts w:eastAsia="IRNazanin" w:cs="IRNazanin"/>
          <w:color w:val="111111"/>
          <w:sz w:val="28"/>
          <w:szCs w:val="28"/>
          <w:rtl w:val="true"/>
          <w:lang w:bidi="fa-IR"/>
        </w:rPr>
        <w:t>»</w:t>
      </w:r>
      <w:r>
        <w:rPr>
          <w:rStyle w:val="FootnoteAnchor"/>
          <w:rtl w:val="true"/>
        </w:rPr>
        <w:footnoteReference w:id="2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بتحبیس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التصرّف فیه تصرّفاً ناقلاً</w:t>
      </w:r>
      <w:r>
        <w:rPr>
          <w:rStyle w:val="FootnoteAnchor"/>
          <w:rtl w:val="true"/>
        </w:rPr>
        <w:footnoteReference w:id="2240"/>
      </w:r>
      <w:r>
        <w:rPr>
          <w:rFonts w:ascii="IRNazanin" w:hAnsi="IRNazanin" w:eastAsia="IRNazanin"/>
          <w:color w:val="111111"/>
          <w:sz w:val="28"/>
          <w:sz w:val="28"/>
          <w:szCs w:val="28"/>
          <w:rtl w:val="true"/>
          <w:lang w:bidi="fa-IR"/>
        </w:rPr>
        <w:t>، کالتّصرف فی الأملاک بالبیع و الهبة و الصدقة و نحوها بحیث یکون ناقلاً للملک، و المراد بإطلاق المنفعة أو تسبیل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إباحتها للجهة الموقوف علیها بحیث یتصرّف فیها کیف یشاء کغیرها من الأملاک، کما فی المسالک</w:t>
      </w:r>
      <w:r>
        <w:rPr>
          <w:rStyle w:val="FootnoteAnchor"/>
          <w:rtl w:val="true"/>
        </w:rPr>
        <w:footnoteReference w:id="2241"/>
      </w:r>
      <w:r>
        <w:rPr>
          <w:rFonts w:ascii="Amiri" w:hAnsi="Amiri" w:eastAsia="Amiri" w:cs="Amiri"/>
          <w:color w:val="111111"/>
          <w:sz w:val="28"/>
          <w:sz w:val="28"/>
          <w:szCs w:val="28"/>
          <w:rtl w:val="true"/>
          <w:lang w:bidi="ar-SA"/>
        </w:rPr>
        <w:t>، و فیه فضل کثیر و ثواب جزیل،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تُنْفِقُوا مِنْ خَیْرٍ فَلِأَنْفُسِکُمْ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قال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تُقَدِّمُوا لِأَنْفُسِکُمْ مِنْ خَیْرٍ تَجِدُوهُ عِنْدَ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الأخبار الحثّ علیه، کما ورد عن رسول اللّه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المؤمن انقطع عمله إلّا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جاریة، أو علم ینتفع به، أو ولد صالح یدعو له</w:t>
      </w:r>
      <w:r>
        <w:rPr>
          <w:rFonts w:eastAsia="IRNazanin" w:cs="IRNazanin"/>
          <w:color w:val="111111"/>
          <w:sz w:val="28"/>
          <w:szCs w:val="28"/>
          <w:rtl w:val="true"/>
          <w:lang w:bidi="fa-IR"/>
        </w:rPr>
        <w:t>»</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یتبع الرّجل بعد موته من الأجر إلّا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أجراها فی حیاته فهی تجری بعد موته، و سنّة هدًی سنّها فهی یعمل بها بعد موته، أو ولد صالح یدعو له</w:t>
      </w:r>
      <w:r>
        <w:rPr>
          <w:rFonts w:eastAsia="IRNazanin" w:cs="IRNazanin"/>
          <w:color w:val="111111"/>
          <w:sz w:val="28"/>
          <w:szCs w:val="28"/>
          <w:rtl w:val="true"/>
          <w:lang w:bidi="fa-IR"/>
        </w:rPr>
        <w:t>»</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بمضمونه روایات اخری</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بالصدقة الجاریة الوقف</w:t>
      </w:r>
      <w:r>
        <w:rPr>
          <w:rStyle w:val="FootnoteAnchor"/>
          <w:rtl w:val="true"/>
        </w:rPr>
        <w:footnoteReference w:id="2245"/>
      </w:r>
      <w:r>
        <w:rPr>
          <w:rFonts w:ascii="IRNazanin" w:hAnsi="IRNazanin" w:eastAsia="IRNazanin"/>
          <w:color w:val="111111"/>
          <w:sz w:val="28"/>
          <w:sz w:val="28"/>
          <w:szCs w:val="28"/>
          <w:rtl w:val="true"/>
          <w:lang w:bidi="fa-IR"/>
        </w:rPr>
        <w:t>، و لا خلاف فی أنّ الوقف</w:t>
      </w:r>
    </w:p>
    <w:p>
      <w:pPr>
        <w:pStyle w:val="BookText"/>
        <w:rPr/>
      </w:pPr>
      <w:r>
        <w:rPr>
          <w:rFonts w:ascii="IRNazanin" w:hAnsi="IRNazanin" w:eastAsia="IRNazanin"/>
          <w:color w:val="111111"/>
          <w:sz w:val="28"/>
          <w:sz w:val="28"/>
          <w:szCs w:val="28"/>
          <w:rtl w:val="true"/>
          <w:lang w:bidi="fa-IR"/>
        </w:rPr>
        <w:t>یلزم بالعقد و القبض، قال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علمائنا أجمع</w:t>
      </w:r>
      <w:r>
        <w:rPr>
          <w:rFonts w:eastAsia="IRNazanin" w:cs="IRNazanin"/>
          <w:color w:val="111111"/>
          <w:sz w:val="28"/>
          <w:szCs w:val="28"/>
          <w:rtl w:val="true"/>
          <w:lang w:bidi="fa-IR"/>
        </w:rPr>
        <w:t>»</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أطبق العلماء علی کونه من جملة العقود</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یعتبر فی الوقف الصیغة، و هی کلّ ما دلّ علی إنشاء المعنی المذکور،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اقترن به ما یدلّ علی إرادته،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مؤبّدة لا تُباع و لا تُوهب</w:t>
      </w:r>
      <w:r>
        <w:rPr>
          <w:rFonts w:eastAsia="IRNazanin" w:cs="IRNazanin"/>
          <w:color w:val="111111"/>
          <w:sz w:val="28"/>
          <w:szCs w:val="28"/>
          <w:rtl w:val="true"/>
          <w:lang w:bidi="fa-IR"/>
        </w:rPr>
        <w:t>»</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اعتبار القبول فی الوقف أو عدم اعتباره وقع الخلاف بینهم، و تفصیل ذلک فی المطوّلات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أنّه لا دلیل علی اعتبار القبول فی الوقف و کونه من العقود المفتقرة إلی إیجاب و قبول، خصوصاً فی الوقف علی الجهات و المصالح العامّة، و الوقف علی العناوین الکلّیّة کالفقراء و الفقهاء مثلاً</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المعلوم أنّه لا تدخل العین أو المنفعة فی ملک الغیر بسبب اختیاریّ ابتداءً من غیر قبول، یدفعها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السبب اختیاریّاً محتاجاً إلی القبول أوّل الکلام، فلِمَ لا یکون غیر اختیاری کالإرث؟ مع أنّه من الواضح عدم الاعتبار</w:t>
      </w:r>
      <w:r>
        <w:rPr>
          <w:rStyle w:val="FootnoteAnchor"/>
          <w:rtl w:val="true"/>
        </w:rPr>
        <w:footnoteReference w:id="2249"/>
      </w:r>
      <w:r>
        <w:rPr>
          <w:rFonts w:ascii="IRNazanin" w:hAnsi="IRNazanin" w:eastAsia="IRNazanin"/>
          <w:color w:val="111111"/>
          <w:sz w:val="28"/>
          <w:sz w:val="28"/>
          <w:szCs w:val="28"/>
          <w:rtl w:val="true"/>
          <w:lang w:bidi="fa-IR"/>
        </w:rPr>
        <w:t xml:space="preserve">الطبقة اللاحقة فی الوقف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خلوّ الأخبار</w:t>
      </w:r>
      <w:r>
        <w:rPr>
          <w:rStyle w:val="FootnoteAnchor"/>
          <w:rtl w:val="true"/>
        </w:rPr>
        <w:footnoteReference w:id="2250"/>
      </w:r>
      <w:r>
        <w:rPr>
          <w:rFonts w:ascii="IRNazanin" w:hAnsi="IRNazanin" w:eastAsia="IRNazanin"/>
          <w:color w:val="111111"/>
          <w:sz w:val="28"/>
          <w:sz w:val="28"/>
          <w:szCs w:val="28"/>
          <w:rtl w:val="true"/>
          <w:lang w:bidi="fa-IR"/>
        </w:rPr>
        <w:t>المشتملة علی أوقاف الأئمّة علیهم السلام عن ذکر القبول</w:t>
      </w:r>
      <w:r>
        <w:rPr>
          <w:rFonts w:eastAsia="IRNazanin" w:cs="IRNazanin"/>
          <w:color w:val="111111"/>
          <w:sz w:val="28"/>
          <w:szCs w:val="28"/>
          <w:rtl w:val="true"/>
          <w:lang w:bidi="fa-IR"/>
        </w:rPr>
        <w:t>»</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عدم صحّة وقف الصبیّ غیر الممیّز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یصحّ من المحجور علیه لصغر أو جنون أو سفه أو فلس أو نحو ذلک، و علیه الإجماع فی الغنیة</w:t>
      </w:r>
      <w:r>
        <w:rPr>
          <w:rStyle w:val="FootnoteAnchor"/>
          <w:rtl w:val="true"/>
        </w:rPr>
        <w:footnoteReference w:id="2252"/>
      </w:r>
      <w:r>
        <w:rPr>
          <w:rFonts w:ascii="IRNazanin" w:hAnsi="IRNazanin" w:eastAsia="IRNazanin"/>
          <w:color w:val="111111"/>
          <w:sz w:val="28"/>
          <w:sz w:val="28"/>
          <w:szCs w:val="28"/>
          <w:rtl w:val="true"/>
          <w:lang w:bidi="fa-IR"/>
        </w:rPr>
        <w:t>، و هو الحجّة، مضافاً إلی الأدلّة الدالّة علی الحجر من الکتاب و السنّة</w:t>
      </w:r>
      <w:r>
        <w:rPr>
          <w:rFonts w:eastAsia="IRNazanin" w:cs="IRNazanin"/>
          <w:color w:val="111111"/>
          <w:sz w:val="28"/>
          <w:szCs w:val="28"/>
          <w:rtl w:val="true"/>
          <w:lang w:bidi="fa-IR"/>
        </w:rPr>
        <w:t>»</w:t>
      </w:r>
      <w:r>
        <w:rPr>
          <w:rStyle w:val="FootnoteAnchor"/>
          <w:rtl w:val="true"/>
        </w:rPr>
        <w:footnoteReference w:id="2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مقابس الأنوار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ینعقد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الصبیّ و إن کان مراهقاً أو أذن له الولیّ ما لم یبلغ عشراً ممیّزاً</w:t>
      </w:r>
      <w:r>
        <w:rPr>
          <w:rFonts w:eastAsia="IRNazanin" w:cs="IRNazanin"/>
          <w:color w:val="111111"/>
          <w:sz w:val="28"/>
          <w:szCs w:val="28"/>
          <w:rtl w:val="true"/>
          <w:lang w:bidi="fa-IR"/>
        </w:rPr>
        <w:t>»</w:t>
      </w:r>
      <w:r>
        <w:rPr>
          <w:rStyle w:val="FootnoteAnchor"/>
          <w:rtl w:val="true"/>
        </w:rPr>
        <w:footnoteReference w:id="2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الصبیّ الممیّز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عبّر عنه بمن بلغ عشر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وقفه، 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یعتبر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 کمال العقل و جواز التصرّف، و فی وقف من بلغ عشراً تردد و المرویّ جواز صدقته و الأولی المنع</w:t>
      </w:r>
      <w:r>
        <w:rPr>
          <w:rFonts w:eastAsia="IRNazanin" w:cs="IRNazanin"/>
          <w:color w:val="111111"/>
          <w:sz w:val="28"/>
          <w:szCs w:val="28"/>
          <w:rtl w:val="true"/>
          <w:lang w:bidi="fa-IR"/>
        </w:rPr>
        <w:t>»</w:t>
      </w:r>
      <w:r>
        <w:rPr>
          <w:rStyle w:val="FootnoteAnchor"/>
          <w:rtl w:val="true"/>
        </w:rPr>
        <w:footnoteReference w:id="2255"/>
      </w:r>
      <w:r>
        <w:rPr>
          <w:rFonts w:ascii="Amiri" w:hAnsi="Amiri" w:eastAsia="Amiri" w:cs="Amiri"/>
          <w:color w:val="111111"/>
          <w:sz w:val="28"/>
          <w:sz w:val="28"/>
          <w:szCs w:val="28"/>
          <w:rtl w:val="true"/>
          <w:lang w:bidi="ar-SA"/>
        </w:rPr>
        <w:t>، و به قال ابنا زهرة</w:t>
      </w:r>
      <w:r>
        <w:rPr>
          <w:rStyle w:val="FootnoteAnchor"/>
          <w:rtl w:val="true"/>
        </w:rPr>
        <w:footnoteReference w:id="2256"/>
      </w:r>
      <w:r>
        <w:rPr>
          <w:rFonts w:ascii="IRNazanin" w:hAnsi="IRNazanin" w:eastAsia="IRNazanin"/>
          <w:color w:val="111111"/>
          <w:sz w:val="28"/>
          <w:sz w:val="28"/>
          <w:szCs w:val="28"/>
          <w:rtl w:val="true"/>
          <w:lang w:bidi="fa-IR"/>
        </w:rPr>
        <w:t>و إدریس</w:t>
      </w:r>
      <w:r>
        <w:rPr>
          <w:rStyle w:val="FootnoteAnchor"/>
          <w:rtl w:val="true"/>
        </w:rPr>
        <w:footnoteReference w:id="2257"/>
      </w:r>
      <w:r>
        <w:rPr>
          <w:rFonts w:ascii="Amiri" w:hAnsi="Amiri" w:eastAsia="Amiri" w:cs="Amiri"/>
          <w:color w:val="111111"/>
          <w:sz w:val="28"/>
          <w:sz w:val="28"/>
          <w:szCs w:val="28"/>
          <w:rtl w:val="true"/>
          <w:lang w:bidi="ar-SA"/>
        </w:rPr>
        <w:t>و العلّامة</w:t>
      </w:r>
      <w:r>
        <w:rPr>
          <w:rStyle w:val="FootnoteAnchor"/>
          <w:rtl w:val="true"/>
        </w:rPr>
        <w:footnoteReference w:id="2258"/>
      </w:r>
      <w:r>
        <w:rPr>
          <w:rFonts w:ascii="IRNazanin" w:hAnsi="IRNazanin" w:eastAsia="IRNazanin"/>
          <w:color w:val="111111"/>
          <w:sz w:val="28"/>
          <w:sz w:val="28"/>
          <w:szCs w:val="28"/>
          <w:rtl w:val="true"/>
          <w:lang w:bidi="fa-IR"/>
        </w:rPr>
        <w:t>و فخر المحقّقین</w:t>
      </w:r>
      <w:r>
        <w:rPr>
          <w:rStyle w:val="FootnoteAnchor"/>
          <w:rtl w:val="true"/>
        </w:rPr>
        <w:footnoteReference w:id="2259"/>
      </w:r>
      <w:r>
        <w:rPr>
          <w:rFonts w:ascii="IRNazanin" w:hAnsi="IRNazanin" w:eastAsia="IRNazanin"/>
          <w:color w:val="111111"/>
          <w:sz w:val="28"/>
          <w:sz w:val="28"/>
          <w:szCs w:val="28"/>
          <w:rtl w:val="true"/>
          <w:lang w:bidi="fa-IR"/>
        </w:rPr>
        <w:t>و الشهیدان</w:t>
      </w:r>
      <w:r>
        <w:rPr>
          <w:rStyle w:val="FootnoteAnchor"/>
          <w:rtl w:val="true"/>
        </w:rPr>
        <w:footnoteReference w:id="2260"/>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جامع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الأصحّ عدم الجواز</w:t>
      </w:r>
      <w:r>
        <w:rPr>
          <w:rFonts w:eastAsia="IRNazanin" w:cs="IRNazanin"/>
          <w:color w:val="111111"/>
          <w:sz w:val="28"/>
          <w:szCs w:val="28"/>
          <w:rtl w:val="true"/>
          <w:lang w:bidi="fa-IR"/>
        </w:rPr>
        <w:t>»</w:t>
      </w:r>
      <w:r>
        <w:rPr>
          <w:rStyle w:val="FootnoteAnchor"/>
          <w:rtl w:val="true"/>
        </w:rPr>
        <w:footnoteReference w:id="2261"/>
      </w:r>
      <w:r>
        <w:rPr>
          <w:rFonts w:eastAsia="Times New Roman" w:cs="Times New Roman" w:ascii="Times New Roman" w:hAnsi="Times New Roman"/>
          <w:color w:val="111111"/>
          <w:sz w:val="28"/>
          <w:szCs w:val="28"/>
          <w:rtl w:val="true"/>
          <w:lang w:val="en-US" w:bidi="en-US"/>
        </w:rPr>
        <w:t>.</w:t>
      </w:r>
      <w:bookmarkStart w:id="630" w:name="pg11757_135806"/>
    </w:p>
    <w:p>
      <w:pPr>
        <w:pStyle w:val="BookText"/>
        <w:rPr/>
      </w:pPr>
      <w:bookmarkEnd w:id="630"/>
      <w:r>
        <w:rPr>
          <w:rFonts w:ascii="IRNazanin" w:hAnsi="IRNazanin" w:eastAsia="IRNazanin"/>
          <w:color w:val="111111"/>
          <w:sz w:val="28"/>
          <w:sz w:val="28"/>
          <w:szCs w:val="28"/>
          <w:rtl w:val="true"/>
          <w:lang w:bidi="fa-IR"/>
        </w:rPr>
        <w:t>و فی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المشهور أنّه یعتبر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 العقل و جواز التصرّف</w:t>
      </w:r>
      <w:r>
        <w:rPr>
          <w:rFonts w:eastAsia="IRNazanin" w:cs="IRNazanin"/>
          <w:color w:val="111111"/>
          <w:sz w:val="28"/>
          <w:szCs w:val="28"/>
          <w:rtl w:val="true"/>
          <w:lang w:bidi="fa-IR"/>
        </w:rPr>
        <w:t>»</w:t>
      </w:r>
      <w:r>
        <w:rPr>
          <w:rStyle w:val="FootnoteAnchor"/>
          <w:rtl w:val="true"/>
        </w:rPr>
        <w:footnoteReference w:id="2262"/>
      </w:r>
      <w:r>
        <w:rPr>
          <w:rFonts w:ascii="IRNazanin" w:hAnsi="IRNazanin" w:eastAsia="IRNazanin"/>
          <w:color w:val="111111"/>
          <w:sz w:val="28"/>
          <w:sz w:val="28"/>
          <w:szCs w:val="28"/>
          <w:rtl w:val="true"/>
          <w:lang w:bidi="fa-IR"/>
        </w:rPr>
        <w:t>، و به قال فی مفتاح الکرامة</w:t>
      </w:r>
      <w:r>
        <w:rPr>
          <w:rStyle w:val="FootnoteAnchor"/>
          <w:rtl w:val="true"/>
        </w:rPr>
        <w:footnoteReference w:id="2263"/>
      </w:r>
      <w:r>
        <w:rPr>
          <w:rFonts w:ascii="IRNazanin" w:hAnsi="IRNazanin" w:eastAsia="IRNazanin"/>
          <w:color w:val="111111"/>
          <w:sz w:val="28"/>
          <w:sz w:val="28"/>
          <w:szCs w:val="28"/>
          <w:rtl w:val="true"/>
          <w:lang w:bidi="fa-IR"/>
        </w:rPr>
        <w:t>و الریاض</w:t>
      </w:r>
      <w:r>
        <w:rPr>
          <w:rStyle w:val="FootnoteAnchor"/>
          <w:rtl w:val="true"/>
        </w:rPr>
        <w:footnoteReference w:id="2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لعلّ علیه عامّة المتأخّرین</w:t>
      </w:r>
      <w:r>
        <w:rPr>
          <w:rFonts w:eastAsia="IRNazanin" w:cs="IRNazanin"/>
          <w:color w:val="111111"/>
          <w:sz w:val="28"/>
          <w:szCs w:val="28"/>
          <w:rtl w:val="true"/>
          <w:lang w:bidi="fa-IR"/>
        </w:rPr>
        <w:t>»</w:t>
      </w:r>
      <w:r>
        <w:rPr>
          <w:rStyle w:val="FootnoteAnchor"/>
          <w:rtl w:val="true"/>
        </w:rPr>
        <w:footnoteReference w:id="2265"/>
      </w:r>
      <w:r>
        <w:rPr>
          <w:rFonts w:ascii="IRNazanin" w:hAnsi="IRNazanin" w:eastAsia="IRNazanin"/>
          <w:color w:val="111111"/>
          <w:sz w:val="28"/>
          <w:sz w:val="28"/>
          <w:szCs w:val="28"/>
          <w:rtl w:val="true"/>
          <w:lang w:bidi="fa-IR"/>
        </w:rPr>
        <w:t>، و اختاره بعض أعلام العصر</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یعتبر فی الواقف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 العقل و الاختیار و عدم الحجر لفلس أو سفه، فلا یصحّ وقف الصبیّ و إن بلغ عشراً علی الأقوی‌</w:t>
      </w:r>
      <w:r>
        <w:rPr>
          <w:rStyle w:val="FootnoteAnchor"/>
          <w:rtl w:val="true"/>
        </w:rPr>
        <w:footnoteReference w:id="2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تفصیل الشریعة</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1" w:name="__RefHeading___Toc9696981_73709187"/>
      <w:bookmarkStart w:id="632" w:name="_Toc234"/>
      <w:bookmarkEnd w:id="631"/>
      <w:r>
        <w:rPr>
          <w:rtl w:val="true"/>
        </w:rPr>
        <w:t>الأدلّة علی عدم صحّة وقف الصبیّ‌</w:t>
      </w:r>
      <w:bookmarkEnd w:id="632"/>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کما هو الظاهر من التذکرة، حیث یقول فی باب الحجر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محجور علیه بالنصّ و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ممیّزاً أو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التصرّفات، إلّا ما یستثنی</w:t>
      </w:r>
      <w:r>
        <w:rPr>
          <w:rFonts w:eastAsia="IRNazanin" w:cs="IRNazanin"/>
          <w:color w:val="111111"/>
          <w:sz w:val="28"/>
          <w:szCs w:val="28"/>
          <w:rtl w:val="true"/>
          <w:lang w:bidi="fa-IR"/>
        </w:rPr>
        <w:t>»</w:t>
      </w:r>
      <w:r>
        <w:rPr>
          <w:rStyle w:val="FootnoteAnchor"/>
          <w:rtl w:val="true"/>
        </w:rPr>
        <w:footnoteReference w:id="2269"/>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المسالک فی مقام ردّ أدلّة المخالفین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 هذه الأخبار الشاذّة المخالفة لاُصول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إجماع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تصلح لتأسیس هذا الحکم</w:t>
      </w:r>
      <w:r>
        <w:rPr>
          <w:rFonts w:eastAsia="IRNazanin" w:cs="IRNazanin"/>
          <w:color w:val="111111"/>
          <w:sz w:val="28"/>
          <w:szCs w:val="28"/>
          <w:rtl w:val="true"/>
          <w:lang w:bidi="fa-IR"/>
        </w:rPr>
        <w:t>»</w:t>
      </w:r>
      <w:r>
        <w:rPr>
          <w:rStyle w:val="FootnoteAnchor"/>
          <w:rtl w:val="true"/>
        </w:rPr>
        <w:footnoteReference w:id="2270"/>
      </w:r>
      <w:r>
        <w:rPr>
          <w:rFonts w:ascii="IRNazanin" w:hAnsi="IRNazanin" w:eastAsia="IRNazanin"/>
          <w:color w:val="111111"/>
          <w:sz w:val="28"/>
          <w:sz w:val="28"/>
          <w:szCs w:val="28"/>
          <w:rtl w:val="true"/>
          <w:lang w:bidi="fa-IR"/>
        </w:rPr>
        <w:t>؛ أی</w:t>
      </w:r>
    </w:p>
    <w:p>
      <w:pPr>
        <w:pStyle w:val="BookText"/>
        <w:rPr/>
      </w:pPr>
      <w:r>
        <w:rPr>
          <w:rFonts w:ascii="Amiri" w:hAnsi="Amiri" w:eastAsia="Amiri" w:cs="Amiri"/>
          <w:color w:val="111111"/>
          <w:sz w:val="28"/>
          <w:sz w:val="28"/>
          <w:szCs w:val="28"/>
          <w:rtl w:val="true"/>
          <w:lang w:bidi="ar-SA"/>
        </w:rPr>
        <w:t>صحّة وقف من بلغ عشراً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مفتاح الکرامة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الأخبار الواردة بالجواز فیما نحن فیه لا تقوی علی مقاومة الأدلّة علی المنع من الإجماعات و علی الحجر علیه</w:t>
      </w:r>
      <w:r>
        <w:rPr>
          <w:rFonts w:eastAsia="IRNazanin" w:cs="IRNazanin"/>
          <w:color w:val="111111"/>
          <w:sz w:val="28"/>
          <w:szCs w:val="28"/>
          <w:rtl w:val="true"/>
          <w:lang w:bidi="fa-IR"/>
        </w:rPr>
        <w:t>»</w:t>
      </w:r>
      <w:r>
        <w:rPr>
          <w:rStyle w:val="FootnoteAnchor"/>
          <w:rtl w:val="true"/>
        </w:rPr>
        <w:footnoteReference w:id="2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ادّعی فی مقابس الأنوار إجماع الاُمّة و الضرورة علی ذلک</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الإجماع علی عدم صحّة وقف الصبیّ الممیّز و لو بلغ عشر سنین مشکل جدّاً؛ لذهاب کثیر منهم إلی خلافه کما سنذکره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الحجر عن التصرّف ثابت فلا یرتفع إلّا بمؤثّر، و هو البلوغ و الرشد</w:t>
      </w:r>
      <w:r>
        <w:rPr>
          <w:rStyle w:val="FootnoteAnchor"/>
          <w:rtl w:val="true"/>
        </w:rPr>
        <w:footnoteReference w:id="2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القلم مرفوع عنه فلا أثر لفعله، و إلّا لکان مؤاخذاً علیه</w:t>
      </w:r>
      <w:r>
        <w:rPr>
          <w:rFonts w:eastAsia="IRNazanin" w:cs="IRNazanin"/>
          <w:color w:val="111111"/>
          <w:sz w:val="28"/>
          <w:szCs w:val="28"/>
          <w:rtl w:val="true"/>
          <w:lang w:bidi="fa-IR"/>
        </w:rPr>
        <w:t>»</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الأخبار التی تدلّ علی جواز وقف الصبیّ فی وجوه البرّ إذا بلغ عشر سنین فصاعداً، مخصّصة بما دلّ علی حجره فی التصرّف، و سیأتی فی ذلک زیادة توضیح قریباً</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یرد دلیل علی صحّة وقف الصبیّ، قال فی غایة المراد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أقف علی روایة تتضمّن جواز وقف الصبیّ بلفظ الوقف، بل وردت روایات بلفظ الصدقة</w:t>
      </w:r>
      <w:r>
        <w:rPr>
          <w:rFonts w:eastAsia="IRNazanin" w:cs="IRNazanin"/>
          <w:color w:val="111111"/>
          <w:sz w:val="28"/>
          <w:szCs w:val="28"/>
          <w:rtl w:val="true"/>
          <w:lang w:bidi="fa-IR"/>
        </w:rPr>
        <w:t>»</w:t>
      </w:r>
      <w:r>
        <w:rPr>
          <w:rStyle w:val="FootnoteAnchor"/>
          <w:rtl w:val="true"/>
        </w:rPr>
        <w:footnoteReference w:id="2275"/>
      </w:r>
      <w:r>
        <w:rPr>
          <w:rFonts w:ascii="IRNazanin" w:hAnsi="IRNazanin" w:eastAsia="IRNazanin"/>
          <w:color w:val="111111"/>
          <w:sz w:val="28"/>
          <w:sz w:val="28"/>
          <w:szCs w:val="28"/>
          <w:rtl w:val="true"/>
          <w:lang w:bidi="fa-IR"/>
        </w:rPr>
        <w:t xml:space="preserve">، و عنوان الوقف غیر الصدقة، و لا یدلّ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الوقف إلّا مع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یحکم بالوقف بشیء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الألفاظ المذکورة کتصدّقت و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مجرّداً عن القرینة</w:t>
      </w:r>
      <w:r>
        <w:rPr>
          <w:rFonts w:eastAsia="IRNazanin" w:cs="IRNazanin"/>
          <w:color w:val="111111"/>
          <w:sz w:val="28"/>
          <w:szCs w:val="28"/>
          <w:rtl w:val="true"/>
          <w:lang w:bidi="fa-IR"/>
        </w:rPr>
        <w:t>»</w:t>
      </w:r>
      <w:r>
        <w:rPr>
          <w:rStyle w:val="FootnoteAnchor"/>
          <w:rtl w:val="true"/>
        </w:rPr>
        <w:footnoteReference w:id="2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فی عدم صراحة هاتین الصیغتین</w:t>
      </w:r>
      <w:r>
        <w:rPr>
          <w:rStyle w:val="FootnoteAnchor"/>
          <w:rtl w:val="true"/>
        </w:rPr>
        <w:footnoteReference w:id="2277"/>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قال فی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إطلاق الصدقة علی الوقف شائع، ذائع فی الأخبار، بل هو الأصل فی الإطلاق، و إنّما الإطلاق علی ما ذکروه مستحدث</w:t>
      </w:r>
      <w:r>
        <w:rPr>
          <w:rFonts w:eastAsia="IRNazanin" w:cs="IRNazanin"/>
          <w:color w:val="111111"/>
          <w:sz w:val="28"/>
          <w:szCs w:val="28"/>
          <w:rtl w:val="true"/>
          <w:lang w:bidi="fa-IR"/>
        </w:rPr>
        <w:t>»</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وقف الصبیّ الممیّز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المفید و تبعه جماعة إلی أنّه یجوز وقف الصبیّ الممیّز إذا وقع موقع المعروف و البرّ، جاء فی المقنعة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بلغ الصبیّ عشر سنین جازت وصیّته فی المعروف من وجوه البرّ، و کذلک المحجور علیه لسفهه إذا وصّی فی برّ و معروف جازت وصیّته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وقفهما و صدقتهما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کوصیّتهما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جائزة إذا وقعا موقع المعروف</w:t>
      </w:r>
      <w:r>
        <w:rPr>
          <w:rFonts w:eastAsia="IRNazanin" w:cs="IRNazanin"/>
          <w:color w:val="111111"/>
          <w:sz w:val="28"/>
          <w:szCs w:val="28"/>
          <w:rtl w:val="true"/>
          <w:lang w:bidi="fa-IR"/>
        </w:rPr>
        <w:t>»</w:t>
      </w:r>
      <w:r>
        <w:rPr>
          <w:rStyle w:val="FootnoteAnchor"/>
          <w:rtl w:val="true"/>
        </w:rPr>
        <w:footnoteReference w:id="2279"/>
      </w:r>
      <w:r>
        <w:rPr>
          <w:rFonts w:ascii="IRNazanin" w:hAnsi="IRNazanin" w:eastAsia="IRNazanin"/>
          <w:color w:val="111111"/>
          <w:sz w:val="28"/>
          <w:sz w:val="28"/>
          <w:szCs w:val="28"/>
          <w:rtl w:val="true"/>
          <w:lang w:bidi="fa-IR"/>
        </w:rPr>
        <w:t>، و جوّز الشیخ فی کتاب الطلاق و الوصایا من النهایة صدقة الصبیّ إذا بلغ عشر سنین فصاعداً</w:t>
      </w:r>
      <w:r>
        <w:rPr>
          <w:rStyle w:val="FootnoteAnchor"/>
          <w:rtl w:val="true"/>
        </w:rPr>
        <w:footnoteReference w:id="2280"/>
      </w:r>
      <w:r>
        <w:rPr>
          <w:rFonts w:ascii="IRNazanin" w:hAnsi="IRNazanin" w:eastAsia="IRNazanin"/>
          <w:color w:val="111111"/>
          <w:sz w:val="28"/>
          <w:sz w:val="28"/>
          <w:szCs w:val="28"/>
          <w:rtl w:val="true"/>
          <w:lang w:bidi="fa-IR"/>
        </w:rPr>
        <w:t>، و قال فی کتاب الوقوف و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الوقف و الصدقة شیء واحد</w:t>
      </w:r>
      <w:r>
        <w:rPr>
          <w:rStyle w:val="FootnoteAnchor"/>
          <w:rtl w:val="true"/>
        </w:rPr>
        <w:footnoteReference w:id="2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فیستفاد منه جواز وقف الصبیّ إذا بلغ عشر سنین فصاعداً، و لم نجد فی کتبه التصریح بذلک</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ابن البرّاج، حیث قال فی کتاب الوصیّة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صدقة الصبیّ إذا بلغ</w:t>
      </w:r>
    </w:p>
    <w:p>
      <w:pPr>
        <w:pStyle w:val="BookText"/>
        <w:rPr/>
      </w:pPr>
      <w:r>
        <w:rPr>
          <w:rFonts w:ascii="IRNazanin" w:hAnsi="IRNazanin" w:eastAsia="IRNazanin"/>
          <w:color w:val="111111"/>
          <w:sz w:val="28"/>
          <w:sz w:val="28"/>
          <w:szCs w:val="28"/>
          <w:rtl w:val="true"/>
          <w:lang w:bidi="fa-IR"/>
        </w:rPr>
        <w:t>عشر سنین وهبته و عتقه إذا کان بالمعروف و فی وجوه البرّ علی ما قدّمناه جائز</w:t>
      </w:r>
      <w:r>
        <w:rPr>
          <w:rFonts w:eastAsia="IRNazanin" w:cs="IRNazanin"/>
          <w:color w:val="111111"/>
          <w:sz w:val="28"/>
          <w:szCs w:val="28"/>
          <w:rtl w:val="true"/>
          <w:lang w:bidi="fa-IR"/>
        </w:rPr>
        <w:t>»</w:t>
      </w:r>
      <w:r>
        <w:rPr>
          <w:rStyle w:val="FootnoteAnchor"/>
          <w:rtl w:val="true"/>
        </w:rPr>
        <w:footnoteReference w:id="2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باب الوقف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الوقف فی الأصل صدقة</w:t>
      </w:r>
      <w:r>
        <w:rPr>
          <w:rFonts w:eastAsia="IRNazanin" w:cs="IRNazanin"/>
          <w:color w:val="111111"/>
          <w:sz w:val="28"/>
          <w:szCs w:val="28"/>
          <w:rtl w:val="true"/>
          <w:lang w:bidi="fa-IR"/>
        </w:rPr>
        <w:t>»</w:t>
      </w:r>
      <w:r>
        <w:rPr>
          <w:rStyle w:val="FootnoteAnchor"/>
          <w:rtl w:val="true"/>
        </w:rPr>
        <w:footnoteReference w:id="2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المراسم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بلغها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عشر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جازت وصیّته أیضاً فی البرّ و المعروف خاصّة، و لا تمضی هبته و لا وقفه بما لیس فی وجوه البرّ</w:t>
      </w:r>
      <w:r>
        <w:rPr>
          <w:rFonts w:eastAsia="IRNazanin" w:cs="IRNazanin"/>
          <w:color w:val="111111"/>
          <w:sz w:val="28"/>
          <w:szCs w:val="28"/>
          <w:rtl w:val="true"/>
          <w:lang w:bidi="fa-IR"/>
        </w:rPr>
        <w:t>»</w:t>
      </w:r>
      <w:r>
        <w:rPr>
          <w:rStyle w:val="FootnoteAnchor"/>
          <w:rtl w:val="true"/>
        </w:rPr>
        <w:footnoteReference w:id="2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إرشاد الأذهان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فیمن بلغ عشراً روایة بالجواز</w:t>
      </w:r>
      <w:r>
        <w:rPr>
          <w:rFonts w:eastAsia="IRNazanin" w:cs="IRNazanin"/>
          <w:color w:val="111111"/>
          <w:sz w:val="28"/>
          <w:szCs w:val="28"/>
          <w:rtl w:val="true"/>
          <w:lang w:bidi="fa-IR"/>
        </w:rPr>
        <w:t>»</w:t>
      </w:r>
      <w:r>
        <w:rPr>
          <w:rStyle w:val="FootnoteAnchor"/>
          <w:rtl w:val="true"/>
        </w:rPr>
        <w:footnoteReference w:id="2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الدروس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بلغ الصبیّ عشراً بصیراً ففی جواز وقفه قولان، حملاً علی الصدقة</w:t>
      </w:r>
      <w:r>
        <w:rPr>
          <w:rFonts w:eastAsia="IRNazanin" w:cs="IRNazanin"/>
          <w:color w:val="111111"/>
          <w:sz w:val="28"/>
          <w:szCs w:val="28"/>
          <w:rtl w:val="true"/>
          <w:lang w:bidi="fa-IR"/>
        </w:rPr>
        <w:t>»</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رائحة المیل إلیه؛ لأنّ لفظ الأولی لا یمنع النقیض، و استدلاله بتوقّف رفع الحجر علی البلوغ و الرشد نوع من الاستدلال بالمتنازع، لأنّ المجوّز لا یسلّم الحجر علیه فی هذا التصرّف الخاصّ</w:t>
      </w:r>
      <w:r>
        <w:rPr>
          <w:rFonts w:eastAsia="IRNazanin" w:cs="IRNazanin"/>
          <w:color w:val="111111"/>
          <w:sz w:val="28"/>
          <w:szCs w:val="28"/>
          <w:rtl w:val="true"/>
          <w:lang w:bidi="fa-IR"/>
        </w:rPr>
        <w:t>»</w:t>
      </w:r>
      <w:r>
        <w:rPr>
          <w:rStyle w:val="FootnoteAnchor"/>
          <w:rtl w:val="true"/>
        </w:rPr>
        <w:footnoteReference w:id="2287"/>
      </w:r>
      <w:r>
        <w:rPr>
          <w:rFonts w:ascii="IRNazanin" w:hAnsi="IRNazanin" w:eastAsia="IRNazanin"/>
          <w:color w:val="111111"/>
          <w:sz w:val="28"/>
          <w:sz w:val="28"/>
          <w:szCs w:val="28"/>
          <w:rtl w:val="true"/>
          <w:lang w:bidi="fa-IR"/>
        </w:rPr>
        <w:t>، و قوّاه فی الحدائق</w:t>
      </w:r>
      <w:r>
        <w:rPr>
          <w:rStyle w:val="FootnoteAnchor"/>
          <w:rtl w:val="true"/>
        </w:rPr>
        <w:footnoteReference w:id="2288"/>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مقابس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فالأقرب اعتبار الشروط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البلوغ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فالأجود الجواز مطلقاً</w:t>
      </w:r>
      <w:r>
        <w:rPr>
          <w:rFonts w:eastAsia="IRNazanin" w:cs="IRNazanin"/>
          <w:color w:val="111111"/>
          <w:sz w:val="28"/>
          <w:szCs w:val="28"/>
          <w:rtl w:val="true"/>
          <w:lang w:bidi="fa-IR"/>
        </w:rPr>
        <w:t>»</w:t>
      </w:r>
      <w:r>
        <w:rPr>
          <w:rStyle w:val="FootnoteAnchor"/>
          <w:rtl w:val="true"/>
        </w:rPr>
        <w:footnoteReference w:id="2289"/>
      </w:r>
      <w:r>
        <w:rPr>
          <w:rFonts w:ascii="IRNazanin" w:hAnsi="IRNazanin" w:eastAsia="IRNazanin"/>
          <w:color w:val="111111"/>
          <w:sz w:val="28"/>
          <w:sz w:val="28"/>
          <w:szCs w:val="28"/>
          <w:rtl w:val="true"/>
          <w:lang w:bidi="fa-IR"/>
        </w:rPr>
        <w:t>، و یظهر ذلک من کلام المحقّق</w:t>
      </w:r>
      <w:bookmarkStart w:id="633" w:name="pg11757_135810"/>
    </w:p>
    <w:p>
      <w:pPr>
        <w:pStyle w:val="BookText"/>
        <w:rPr/>
      </w:pPr>
      <w:bookmarkEnd w:id="633"/>
      <w:r>
        <w:rPr>
          <w:rFonts w:ascii="IRNazanin" w:hAnsi="IRNazanin" w:eastAsia="IRNazanin"/>
          <w:color w:val="111111"/>
          <w:sz w:val="28"/>
          <w:sz w:val="28"/>
          <w:szCs w:val="28"/>
          <w:rtl w:val="true"/>
          <w:lang w:bidi="fa-IR"/>
        </w:rPr>
        <w:t>الخراسانی</w:t>
      </w:r>
      <w:r>
        <w:rPr>
          <w:rStyle w:val="FootnoteAnchor"/>
          <w:rtl w:val="true"/>
        </w:rPr>
        <w:footnoteReference w:id="2290"/>
      </w:r>
      <w:r>
        <w:rPr>
          <w:rFonts w:ascii="IRNazanin" w:hAnsi="IRNazanin" w:eastAsia="IRNazanin"/>
          <w:color w:val="111111"/>
          <w:sz w:val="28"/>
          <w:sz w:val="28"/>
          <w:szCs w:val="28"/>
          <w:rtl w:val="true"/>
          <w:lang w:bidi="fa-IR"/>
        </w:rPr>
        <w:t>و السیّد الخوانساری</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4" w:name="__RefHeading___Toc9696983_73709187"/>
      <w:bookmarkStart w:id="635" w:name="_Toc235"/>
      <w:bookmarkEnd w:id="634"/>
      <w:r>
        <w:rPr>
          <w:rtl w:val="true"/>
        </w:rPr>
        <w:t>أدلّة جواز وقف الصبیّ إذا بلغ عشر سنین</w:t>
      </w:r>
      <w:bookmarkEnd w:id="635"/>
    </w:p>
    <w:p>
      <w:pPr>
        <w:pStyle w:val="BookText"/>
        <w:rPr/>
      </w:pPr>
      <w:r>
        <w:rPr>
          <w:rFonts w:ascii="IRNazanin" w:hAnsi="IRNazanin" w:eastAsia="IRNazanin"/>
          <w:color w:val="111111"/>
          <w:sz w:val="28"/>
          <w:sz w:val="28"/>
          <w:szCs w:val="28"/>
          <w:rtl w:val="true"/>
          <w:lang w:bidi="fa-IR"/>
        </w:rPr>
        <w:t>و المستند لقول المفید رحمه الله و من تبعه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فی الفقیه عن زرارة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أتی علی الغلام عشر سنین</w:t>
      </w:r>
      <w:r>
        <w:rPr>
          <w:rStyle w:val="FootnoteAnchor"/>
          <w:rtl w:val="true"/>
        </w:rPr>
        <w:footnoteReference w:id="2292"/>
      </w:r>
      <w:r>
        <w:rPr>
          <w:rFonts w:ascii="IRNazanin" w:hAnsi="IRNazanin" w:eastAsia="IRNazanin"/>
          <w:color w:val="111111"/>
          <w:sz w:val="28"/>
          <w:sz w:val="28"/>
          <w:szCs w:val="28"/>
          <w:rtl w:val="true"/>
          <w:lang w:bidi="fa-IR"/>
        </w:rPr>
        <w:t>فإنّه یجوز له فی ماله ما أعتق أو تصدّق و أوصی علی حدّ معروف و حقّ فهو جائز</w:t>
      </w:r>
      <w:r>
        <w:rPr>
          <w:rFonts w:eastAsia="IRNazanin" w:cs="IRNazanin"/>
          <w:color w:val="111111"/>
          <w:sz w:val="28"/>
          <w:szCs w:val="28"/>
          <w:rtl w:val="true"/>
          <w:lang w:bidi="fa-IR"/>
        </w:rPr>
        <w:t>»</w:t>
      </w:r>
      <w:r>
        <w:rPr>
          <w:rStyle w:val="FootnoteAnchor"/>
          <w:rtl w:val="true"/>
        </w:rPr>
        <w:footnoteReference w:id="2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موثّقة جمیل بن درّاج عن أحدهما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طلاق الغلام إذا کان قد عقل و صدقته و وصیّته و إن لم یحتلم</w:t>
      </w:r>
      <w:r>
        <w:rPr>
          <w:rFonts w:eastAsia="IRNazanin" w:cs="IRNazanin"/>
          <w:color w:val="111111"/>
          <w:sz w:val="28"/>
          <w:szCs w:val="28"/>
          <w:rtl w:val="true"/>
          <w:lang w:bidi="fa-IR"/>
        </w:rPr>
        <w:t>»</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موثّقة عبید اللّه الحلبی و محمّد بن مسلم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w:t>
      </w:r>
    </w:p>
    <w:p>
      <w:pPr>
        <w:pStyle w:val="BookText"/>
        <w:rPr/>
      </w:pPr>
      <w:r>
        <w:rPr>
          <w:rFonts w:ascii="IRNazanin" w:hAnsi="IRNazanin" w:eastAsia="IRNazanin"/>
          <w:color w:val="111111"/>
          <w:sz w:val="28"/>
          <w:sz w:val="28"/>
          <w:szCs w:val="28"/>
          <w:rtl w:val="true"/>
          <w:lang w:bidi="fa-IR"/>
        </w:rPr>
        <w:t>عن صدقة الغلام ما لم یحتلم،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إذا وضعها فی موضع الصدقة</w:t>
      </w:r>
      <w:r>
        <w:rPr>
          <w:rFonts w:eastAsia="IRNazanin" w:cs="IRNazanin"/>
          <w:color w:val="111111"/>
          <w:sz w:val="28"/>
          <w:szCs w:val="28"/>
          <w:rtl w:val="true"/>
          <w:lang w:bidi="fa-IR"/>
        </w:rPr>
        <w:t>»</w:t>
      </w:r>
      <w:r>
        <w:rPr>
          <w:rStyle w:val="FootnoteAnchor"/>
          <w:rtl w:val="true"/>
        </w:rPr>
        <w:footnoteReference w:id="22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فی الکافی عن سماعة، قال سألته عن طلاق الغلام لم یحتلم و صدقته،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طلّق للسنّة و وضع الصدقة فی موضعها و حقّها فلا بأس، و هو جائز</w:t>
      </w:r>
      <w:r>
        <w:rPr>
          <w:rFonts w:eastAsia="IRNazanin" w:cs="IRNazanin"/>
          <w:color w:val="111111"/>
          <w:sz w:val="28"/>
          <w:szCs w:val="28"/>
          <w:rtl w:val="true"/>
          <w:lang w:bidi="fa-IR"/>
        </w:rPr>
        <w:t>»</w:t>
      </w:r>
      <w:r>
        <w:rPr>
          <w:rStyle w:val="FootnoteAnchor"/>
          <w:rtl w:val="true"/>
        </w:rPr>
        <w:footnoteReference w:id="2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بتقریب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إطلاق الصدقة أو عمومها یشمل الوقف کما تقدّم عن الحدائق</w:t>
      </w:r>
      <w:r>
        <w:rPr>
          <w:rStyle w:val="FootnoteAnchor"/>
          <w:rtl w:val="true"/>
        </w:rPr>
        <w:footnoteReference w:id="2297"/>
      </w:r>
      <w:r>
        <w:rPr>
          <w:rFonts w:ascii="IRNazanin" w:hAnsi="IRNazanin" w:eastAsia="IRNazanin"/>
          <w:color w:val="111111"/>
          <w:sz w:val="28"/>
          <w:sz w:val="28"/>
          <w:szCs w:val="28"/>
          <w:rtl w:val="true"/>
          <w:lang w:bidi="fa-IR"/>
        </w:rPr>
        <w:t>، مضافاً إلی عدم القائل بالفرق ظاهراً کما فی الریاض</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النهایة و نکتها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الوقف و الصدقة شیء واحد</w:t>
      </w:r>
      <w:r>
        <w:rPr>
          <w:rFonts w:eastAsia="IRNazanin" w:cs="IRNazanin"/>
          <w:color w:val="111111"/>
          <w:sz w:val="28"/>
          <w:szCs w:val="28"/>
          <w:rtl w:val="true"/>
          <w:lang w:bidi="fa-IR"/>
        </w:rPr>
        <w:t>»</w:t>
      </w:r>
      <w:r>
        <w:rPr>
          <w:rStyle w:val="FootnoteAnchor"/>
          <w:rtl w:val="true"/>
        </w:rPr>
        <w:footnoteReference w:id="2299"/>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مقابس الأنوار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جاز الوصیّة جاز الوقف أیضاً؛ لاتّحاد المقتضی فیهما، و هو کونه صدقةً علی جهة المعروف صادرة ممّن بلغ إلی السنّ المذکور، و من ثمّ تلازما فی الخلاف و الوفاق إلّا نادراً، و أیضاً إذا جاز الوقف فی المعروف المستند إلی وصیّته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أنّه صحیح من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فوقفه أولی، و الفرق بکون تأثیر الوصیّة بعد الموت الذی یرتفع الحجر به، و استلزام الحجر علیه فیها حرمانه مدّة حیاته عن الألطاف المقرّبة له إلی تحصیل الثواب، و منعه عنها فی ماله الذی یقبح عقلاً و ینافی مقتضی الحکمة،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بهذه الأدلّة یخصّص الأصل مع معارضته بالمثل، و الإجماع بعد تسلیم الدلالة</w:t>
      </w:r>
      <w:r>
        <w:rPr>
          <w:rFonts w:eastAsia="IRNazanin" w:cs="IRNazanin"/>
          <w:color w:val="111111"/>
          <w:sz w:val="28"/>
          <w:szCs w:val="28"/>
          <w:rtl w:val="true"/>
          <w:lang w:bidi="fa-IR"/>
        </w:rPr>
        <w:t>»</w:t>
      </w:r>
      <w:r>
        <w:rPr>
          <w:rStyle w:val="FootnoteAnchor"/>
          <w:rtl w:val="true"/>
        </w:rPr>
        <w:footnoteReference w:id="2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استشکل فی جامع المقاصد علی الاستدلال بالنصوص بأنّ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هذه الأخبار لا تنهض معارضاً</w:t>
      </w:r>
      <w:r>
        <w:rPr>
          <w:rStyle w:val="FootnoteAnchor"/>
          <w:rtl w:val="true"/>
        </w:rPr>
        <w:footnoteReference w:id="2301"/>
      </w:r>
      <w:r>
        <w:rPr>
          <w:rFonts w:ascii="IRNazanin" w:hAnsi="IRNazanin" w:eastAsia="IRNazanin"/>
          <w:color w:val="111111"/>
          <w:sz w:val="28"/>
          <w:sz w:val="28"/>
          <w:szCs w:val="28"/>
          <w:rtl w:val="true"/>
          <w:lang w:bidi="fa-IR"/>
        </w:rPr>
        <w:t>للمتواتر</w:t>
      </w:r>
      <w:r>
        <w:rPr>
          <w:rFonts w:eastAsia="IRNazanin" w:cs="IRNazanin"/>
          <w:color w:val="111111"/>
          <w:sz w:val="28"/>
          <w:szCs w:val="28"/>
          <w:rtl w:val="true"/>
          <w:lang w:bidi="fa-IR"/>
        </w:rPr>
        <w:t>»</w:t>
      </w:r>
      <w:r>
        <w:rPr>
          <w:rStyle w:val="FootnoteAnchor"/>
          <w:rtl w:val="true"/>
        </w:rPr>
        <w:footnoteReference w:id="2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المسالک</w:t>
      </w:r>
      <w:r>
        <w:rPr>
          <w:rStyle w:val="FootnoteAnchor"/>
          <w:rtl w:val="true"/>
        </w:rPr>
        <w:footnoteReference w:id="2303"/>
      </w:r>
      <w:r>
        <w:rPr>
          <w:rFonts w:ascii="IRNazanin" w:hAnsi="IRNazanin" w:eastAsia="IRNazanin"/>
          <w:color w:val="111111"/>
          <w:sz w:val="28"/>
          <w:sz w:val="28"/>
          <w:szCs w:val="28"/>
          <w:rtl w:val="true"/>
          <w:lang w:bidi="fa-IR"/>
        </w:rPr>
        <w:t>، و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خبر زرارة بحسب السند ضعیف بموسی بن بکر فإنّه واقفی</w:t>
      </w:r>
      <w:r>
        <w:rPr>
          <w:rStyle w:val="FootnoteAnchor"/>
          <w:rtl w:val="true"/>
        </w:rPr>
        <w:footnoteReference w:id="2304"/>
      </w:r>
      <w:r>
        <w:rPr>
          <w:rFonts w:ascii="IRNazanin" w:hAnsi="IRNazanin" w:eastAsia="IRNazanin"/>
          <w:color w:val="111111"/>
          <w:sz w:val="28"/>
          <w:sz w:val="28"/>
          <w:szCs w:val="28"/>
          <w:rtl w:val="true"/>
          <w:lang w:bidi="fa-IR"/>
        </w:rPr>
        <w:t>، و موثقتا جمیل و محمّد بن مسلم لیس فیهما التقیید بالعشر سنین، و تقییدهما بخبر زرارة فرع المکافأة، و هی منتفیة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لضعفه</w:t>
      </w:r>
      <w:r>
        <w:rPr>
          <w:rStyle w:val="FootnoteAnchor"/>
          <w:rtl w:val="true"/>
        </w:rPr>
        <w:footnoteReference w:id="2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مفتاح الکرامة</w:t>
      </w:r>
      <w:r>
        <w:rPr>
          <w:rStyle w:val="FootnoteAnchor"/>
          <w:rtl w:val="true"/>
        </w:rPr>
        <w:footnoteReference w:id="2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یمکن أن یرد علی ما استدلّ به فی مقابس الأنوار بأنّ جواز وصیّته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بالوقوف للنصوص المعمول بها بین معظم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یستلزم جواز وقفه، مع حرمة القیاس، کما أشار إلیه فی الجواهر</w:t>
      </w:r>
      <w:r>
        <w:rPr>
          <w:rStyle w:val="FootnoteAnchor"/>
          <w:rtl w:val="true"/>
        </w:rPr>
        <w:footnoteReference w:id="2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مع ذلک کلّه فالظاهر أنّه لا وجه للإشکال علی النصوص الواردة فی صحّة وقف الصبیّ إذا بلغ عشر سنین، کما صرّح به السیّد الخوانساری رحمه الله</w:t>
      </w:r>
      <w:r>
        <w:rPr>
          <w:rStyle w:val="FootnoteAnchor"/>
          <w:rtl w:val="true"/>
        </w:rPr>
        <w:footnoteReference w:id="2308"/>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أجاد المحقّق الخراسانی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هذه الأخبار مع وثاقتها و روایة المشایخ</w:t>
      </w:r>
      <w:r>
        <w:rPr>
          <w:rStyle w:val="FootnoteAnchor"/>
          <w:rtl w:val="true"/>
        </w:rPr>
        <w:footnoteReference w:id="2309"/>
      </w:r>
      <w:r>
        <w:rPr>
          <w:rFonts w:ascii="IRNazanin" w:hAnsi="IRNazanin" w:eastAsia="IRNazanin"/>
          <w:color w:val="111111"/>
          <w:sz w:val="28"/>
          <w:sz w:val="28"/>
          <w:szCs w:val="28"/>
          <w:rtl w:val="true"/>
          <w:lang w:bidi="fa-IR"/>
        </w:rPr>
        <w:t>لها و عمل جماعة من القدماء بها کانت فی غایة الاعتبار،</w:t>
      </w:r>
    </w:p>
    <w:p>
      <w:pPr>
        <w:pStyle w:val="BookText"/>
        <w:rPr/>
      </w:pPr>
      <w:r>
        <w:rPr>
          <w:rFonts w:ascii="IRNazanin" w:hAnsi="IRNazanin" w:eastAsia="IRNazanin"/>
          <w:color w:val="111111"/>
          <w:sz w:val="28"/>
          <w:sz w:val="28"/>
          <w:szCs w:val="28"/>
          <w:rtl w:val="true"/>
          <w:lang w:bidi="fa-IR"/>
        </w:rPr>
        <w:t xml:space="preserve">فرمیها بالشذوذ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ثانی الشهیدین فی المسالک</w:t>
      </w:r>
      <w:r>
        <w:rPr>
          <w:rStyle w:val="FootnoteAnchor"/>
          <w:rtl w:val="true"/>
        </w:rPr>
        <w:footnoteReference w:id="2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العمل بها فی الوصیّة و غیرها فی الجملة بلا خلاف یعرف و لا کلام، و لا یکاد یکون عدم عمل المتأخّرین بها موهناً لها؛ لعدم إحراز أنّه کان إعراضاً منهم، کیف و منهم من لا یعمل إلاّ بالخبر الصحیح؟</w:t>
      </w:r>
      <w:r>
        <w:rPr>
          <w:rFonts w:eastAsia="IRNazanin" w:cs="IRNazanin"/>
          <w:color w:val="111111"/>
          <w:sz w:val="28"/>
          <w:szCs w:val="28"/>
          <w:rtl w:val="true"/>
          <w:lang w:bidi="fa-IR"/>
        </w:rPr>
        <w:t>»</w:t>
      </w:r>
      <w:r>
        <w:rPr>
          <w:rStyle w:val="FootnoteAnchor"/>
          <w:rtl w:val="true"/>
        </w:rPr>
        <w:footnoteReference w:id="2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الیزدی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المراد من الصدقة فی هذه الأخبار الصدقات الجزئیّة الصادرة منه، لا مثل الوقف، لا أقلّ من الشکّ فالأقوی عدم الصحّة</w:t>
      </w:r>
      <w:r>
        <w:rPr>
          <w:rFonts w:eastAsia="IRNazanin" w:cs="IRNazanin"/>
          <w:color w:val="111111"/>
          <w:sz w:val="28"/>
          <w:szCs w:val="28"/>
          <w:rtl w:val="true"/>
          <w:lang w:bidi="fa-IR"/>
        </w:rPr>
        <w:t>»</w:t>
      </w:r>
      <w:r>
        <w:rPr>
          <w:rStyle w:val="FootnoteAnchor"/>
          <w:rtl w:val="true"/>
        </w:rPr>
        <w:footnoteReference w:id="2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یلاحظ علیه بأنّ حمل الصدقة علی الصدقات الجزئیّة خلاف ظاهر النصوص، و لا دلیل علیه، فإنّ إطلاق لفظ الصدقة و کذا وحدة السیاق فیها یقتضی أن نحکم علی خلاف ذلک، حیث إنّ المشهور قائلون بصحّة وصیّة من بلغ عشراً بالوقف مطلقاً و لم یقیّدوه بالجزئیّة، و المستند عندهم هذه الأخبار، فالظاهر أنّه ارید من الصدقات فیها أیضاً معناها المطلق لا خصوص الجزئیّة، و قد أطلق الصدقة علی الوقف فی الروایات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اشتهر عن مولی الموحِّدین علیه أفضل صلوات المصلّین فی قصّة عین ینبع هی صدقة بتّاً بتلاً فی حجیج بیت اللّه و عابر سبیله، لا تباع و لا توهب و لا تورث</w:t>
      </w:r>
      <w:r>
        <w:rPr>
          <w:rFonts w:eastAsia="IRNazanin" w:cs="IRNazanin"/>
          <w:color w:val="111111"/>
          <w:sz w:val="28"/>
          <w:szCs w:val="28"/>
          <w:rtl w:val="true"/>
          <w:lang w:bidi="fa-IR"/>
        </w:rPr>
        <w:t>»</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التهذیب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إلیَّ بهذه الوصیّة أبو إبراهیم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ما أوصی به و قضی فی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w:t>
      </w:r>
    </w:p>
    <w:p>
      <w:pPr>
        <w:pStyle w:val="BookText"/>
        <w:rPr/>
      </w:pPr>
      <w:r>
        <w:rPr>
          <w:rFonts w:ascii="IRNazanin" w:hAnsi="IRNazanin" w:eastAsia="IRNazanin"/>
          <w:color w:val="111111"/>
          <w:sz w:val="28"/>
          <w:sz w:val="28"/>
          <w:szCs w:val="28"/>
          <w:rtl w:val="true"/>
          <w:lang w:bidi="fa-IR"/>
        </w:rPr>
        <w:t>فی سبیل اللّه، و أنّ الذی کتبت من أموالی هذه صدقة واجبة بتلة حیّاً أنا أو میّتاً، ینفق فی کلّ نفقةٍ، أبتغی بها وجه اللّه فی سبیل اللّه</w:t>
      </w:r>
      <w:r>
        <w:rPr>
          <w:rFonts w:eastAsia="IRNazanin" w:cs="IRNazanin"/>
          <w:color w:val="111111"/>
          <w:sz w:val="28"/>
          <w:szCs w:val="28"/>
          <w:rtl w:val="true"/>
          <w:lang w:bidi="fa-IR"/>
        </w:rPr>
        <w:t>»</w:t>
      </w:r>
      <w:r>
        <w:rPr>
          <w:rStyle w:val="FootnoteAnchor"/>
          <w:rtl w:val="true"/>
        </w:rPr>
        <w:footnoteReference w:id="2314"/>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أیضاً فی التهذیب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 أمیر المؤمنین علیه السلام بدار له فی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هذا ما تصدّق به علیّ بن أبی طالب و هو حیٌّ سویّ تصدّق بداره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لا تُباع و لا توهب حتّی یرثها اللّه الذی یرث السماوات و الأرض</w:t>
      </w:r>
      <w:r>
        <w:rPr>
          <w:rFonts w:eastAsia="IRNazanin" w:cs="IRNazanin"/>
          <w:color w:val="111111"/>
          <w:sz w:val="28"/>
          <w:szCs w:val="28"/>
          <w:rtl w:val="true"/>
          <w:lang w:bidi="fa-IR"/>
        </w:rPr>
        <w:t>»</w:t>
      </w:r>
      <w:r>
        <w:rPr>
          <w:rStyle w:val="FootnoteAnchor"/>
          <w:rtl w:val="true"/>
        </w:rPr>
        <w:footnoteReference w:id="2315"/>
      </w:r>
      <w:r>
        <w:rPr>
          <w:rFonts w:ascii="IRNazanin" w:hAnsi="IRNazanin" w:eastAsia="IRNazanin"/>
          <w:color w:val="111111"/>
          <w:sz w:val="28"/>
          <w:sz w:val="28"/>
          <w:szCs w:val="28"/>
          <w:rtl w:val="true"/>
          <w:lang w:bidi="fa-IR"/>
        </w:rPr>
        <w:t>، و غیرها</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 أنّه لعلّ الأقوی هو القول الثانی، و اللّه هو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مشهور الفقهاء أنّه یصحّ لمن بلغ عشر سنین الوصیّة بالوقف، و هو الأحوط، قال فی مقابس الأنوار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تظاهرت فتاوی الأصحاب علی العمل بها</w:t>
      </w:r>
      <w:r>
        <w:rPr>
          <w:rFonts w:eastAsia="IRNazanin" w:cs="IRNazanin"/>
          <w:color w:val="111111"/>
          <w:sz w:val="28"/>
          <w:szCs w:val="28"/>
          <w:rtl w:val="true"/>
          <w:lang w:bidi="fa-IR"/>
        </w:rPr>
        <w:t>»</w:t>
      </w:r>
      <w:r>
        <w:rPr>
          <w:rStyle w:val="FootnoteAnchor"/>
          <w:rtl w:val="true"/>
        </w:rPr>
        <w:footnoteReference w:id="2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الجواهر</w:t>
      </w:r>
      <w:r>
        <w:rPr>
          <w:rStyle w:val="FootnoteAnchor"/>
          <w:rtl w:val="true"/>
        </w:rPr>
        <w:footnoteReference w:id="2318"/>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فاذا أوصی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بالوقف صحّ عنه وقف</w:t>
      </w:r>
      <w:r>
        <w:rPr>
          <w:rStyle w:val="FootnoteAnchor"/>
          <w:rtl w:val="true"/>
        </w:rPr>
        <w:footnoteReference w:id="2319"/>
      </w:r>
      <w:r>
        <w:rPr>
          <w:rFonts w:ascii="IRNazanin" w:hAnsi="IRNazanin" w:eastAsia="IRNazanin"/>
          <w:color w:val="111111"/>
          <w:sz w:val="28"/>
          <w:sz w:val="28"/>
          <w:szCs w:val="28"/>
          <w:rtl w:val="true"/>
          <w:lang w:bidi="fa-IR"/>
        </w:rPr>
        <w:t>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السادة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الأصفهانی</w:t>
      </w:r>
      <w:r>
        <w:rPr>
          <w:rStyle w:val="FootnoteAnchor"/>
          <w:rtl w:val="true"/>
        </w:rPr>
        <w:footnoteReference w:id="2320"/>
      </w:r>
      <w:r>
        <w:rPr>
          <w:rFonts w:ascii="IRNazanin" w:hAnsi="IRNazanin" w:eastAsia="IRNazanin"/>
          <w:color w:val="111111"/>
          <w:sz w:val="28"/>
          <w:sz w:val="28"/>
          <w:szCs w:val="28"/>
          <w:rtl w:val="true"/>
          <w:lang w:bidi="fa-IR"/>
        </w:rPr>
        <w:t>و الخوانساری</w:t>
      </w:r>
      <w:r>
        <w:rPr>
          <w:rStyle w:val="FootnoteAnchor"/>
          <w:rtl w:val="true"/>
        </w:rPr>
        <w:footnoteReference w:id="2321"/>
      </w:r>
      <w:r>
        <w:rPr>
          <w:rFonts w:ascii="IRNazanin" w:hAnsi="IRNazanin" w:eastAsia="IRNazanin"/>
          <w:color w:val="111111"/>
          <w:sz w:val="28"/>
          <w:sz w:val="28"/>
          <w:szCs w:val="28"/>
          <w:rtl w:val="true"/>
          <w:lang w:bidi="fa-IR"/>
        </w:rPr>
        <w:t>و الخوئی</w:t>
      </w:r>
      <w:r>
        <w:rPr>
          <w:rStyle w:val="FootnoteAnchor"/>
          <w:rtl w:val="true"/>
        </w:rPr>
        <w:footnoteReference w:id="2322"/>
      </w:r>
      <w:r>
        <w:rPr>
          <w:rFonts w:ascii="IRNazanin" w:hAnsi="IRNazanin" w:eastAsia="IRNazanin"/>
          <w:color w:val="111111"/>
          <w:sz w:val="28"/>
          <w:sz w:val="28"/>
          <w:szCs w:val="28"/>
          <w:rtl w:val="true"/>
          <w:lang w:bidi="fa-IR"/>
        </w:rPr>
        <w:t>و السبزواری</w:t>
      </w:r>
      <w:r>
        <w:rPr>
          <w:rStyle w:val="FootnoteAnchor"/>
          <w:rtl w:val="true"/>
        </w:rPr>
        <w:footnoteReference w:id="2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الإمام الخمینی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أوصی به صحّ وقف الوصیّ عنه</w:t>
      </w:r>
      <w:r>
        <w:rPr>
          <w:rFonts w:eastAsia="IRNazanin" w:cs="IRNazanin"/>
          <w:color w:val="111111"/>
          <w:sz w:val="28"/>
          <w:szCs w:val="28"/>
          <w:rtl w:val="true"/>
          <w:lang w:bidi="fa-IR"/>
        </w:rPr>
        <w:t>»</w:t>
      </w:r>
      <w:r>
        <w:rPr>
          <w:rStyle w:val="FootnoteAnchor"/>
          <w:rtl w:val="true"/>
        </w:rPr>
        <w:footnoteReference w:id="2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الفاضل اللنکرانی</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الحکم المذکور النصوص المتقدّمة،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أتی علی الغلام عشر سنین فإنّه یجوز فی ماله ما أعتق أو تصدّق أو أوصی علی حدّ معروف و حقّ فهو جائز</w:t>
      </w:r>
      <w:r>
        <w:rPr>
          <w:rFonts w:eastAsia="IRNazanin" w:cs="IRNazanin"/>
          <w:color w:val="111111"/>
          <w:sz w:val="28"/>
          <w:szCs w:val="28"/>
          <w:rtl w:val="true"/>
          <w:lang w:bidi="fa-IR"/>
        </w:rPr>
        <w:t>»</w:t>
      </w:r>
      <w:r>
        <w:rPr>
          <w:rStyle w:val="FootnoteAnchor"/>
          <w:rtl w:val="true"/>
        </w:rPr>
        <w:footnoteReference w:id="2326"/>
      </w:r>
      <w:r>
        <w:rPr>
          <w:rFonts w:ascii="IRNazanin" w:hAnsi="IRNazanin" w:eastAsia="IRNazanin"/>
          <w:color w:val="111111"/>
          <w:sz w:val="28"/>
          <w:sz w:val="28"/>
          <w:szCs w:val="28"/>
          <w:rtl w:val="true"/>
          <w:lang w:bidi="fa-IR"/>
        </w:rPr>
        <w:t>، و غیرها</w:t>
      </w:r>
      <w:r>
        <w:rPr>
          <w:rStyle w:val="FootnoteAnchor"/>
          <w:rtl w:val="true"/>
        </w:rPr>
        <w:footnoteReference w:id="2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الدلالة ظاهرة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جاء فی الجواهر ردّاً علی من قال بجواز وقف الصبیّ إذا بلغ عشر 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ینافی ذلک جواز وصیّته و لو بالوقوف للنصوص المعمول بها بین معظم الأصحاب</w:t>
      </w:r>
      <w:r>
        <w:rPr>
          <w:rFonts w:eastAsia="IRNazanin" w:cs="IRNazanin"/>
          <w:color w:val="111111"/>
          <w:sz w:val="28"/>
          <w:szCs w:val="28"/>
          <w:rtl w:val="true"/>
          <w:lang w:bidi="fa-IR"/>
        </w:rPr>
        <w:t>»</w:t>
      </w:r>
      <w:r>
        <w:rPr>
          <w:rStyle w:val="FootnoteAnchor"/>
          <w:rtl w:val="true"/>
        </w:rPr>
        <w:footnoteReference w:id="2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مقتضی إطلاق أدلّة صحّة الوصیّة الشمول للوصیّة بالوقف</w:t>
      </w:r>
      <w:r>
        <w:rPr>
          <w:rFonts w:eastAsia="IRNazanin" w:cs="IRNazanin"/>
          <w:color w:val="111111"/>
          <w:sz w:val="28"/>
          <w:szCs w:val="28"/>
          <w:rtl w:val="true"/>
          <w:lang w:bidi="fa-IR"/>
        </w:rPr>
        <w:t>»</w:t>
      </w:r>
      <w:r>
        <w:rPr>
          <w:rStyle w:val="FootnoteAnchor"/>
          <w:rtl w:val="true"/>
        </w:rPr>
        <w:footnoteReference w:id="2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التوقّف، و هو للمحقّق السبزواری رحمه الله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ینعقد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الصبیّ غیر الممیّز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من بلغ عشراً تردّد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المسألة محلّ إشکال</w:t>
      </w:r>
      <w:r>
        <w:rPr>
          <w:rFonts w:eastAsia="IRNazanin" w:cs="IRNazanin"/>
          <w:color w:val="111111"/>
          <w:sz w:val="28"/>
          <w:szCs w:val="28"/>
          <w:rtl w:val="true"/>
          <w:lang w:bidi="fa-IR"/>
        </w:rPr>
        <w:t>»</w:t>
      </w:r>
      <w:r>
        <w:rPr>
          <w:rStyle w:val="FootnoteAnchor"/>
          <w:rtl w:val="true"/>
        </w:rPr>
        <w:footnoteReference w:id="2330"/>
      </w:r>
      <w:r>
        <w:rPr>
          <w:rFonts w:ascii="IRNazanin" w:hAnsi="IRNazanin" w:eastAsia="IRNazanin"/>
          <w:color w:val="111111"/>
          <w:sz w:val="28"/>
          <w:sz w:val="28"/>
          <w:szCs w:val="28"/>
          <w:rtl w:val="true"/>
          <w:lang w:bidi="fa-IR"/>
        </w:rPr>
        <w:t>، و منشأ الإشکال أدلّة القولین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وقف الصبیّ إذا کان بإذن الولیّ مع رعایة المصلحة</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الخوئی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کان وقف الصبیّ بإذن الولیّ و کان ذا مصلحة</w:t>
      </w:r>
      <w:bookmarkStart w:id="636" w:name="pg11757_135816"/>
    </w:p>
    <w:p>
      <w:pPr>
        <w:pStyle w:val="BookText"/>
        <w:rPr/>
      </w:pPr>
      <w:bookmarkEnd w:id="636"/>
      <w:r>
        <w:rPr>
          <w:rFonts w:ascii="IRNazanin" w:hAnsi="IRNazanin" w:eastAsia="IRNazanin"/>
          <w:color w:val="111111"/>
          <w:sz w:val="28"/>
          <w:sz w:val="28"/>
          <w:szCs w:val="28"/>
          <w:rtl w:val="true"/>
          <w:lang w:bidi="fa-IR"/>
        </w:rPr>
        <w:t>ففی بطلانه إشکال، و الأظهر الصحّة</w:t>
      </w:r>
      <w:r>
        <w:rPr>
          <w:rFonts w:eastAsia="IRNazanin" w:cs="IRNazanin"/>
          <w:color w:val="111111"/>
          <w:sz w:val="28"/>
          <w:szCs w:val="28"/>
          <w:rtl w:val="true"/>
          <w:lang w:bidi="fa-IR"/>
        </w:rPr>
        <w:t>»</w:t>
      </w:r>
      <w:r>
        <w:rPr>
          <w:rStyle w:val="FootnoteAnchor"/>
          <w:rtl w:val="true"/>
        </w:rPr>
        <w:footnoteReference w:id="2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تدلّ علیه الأدلّة التی تدلّ علی جواز تصرّفات الصبیّ إذا کان بإذن الولیّ مع رعایة المصلحة الکلّیّة؛ لأنّ الوقف منه أحد تصرّفاته کبیعه و شرائه و إجارته، قد تقدّمت</w:t>
      </w:r>
      <w:r>
        <w:rPr>
          <w:rStyle w:val="FootnoteAnchor"/>
          <w:rtl w:val="true"/>
        </w:rPr>
        <w:footnoteReference w:id="2332"/>
      </w:r>
      <w:r>
        <w:rPr>
          <w:rFonts w:ascii="IRNazanin" w:hAnsi="IRNazanin" w:eastAsia="IRNazanin"/>
          <w:color w:val="111111"/>
          <w:sz w:val="28"/>
          <w:sz w:val="28"/>
          <w:szCs w:val="28"/>
          <w:rtl w:val="true"/>
          <w:lang w:bidi="fa-IR"/>
        </w:rPr>
        <w:t>فی مبحث البیع فلا نعیدها</w:t>
      </w:r>
      <w:r>
        <w:rPr>
          <w:rFonts w:eastAsia="IRNazanin" w:cs="IRNazanin"/>
          <w:color w:val="111111"/>
          <w:sz w:val="28"/>
          <w:szCs w:val="28"/>
          <w:rtl w:val="true"/>
          <w:lang w:bidi="fa-IR"/>
        </w:rPr>
        <w:t>.</w:t>
      </w:r>
    </w:p>
    <w:p>
      <w:pPr>
        <w:pStyle w:val="Heading5"/>
        <w:numPr>
          <w:ilvl w:val="4"/>
          <w:numId w:val="1"/>
        </w:numPr>
        <w:rPr/>
      </w:pPr>
      <w:bookmarkStart w:id="637" w:name="__RefHeading___Toc9696985_73709187"/>
      <w:bookmarkStart w:id="638" w:name="_Toc236"/>
      <w:bookmarkEnd w:id="637"/>
      <w:r>
        <w:rPr>
          <w:rtl w:val="true"/>
        </w:rPr>
        <w:t>وقف الصبیّ عند أهل السنّة</w:t>
      </w:r>
      <w:bookmarkEnd w:id="638"/>
    </w:p>
    <w:p>
      <w:pPr>
        <w:pStyle w:val="BookText"/>
        <w:rPr/>
      </w:pPr>
      <w:r>
        <w:rPr>
          <w:rFonts w:ascii="IRNazanin" w:hAnsi="IRNazanin" w:eastAsia="IRNazanin"/>
          <w:color w:val="111111"/>
          <w:sz w:val="28"/>
          <w:sz w:val="28"/>
          <w:szCs w:val="28"/>
          <w:rtl w:val="true"/>
          <w:lang w:bidi="fa-IR"/>
        </w:rPr>
        <w:t>إنّهم اتّفقوا علی اعتبار کون الواقف جائز التصرّف غیر مسلوب العبارة، و یستفاد من کلماتهم عدم صحّة وقف الصبیّ و إن کان ممیّزاً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مغنی المحتاج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شرط الواقف صحّة عبارته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وقفهما</w:t>
      </w:r>
      <w:r>
        <w:rPr>
          <w:rFonts w:eastAsia="IRNazanin" w:cs="IRNazanin"/>
          <w:color w:val="111111"/>
          <w:sz w:val="28"/>
          <w:szCs w:val="28"/>
          <w:rtl w:val="true"/>
          <w:lang w:bidi="fa-IR"/>
        </w:rPr>
        <w:t>»</w:t>
      </w:r>
      <w:r>
        <w:rPr>
          <w:rStyle w:val="FootnoteAnchor"/>
          <w:rtl w:val="true"/>
        </w:rPr>
        <w:footnoteReference w:id="2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الصبیّ و المجنون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روضة الطالبین</w:t>
      </w:r>
      <w:r>
        <w:rPr>
          <w:rStyle w:val="FootnoteAnchor"/>
          <w:rtl w:val="true"/>
        </w:rPr>
        <w:footnoteReference w:id="2334"/>
      </w:r>
      <w:r>
        <w:rPr>
          <w:rFonts w:ascii="IRNazanin" w:hAnsi="IRNazanin" w:eastAsia="IRNazanin"/>
          <w:color w:val="111111"/>
          <w:sz w:val="28"/>
          <w:sz w:val="28"/>
          <w:szCs w:val="28"/>
          <w:rtl w:val="true"/>
          <w:lang w:bidi="fa-IR"/>
        </w:rPr>
        <w:t>و إعانة الطالبین</w:t>
      </w:r>
      <w:r>
        <w:rPr>
          <w:rStyle w:val="FootnoteAnchor"/>
          <w:rtl w:val="true"/>
        </w:rPr>
        <w:footnoteReference w:id="2335"/>
      </w:r>
      <w:r>
        <w:rPr>
          <w:rFonts w:ascii="IRNazanin" w:hAnsi="IRNazanin" w:eastAsia="IRNazanin"/>
          <w:color w:val="111111"/>
          <w:sz w:val="28"/>
          <w:sz w:val="28"/>
          <w:szCs w:val="28"/>
          <w:rtl w:val="true"/>
          <w:lang w:bidi="fa-IR"/>
        </w:rPr>
        <w:t>و الذخیرة</w:t>
      </w:r>
      <w:r>
        <w:rPr>
          <w:rStyle w:val="FootnoteAnchor"/>
          <w:rtl w:val="true"/>
        </w:rPr>
        <w:footnoteReference w:id="2336"/>
      </w:r>
      <w:r>
        <w:rPr>
          <w:rFonts w:ascii="IRNazanin" w:hAnsi="IRNazanin" w:eastAsia="IRNazanin"/>
          <w:color w:val="111111"/>
          <w:sz w:val="28"/>
          <w:sz w:val="28"/>
          <w:szCs w:val="28"/>
          <w:rtl w:val="true"/>
          <w:lang w:bidi="fa-IR"/>
        </w:rPr>
        <w:t>و غیرها</w:t>
      </w:r>
      <w:r>
        <w:rPr>
          <w:rStyle w:val="FootnoteAnchor"/>
          <w:rtl w:val="true"/>
        </w:rPr>
        <w:footnoteReference w:id="2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البدائع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الذی یرجع إلی الواقف فأنواع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 منها</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البلوغ، فلا یصحّ الوقف من الصبیّ و المجنون؛ لأنّ الوقف من التصرّفات الضارّة لکونه إزالة الملک بغیر عوض، و الصبیّ و المجنون لیسا من أهل التصرّفات الضارّة، و لهذا لا تصحّ منهما الهبة و الصدقة و الإعتاق و نحو ذلک</w:t>
      </w:r>
      <w:r>
        <w:rPr>
          <w:rFonts w:eastAsia="IRNazanin" w:cs="IRNazanin"/>
          <w:color w:val="111111"/>
          <w:sz w:val="28"/>
          <w:szCs w:val="28"/>
          <w:rtl w:val="true"/>
          <w:lang w:bidi="fa-IR"/>
        </w:rPr>
        <w:t>»</w:t>
      </w:r>
      <w:r>
        <w:rPr>
          <w:rStyle w:val="FootnoteAnchor"/>
          <w:rtl w:val="true"/>
        </w:rPr>
        <w:footnoteReference w:id="2338"/>
      </w:r>
      <w:r>
        <w:rPr>
          <w:rFonts w:eastAsia="Times New Roman" w:cs="Times New Roman" w:ascii="Times New Roman" w:hAnsi="Times New Roman"/>
          <w:color w:val="111111"/>
          <w:sz w:val="28"/>
          <w:szCs w:val="28"/>
          <w:rtl w:val="true"/>
          <w:lang w:val="en-US" w:bidi="en-US"/>
        </w:rPr>
        <w:t>.</w:t>
      </w:r>
      <w:bookmarkStart w:id="639" w:name="pg11757_135817"/>
    </w:p>
    <w:p>
      <w:pPr>
        <w:pStyle w:val="Heading4"/>
        <w:numPr>
          <w:ilvl w:val="3"/>
          <w:numId w:val="1"/>
        </w:numPr>
        <w:rPr/>
      </w:pPr>
      <w:bookmarkStart w:id="640" w:name="__RefHeading___Toc9696987_73709187"/>
      <w:bookmarkStart w:id="641" w:name="_Toc237"/>
      <w:bookmarkEnd w:id="639"/>
      <w:bookmarkEnd w:id="640"/>
      <w:r>
        <w:rPr>
          <w:rtl w:val="true"/>
        </w:rPr>
        <w:t>المبحث الثانی</w:t>
      </w:r>
      <w:r>
        <w:rPr>
          <w:rtl w:val="true"/>
        </w:rPr>
        <w:t xml:space="preserve">: </w:t>
      </w:r>
      <w:r>
        <w:rPr>
          <w:rtl w:val="true"/>
        </w:rPr>
        <w:t>صدقة الصبیّ‌</w:t>
      </w:r>
      <w:bookmarkEnd w:id="641"/>
    </w:p>
    <w:p>
      <w:pPr>
        <w:pStyle w:val="Heading5"/>
        <w:numPr>
          <w:ilvl w:val="4"/>
          <w:numId w:val="1"/>
        </w:numPr>
        <w:rPr/>
      </w:pPr>
      <w:bookmarkStart w:id="642" w:name="__RefHeading___Toc9696989_73709187"/>
      <w:bookmarkStart w:id="643" w:name="_Toc238"/>
      <w:bookmarkEnd w:id="642"/>
      <w:r>
        <w:rPr>
          <w:rtl w:val="true"/>
        </w:rPr>
        <w:t>اشارة</w:t>
      </w:r>
      <w:bookmarkEnd w:id="643"/>
    </w:p>
    <w:p>
      <w:pPr>
        <w:pStyle w:val="BookText"/>
        <w:rPr/>
      </w:pPr>
      <w:r>
        <w:rPr>
          <w:rFonts w:ascii="IRNazanin" w:hAnsi="IRNazanin" w:eastAsia="IRNazanin"/>
          <w:color w:val="111111"/>
          <w:sz w:val="28"/>
          <w:sz w:val="28"/>
          <w:szCs w:val="28"/>
          <w:rtl w:val="true"/>
          <w:lang w:bidi="fa-IR"/>
        </w:rPr>
        <w:t xml:space="preserve">الصدقة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یعطی علی وجه التقرّب إلی اللّه تعالی، جاء فی 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أعطیته فی ذات اللّه للفقراء</w:t>
      </w:r>
      <w:r>
        <w:rPr>
          <w:rFonts w:eastAsia="IRNazanin" w:cs="IRNazanin"/>
          <w:color w:val="111111"/>
          <w:sz w:val="28"/>
          <w:szCs w:val="28"/>
          <w:rtl w:val="true"/>
          <w:lang w:bidi="fa-IR"/>
        </w:rPr>
        <w:t>»</w:t>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المفردات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یخرجه الإنسان من ماله علی وجه القربة کالزکاة، لکن الصدقة فی الأصل تقال للمتطوّع به و الزکاة للواجب</w:t>
      </w:r>
      <w:r>
        <w:rPr>
          <w:rFonts w:eastAsia="IRNazanin" w:cs="IRNazanin"/>
          <w:color w:val="111111"/>
          <w:sz w:val="28"/>
          <w:szCs w:val="28"/>
          <w:rtl w:val="true"/>
          <w:lang w:bidi="fa-IR"/>
        </w:rPr>
        <w:t>»</w:t>
      </w:r>
      <w:r>
        <w:rPr>
          <w:rStyle w:val="FootnoteAnchor"/>
          <w:rtl w:val="true"/>
        </w:rPr>
        <w:footnoteReference w:id="2340"/>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الغالب عند الفقهاء استعمال هذه الکلمة فی صدقة التطوّع خاصّةً، و قد تطلق الصدقة علی کلّ نوع من المعروف، و من ذلک قول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معروف صدقة</w:t>
      </w:r>
      <w:r>
        <w:rPr>
          <w:rFonts w:eastAsia="IRNazanin" w:cs="IRNazanin"/>
          <w:color w:val="111111"/>
          <w:sz w:val="28"/>
          <w:szCs w:val="28"/>
          <w:rtl w:val="true"/>
          <w:lang w:bidi="fa-IR"/>
        </w:rPr>
        <w:t>»</w:t>
      </w:r>
      <w:r>
        <w:rPr>
          <w:rStyle w:val="FootnoteAnchor"/>
          <w:rtl w:val="true"/>
        </w:rPr>
        <w:footnoteReference w:id="2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الصدقة أنواع</w:t>
      </w:r>
      <w:r>
        <w:rPr>
          <w:rStyle w:val="FootnoteAnchor"/>
          <w:rtl w:val="true"/>
        </w:rPr>
        <w:footnoteReference w:id="2342"/>
      </w:r>
      <w:r>
        <w:rPr>
          <w:rFonts w:ascii="Amiri" w:hAnsi="Amiri" w:eastAsia="Amiri" w:cs="Amiri"/>
          <w:color w:val="111111"/>
          <w:sz w:val="28"/>
          <w:sz w:val="28"/>
          <w:szCs w:val="28"/>
          <w:rtl w:val="true"/>
          <w:lang w:bidi="ar-SA"/>
        </w:rPr>
        <w:t>، و المقصود بالبحث هنا صدقة التطوّع التی حثّ علی فعلها فی کثیر من آیات القرآن الکریم، کقوله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أَنْفِقُوا مِمّا جَعَلَکُمْ مُسْتَخْلَفِینَ فِیهِ فَالَّذِینَ آمَنُوا مِنْکُمْ وَ أَنْفَقُوا لَهُمْ أَجْرٌ کَبِیرٌ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تُقَدِّمُوا لِأَنْفُسِکُمْ مِنْ خَیْرٍ تَجِدُوهُ عِنْدَ اللّهِ هُوَ خَیْراً وَ أَعْظَمَ أَجْراً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غیرها من الآیات المبارکة</w:t>
      </w:r>
      <w:r>
        <w:rPr>
          <w:rStyle w:val="FootnoteAnchor"/>
          <w:rtl w:val="true"/>
        </w:rPr>
        <w:footnoteReference w:id="2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تواترت النصوص علی ندبها خصوصاً فی أوقات مخصوصة، کالجمعة</w:t>
      </w:r>
      <w:r>
        <w:rPr>
          <w:rStyle w:val="FootnoteAnchor"/>
          <w:rtl w:val="true"/>
        </w:rPr>
        <w:footnoteReference w:id="2344"/>
      </w:r>
      <w:r>
        <w:rPr>
          <w:rFonts w:ascii="Amiri" w:hAnsi="Amiri" w:eastAsia="Amiri" w:cs="Amiri"/>
          <w:color w:val="111111"/>
          <w:sz w:val="28"/>
          <w:sz w:val="28"/>
          <w:szCs w:val="28"/>
          <w:rtl w:val="true"/>
          <w:lang w:bidi="ar-SA"/>
        </w:rPr>
        <w:t>و عرفة</w:t>
      </w:r>
      <w:r>
        <w:rPr>
          <w:rStyle w:val="FootnoteAnchor"/>
          <w:rtl w:val="true"/>
        </w:rPr>
        <w:footnoteReference w:id="2345"/>
      </w:r>
      <w:r>
        <w:rPr>
          <w:rFonts w:ascii="IRNazanin" w:hAnsi="IRNazanin" w:eastAsia="IRNazanin"/>
          <w:color w:val="111111"/>
          <w:sz w:val="28"/>
          <w:sz w:val="28"/>
          <w:szCs w:val="28"/>
          <w:rtl w:val="true"/>
          <w:lang w:bidi="fa-IR"/>
        </w:rPr>
        <w:t>و شهر رمضان</w:t>
      </w:r>
      <w:r>
        <w:rPr>
          <w:rStyle w:val="FootnoteAnchor"/>
          <w:rtl w:val="true"/>
        </w:rPr>
        <w:footnoteReference w:id="2346"/>
      </w:r>
      <w:r>
        <w:rPr>
          <w:rFonts w:ascii="IRNazanin" w:hAnsi="IRNazanin" w:eastAsia="IRNazanin"/>
          <w:color w:val="111111"/>
          <w:sz w:val="28"/>
          <w:sz w:val="28"/>
          <w:szCs w:val="28"/>
          <w:rtl w:val="true"/>
          <w:lang w:bidi="fa-IR"/>
        </w:rPr>
        <w:t>، و علی طوائف مخصوصةً کالأرحام</w:t>
      </w:r>
      <w:r>
        <w:rPr>
          <w:rStyle w:val="FootnoteAnchor"/>
          <w:rtl w:val="true"/>
        </w:rPr>
        <w:footnoteReference w:id="2347"/>
      </w:r>
      <w:r>
        <w:rPr>
          <w:rFonts w:ascii="IRNazanin" w:hAnsi="IRNazanin" w:eastAsia="IRNazanin"/>
          <w:color w:val="111111"/>
          <w:sz w:val="28"/>
          <w:sz w:val="28"/>
          <w:szCs w:val="28"/>
          <w:rtl w:val="true"/>
          <w:lang w:bidi="fa-IR"/>
        </w:rPr>
        <w:t>، و هی کثیرة نذکر انموذجاً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لصدقة تدفع میتة السوء</w:t>
      </w:r>
      <w:r>
        <w:rPr>
          <w:rFonts w:eastAsia="IRNazanin" w:cs="IRNazanin"/>
          <w:color w:val="111111"/>
          <w:sz w:val="28"/>
          <w:szCs w:val="28"/>
          <w:rtl w:val="true"/>
          <w:lang w:bidi="fa-IR"/>
        </w:rPr>
        <w:t>»</w:t>
      </w:r>
      <w:r>
        <w:rPr>
          <w:rStyle w:val="FootnoteAnchor"/>
          <w:rtl w:val="true"/>
        </w:rPr>
        <w:footnoteReference w:id="2348"/>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داووا مرضاکم بالصدقة</w:t>
      </w:r>
      <w:r>
        <w:rPr>
          <w:rFonts w:eastAsia="IRNazanin" w:cs="IRNazanin"/>
          <w:color w:val="111111"/>
          <w:sz w:val="28"/>
          <w:szCs w:val="28"/>
          <w:rtl w:val="true"/>
          <w:lang w:bidi="fa-IR"/>
        </w:rPr>
        <w:t>»</w:t>
      </w:r>
      <w:r>
        <w:rPr>
          <w:rStyle w:val="FootnoteAnchor"/>
          <w:rtl w:val="true"/>
        </w:rPr>
        <w:footnoteReference w:id="2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زرارة عن الصادق علیه السلام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استنزلوا الرزق بالصدقة، مَنْ أیقن بالخلف جاد بالعطیّة</w:t>
      </w:r>
      <w:r>
        <w:rPr>
          <w:rFonts w:eastAsia="IRNazanin" w:cs="IRNazanin"/>
          <w:color w:val="111111"/>
          <w:sz w:val="28"/>
          <w:szCs w:val="28"/>
          <w:rtl w:val="true"/>
          <w:lang w:bidi="fa-IR"/>
        </w:rPr>
        <w:t>»</w:t>
      </w:r>
      <w:r>
        <w:rPr>
          <w:rStyle w:val="FootnoteAnchor"/>
          <w:rtl w:val="true"/>
        </w:rPr>
        <w:footnoteReference w:id="2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 و الصّدقة ینفیان الفقر و یزیدان فی العمر</w:t>
      </w:r>
      <w:r>
        <w:rPr>
          <w:rFonts w:eastAsia="IRNazanin" w:cs="IRNazanin"/>
          <w:color w:val="111111"/>
          <w:sz w:val="28"/>
          <w:szCs w:val="28"/>
          <w:rtl w:val="true"/>
          <w:lang w:bidi="fa-IR"/>
        </w:rPr>
        <w:t>»</w:t>
      </w:r>
      <w:r>
        <w:rPr>
          <w:rStyle w:val="FootnoteAnchor"/>
          <w:rtl w:val="true"/>
        </w:rPr>
        <w:footnoteReference w:id="2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فی ثواب الأعمال عن جابر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علیّ بن أبی طالب علیه السلام تصدّقت یوماً بدینارٍ فقال لی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یا علیّ، أنّ صدقة المؤمن لا تخرج من یده حتّی یفکّ عنها من لحی سبعین شیطاناً کلّهم یأمره بأن لا یفعل، و ما تقع فی ید السّائل حتّی تقع فی ید الرّب جلّ جلاله، ثمّ تلا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یَعْلَمُوا أَنَّ اللّهَ هُوَ یَقْبَلُ التَّوْبَةَ عَنْ عِبادِهِ وَ یَأْخُذُ الصَّدَقاتِ وَ أَنَّ اللّهَ هُوَ التَّوّابُ الرَّحِیمُ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قد حثَّ فی الروایات أن یأمر الآباء أطفالهم بأن یتصدّقوا،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الکافی عن محمّد بن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 أبا الحسن الرّضا علیه السلام إنّی اصِبتُ بابنین و بقی لی بنی صغیر،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حین حضر قیامی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الصبیّ فلیتصدّق بیده بالکسرة و القبضة و الشیء و إن قلّ</w:t>
      </w:r>
      <w:r>
        <w:rPr>
          <w:rFonts w:eastAsia="IRNazanin" w:cs="IRNazanin"/>
          <w:color w:val="111111"/>
          <w:sz w:val="28"/>
          <w:szCs w:val="28"/>
          <w:rtl w:val="true"/>
          <w:lang w:bidi="fa-IR"/>
        </w:rPr>
        <w:t>»</w:t>
      </w:r>
      <w:r>
        <w:rPr>
          <w:rStyle w:val="FootnoteAnchor"/>
          <w:rtl w:val="true"/>
        </w:rPr>
        <w:footnoteReference w:id="2352"/>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علیه السلام لإسماعیل بن محمّد، و ذکر له ابنه</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فمره أن یتصدّق و لو بالکسرة من الخبز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من بنی إسرائیل کان له ابن و کان له محبّاً، فاُتی فی منامه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ابنک لیلة یدخل بأهله یموت،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تلک اللیلة و بنی علیه أبوه فتوقّع أبوه ذلک، فأصبح ابنه سلیماً، فأتاه أبوه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هل عملت البارحة شیئاً من الخیر؟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سائلاً أتی الباب و قد کانوا ادّخروا لی طعاماً فأعطیته السائل،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دفع اللّه عنک</w:t>
      </w:r>
      <w:r>
        <w:rPr>
          <w:rFonts w:eastAsia="IRNazanin" w:cs="IRNazanin"/>
          <w:color w:val="111111"/>
          <w:sz w:val="28"/>
          <w:szCs w:val="28"/>
          <w:rtl w:val="true"/>
          <w:lang w:bidi="fa-IR"/>
        </w:rPr>
        <w:t>»</w:t>
      </w:r>
      <w:r>
        <w:rPr>
          <w:rStyle w:val="FootnoteAnchor"/>
          <w:rtl w:val="true"/>
        </w:rPr>
        <w:footnoteReference w:id="2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جواز صدقة الصبیّ الممیّز و عدمه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صدقة الصبیّ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إدریس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تقتضیه اصول مذهبنا أنّ وصیّة غیر المکلّف البالغ غیر صحیحة، و لا ممضاة، سواء کانت فی وجوه البرّ، أو غیر وجوه البرّ، و کذلک صدقته و عتقه وهبته</w:t>
      </w:r>
      <w:r>
        <w:rPr>
          <w:rFonts w:eastAsia="IRNazanin" w:cs="IRNazanin"/>
          <w:color w:val="111111"/>
          <w:sz w:val="28"/>
          <w:szCs w:val="28"/>
          <w:rtl w:val="true"/>
          <w:lang w:bidi="fa-IR"/>
        </w:rPr>
        <w:t>»</w:t>
      </w:r>
      <w:r>
        <w:rPr>
          <w:rStyle w:val="FootnoteAnchor"/>
          <w:rtl w:val="true"/>
        </w:rPr>
        <w:footnoteReference w:id="2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یستظهر ذلک من کلام المحقّق حیث یقول فی باب الوقف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وقف من بلغ عشراً تردّد، و المرویّ جواز صدقته، و الأولی المنع</w:t>
      </w:r>
      <w:r>
        <w:rPr>
          <w:rFonts w:eastAsia="IRNazanin" w:cs="IRNazanin"/>
          <w:color w:val="111111"/>
          <w:sz w:val="28"/>
          <w:szCs w:val="28"/>
          <w:rtl w:val="true"/>
          <w:lang w:bidi="fa-IR"/>
        </w:rPr>
        <w:t>»</w:t>
      </w:r>
      <w:r>
        <w:rPr>
          <w:rStyle w:val="FootnoteAnchor"/>
          <w:rtl w:val="true"/>
        </w:rPr>
        <w:footnoteReference w:id="2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بمثله قال العلّامة فی بعض کتبه</w:t>
      </w:r>
      <w:r>
        <w:rPr>
          <w:rStyle w:val="FootnoteAnchor"/>
          <w:rtl w:val="true"/>
        </w:rPr>
        <w:footnoteReference w:id="2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التحریر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یصحّ وقف الصبیّ، و لو بلغ عشراً ففی نفوذ وقفه إشکال ینشأ من عدم البلوغ المنوط به الأحکام، و من دلالة الروایة علی الصّدقة، و الوقف نوع منها، و الأقرب عندی المنع</w:t>
      </w:r>
      <w:r>
        <w:rPr>
          <w:rFonts w:eastAsia="IRNazanin" w:cs="IRNazanin"/>
          <w:color w:val="111111"/>
          <w:sz w:val="28"/>
          <w:szCs w:val="28"/>
          <w:rtl w:val="true"/>
          <w:lang w:bidi="fa-IR"/>
        </w:rPr>
        <w:t>»</w:t>
      </w:r>
      <w:r>
        <w:rPr>
          <w:rStyle w:val="FootnoteAnchor"/>
          <w:rtl w:val="true"/>
        </w:rPr>
        <w:footnoteReference w:id="2357"/>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 ذلک أیضاً من کلمات المحقّق الثانی رحمه الله قال فی باب الوکالة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bookmarkStart w:id="644" w:name="pg11757_135821"/>
    </w:p>
    <w:p>
      <w:pPr>
        <w:pStyle w:val="BookText"/>
        <w:rPr/>
      </w:pPr>
      <w:bookmarkEnd w:id="644"/>
      <w:r>
        <w:rPr>
          <w:rFonts w:ascii="IRNazanin" w:hAnsi="IRNazanin" w:eastAsia="IRNazanin"/>
          <w:color w:val="111111"/>
          <w:sz w:val="28"/>
          <w:sz w:val="28"/>
          <w:szCs w:val="28"/>
          <w:rtl w:val="true"/>
          <w:lang w:bidi="fa-IR"/>
        </w:rPr>
        <w:t>یصحّ توکیل الصبیّ علی حال فی شیء من التصرّفات؛ لأنّه لا یملک مباشرة التصرّف فی شیء، سواء کان ممیّزاً أم لا، و سواء بلغ عشراً أم لا</w:t>
      </w:r>
      <w:r>
        <w:rPr>
          <w:rFonts w:eastAsia="IRNazanin" w:cs="IRNazanin"/>
          <w:color w:val="111111"/>
          <w:sz w:val="28"/>
          <w:szCs w:val="28"/>
          <w:rtl w:val="true"/>
          <w:lang w:bidi="fa-IR"/>
        </w:rPr>
        <w:t>»</w:t>
      </w:r>
      <w:r>
        <w:rPr>
          <w:rStyle w:val="FootnoteAnchor"/>
          <w:rtl w:val="true"/>
        </w:rPr>
        <w:footnoteReference w:id="2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کتاب الوصیّة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المشهور بین الأصحاب تجویز تصرّف الصبیّ فی المعروف و إن اختلفوا فی تعیین ذلک و شروطه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المناسب لاُصول المذهب و طریقة الاحتیاط القول بعدم الجواز</w:t>
      </w:r>
      <w:r>
        <w:rPr>
          <w:rFonts w:eastAsia="IRNazanin" w:cs="IRNazanin"/>
          <w:color w:val="111111"/>
          <w:sz w:val="28"/>
          <w:szCs w:val="28"/>
          <w:rtl w:val="true"/>
          <w:lang w:bidi="fa-IR"/>
        </w:rPr>
        <w:t>»</w:t>
      </w:r>
      <w:r>
        <w:rPr>
          <w:rStyle w:val="FootnoteAnchor"/>
          <w:rtl w:val="true"/>
        </w:rPr>
        <w:footnoteReference w:id="2359"/>
      </w:r>
      <w:r>
        <w:rPr>
          <w:rFonts w:ascii="IRNazanin" w:hAnsi="IRNazanin" w:eastAsia="IRNazanin"/>
          <w:color w:val="111111"/>
          <w:sz w:val="28"/>
          <w:sz w:val="28"/>
          <w:szCs w:val="28"/>
          <w:rtl w:val="true"/>
          <w:lang w:bidi="fa-IR"/>
        </w:rPr>
        <w:t>، و اختاره الشهید الثانی</w:t>
      </w:r>
      <w:r>
        <w:rPr>
          <w:rStyle w:val="FootnoteAnchor"/>
          <w:rtl w:val="true"/>
        </w:rPr>
        <w:footnoteReference w:id="2360"/>
      </w:r>
      <w:r>
        <w:rPr>
          <w:rFonts w:ascii="IRNazanin" w:hAnsi="IRNazanin" w:eastAsia="IRNazanin"/>
          <w:color w:val="111111"/>
          <w:sz w:val="28"/>
          <w:sz w:val="28"/>
          <w:szCs w:val="28"/>
          <w:rtl w:val="true"/>
          <w:lang w:bidi="fa-IR"/>
        </w:rPr>
        <w:t>و الصیمری</w:t>
      </w:r>
      <w:r>
        <w:rPr>
          <w:rStyle w:val="FootnoteAnchor"/>
          <w:rtl w:val="true"/>
        </w:rPr>
        <w:footnoteReference w:id="2361"/>
      </w:r>
      <w:r>
        <w:rPr>
          <w:rFonts w:ascii="IRNazanin" w:hAnsi="IRNazanin" w:eastAsia="IRNazanin"/>
          <w:color w:val="111111"/>
          <w:sz w:val="28"/>
          <w:sz w:val="28"/>
          <w:szCs w:val="28"/>
          <w:rtl w:val="true"/>
          <w:lang w:bidi="fa-IR"/>
        </w:rPr>
        <w:t>، و کذا فی تحریر الوسیلة</w:t>
      </w:r>
      <w:r>
        <w:rPr>
          <w:rStyle w:val="FootnoteAnchor"/>
          <w:rtl w:val="true"/>
        </w:rPr>
        <w:footnoteReference w:id="2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الصبیّ البالغ عشراً فالظاهر أنّه لا تصحّ صدقته مطلقاً و إن قلنا بصحّة وصیّته فی هذه الصورة؛ لعدم الملازمة و بطلان القیاس</w:t>
      </w:r>
      <w:r>
        <w:rPr>
          <w:rFonts w:eastAsia="IRNazanin" w:cs="IRNazanin"/>
          <w:color w:val="111111"/>
          <w:sz w:val="28"/>
          <w:szCs w:val="28"/>
          <w:rtl w:val="true"/>
          <w:lang w:bidi="fa-IR"/>
        </w:rPr>
        <w:t>»</w:t>
      </w:r>
      <w:r>
        <w:rPr>
          <w:rStyle w:val="FootnoteAnchor"/>
          <w:rtl w:val="true"/>
        </w:rPr>
        <w:footnoteReference w:id="23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5" w:name="__RefHeading___Toc9696991_73709187"/>
      <w:bookmarkStart w:id="646" w:name="_Toc239"/>
      <w:bookmarkEnd w:id="645"/>
      <w:r>
        <w:rPr>
          <w:rtl w:val="true"/>
        </w:rPr>
        <w:t>أدلّة عدم صحّة صدقة الصبیّ‌</w:t>
      </w:r>
      <w:bookmarkEnd w:id="646"/>
    </w:p>
    <w:p>
      <w:pPr>
        <w:pStyle w:val="BookText"/>
        <w:rPr/>
      </w:pPr>
      <w:r>
        <w:rPr>
          <w:rFonts w:ascii="IRNazanin" w:hAnsi="IRNazanin" w:eastAsia="IRNazanin"/>
          <w:color w:val="111111"/>
          <w:sz w:val="28"/>
          <w:sz w:val="28"/>
          <w:szCs w:val="28"/>
          <w:rtl w:val="true"/>
          <w:lang w:bidi="fa-IR"/>
        </w:rPr>
        <w:t>و استدلّ لذلک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ابْتَلُوا الْیَتامی حَتّی إِذا بَلَغُوا النِّکاحَ فَإِنْ آنَسْتُمْ مِنْهُمْ رُشْداً فَادْفَعُوا إِلَیْهِمْ أَمْوالَهُمْ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فأمرنا بدفع الأموال إلیهم بعد البلوغ، و هو فی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الاحتلام أو الإنبات أو خمس عشرة سنة، و فی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الاحتلام أیضاً أو الإنبات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حدّه</w:t>
      </w:r>
    </w:p>
    <w:p>
      <w:pPr>
        <w:pStyle w:val="BookText"/>
        <w:rPr/>
      </w:pPr>
      <w:r>
        <w:rPr>
          <w:rFonts w:ascii="IRNazanin" w:hAnsi="IRNazanin" w:eastAsia="IRNazanin"/>
          <w:color w:val="111111"/>
          <w:sz w:val="28"/>
          <w:sz w:val="28"/>
          <w:szCs w:val="28"/>
          <w:rtl w:val="true"/>
          <w:lang w:bidi="fa-IR"/>
        </w:rPr>
        <w:t>أن یکون مصلحاً لماله، مصلحاً لدینه، کما فی السرائر</w:t>
      </w:r>
      <w:r>
        <w:rPr>
          <w:rStyle w:val="FootnoteAnchor"/>
          <w:rtl w:val="true"/>
        </w:rPr>
        <w:footnoteReference w:id="2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أمر الصبیّ لا ینفذ للروایات الدالّة علی ذلک،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حمران و فی ذیلها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الغلام لا یجوز أمره فی الشّراء و البیع، و لا یخرج من الیتم حتّی یبلغ خمس عشرة سنة، أو یحتلم أو یشعر أو ینبت قبل ذلک</w:t>
      </w:r>
      <w:r>
        <w:rPr>
          <w:rFonts w:eastAsia="IRNazanin" w:cs="IRNazanin"/>
          <w:color w:val="111111"/>
          <w:sz w:val="28"/>
          <w:szCs w:val="28"/>
          <w:rtl w:val="true"/>
          <w:lang w:bidi="fa-IR"/>
        </w:rPr>
        <w:t>»</w:t>
      </w:r>
      <w:r>
        <w:rPr>
          <w:rStyle w:val="FootnoteAnchor"/>
          <w:rtl w:val="true"/>
        </w:rPr>
        <w:footnoteReference w:id="2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الصبیّ مسلوب العبارة فی عالم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السرائر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وجود کلام الصبیّ غیر البالغ کعدمه</w:t>
      </w:r>
      <w:r>
        <w:rPr>
          <w:rFonts w:eastAsia="IRNazanin" w:cs="IRNazanin"/>
          <w:color w:val="111111"/>
          <w:sz w:val="28"/>
          <w:szCs w:val="28"/>
          <w:rtl w:val="true"/>
          <w:lang w:bidi="fa-IR"/>
        </w:rPr>
        <w:t>»</w:t>
      </w:r>
      <w:r>
        <w:rPr>
          <w:rStyle w:val="FootnoteAnchor"/>
          <w:rtl w:val="true"/>
        </w:rPr>
        <w:footnoteReference w:id="2366"/>
      </w:r>
      <w:r>
        <w:rPr>
          <w:rFonts w:ascii="IRNazanin" w:hAnsi="IRNazanin" w:eastAsia="IRNazanin"/>
          <w:color w:val="111111"/>
          <w:sz w:val="28"/>
          <w:sz w:val="28"/>
          <w:szCs w:val="28"/>
          <w:rtl w:val="true"/>
          <w:lang w:bidi="fa-IR"/>
        </w:rPr>
        <w:t>، و کذا فی التذکرة</w:t>
      </w:r>
      <w:r>
        <w:rPr>
          <w:rStyle w:val="FootnoteAnchor"/>
          <w:rtl w:val="true"/>
        </w:rPr>
        <w:footnoteReference w:id="2367"/>
      </w:r>
      <w:r>
        <w:rPr>
          <w:rFonts w:ascii="IRNazanin" w:hAnsi="IRNazanin" w:eastAsia="IRNazanin"/>
          <w:color w:val="111111"/>
          <w:sz w:val="28"/>
          <w:sz w:val="28"/>
          <w:szCs w:val="28"/>
          <w:rtl w:val="true"/>
          <w:lang w:bidi="fa-IR"/>
        </w:rPr>
        <w:t>؛ لأنّ عمد الصبیّ خطأ کما فی الروایة</w:t>
      </w:r>
      <w:r>
        <w:rPr>
          <w:rStyle w:val="FootnoteAnchor"/>
          <w:rtl w:val="true"/>
        </w:rPr>
        <w:footnoteReference w:id="2368"/>
      </w:r>
      <w:r>
        <w:rPr>
          <w:rFonts w:ascii="IRNazanin" w:hAnsi="IRNazanin" w:eastAsia="IRNazanin"/>
          <w:color w:val="111111"/>
          <w:sz w:val="28"/>
          <w:sz w:val="28"/>
          <w:szCs w:val="28"/>
          <w:rtl w:val="true"/>
          <w:lang w:bidi="fa-IR"/>
        </w:rPr>
        <w:t>، بمعنی أنّ قصده بمنزلة عدم القصد فی نظر الشارع، و أنّه لا اعتبار بشیء ممّا یصدر منه قولاً و فعلاً، و لا یترتّب علی فعله و قوله حکم 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محجور علیه بالنصّ و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ممیّزاً أو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التصرّفات، إلّا ما یستثنی کعباداته و إسلامه و إحرامه و تدبیره</w:t>
      </w:r>
      <w:r>
        <w:rPr>
          <w:rFonts w:eastAsia="IRNazanin" w:cs="IRNazanin"/>
          <w:color w:val="111111"/>
          <w:sz w:val="28"/>
          <w:szCs w:val="28"/>
          <w:rtl w:val="true"/>
          <w:lang w:bidi="fa-IR"/>
        </w:rPr>
        <w:t>»</w:t>
      </w:r>
      <w:r>
        <w:rPr>
          <w:rStyle w:val="FootnoteAnchor"/>
          <w:rtl w:val="true"/>
        </w:rPr>
        <w:footnoteReference w:id="2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الفاضل الآبیّ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الحجر عن التصرّف ثابت، فلا یرتفع إلّا بمؤثّر، و هو البلوغ خمس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عدمه لا یصحّ التصرّف</w:t>
      </w:r>
      <w:r>
        <w:rPr>
          <w:rFonts w:eastAsia="IRNazanin" w:cs="IRNazanin"/>
          <w:color w:val="111111"/>
          <w:sz w:val="28"/>
          <w:szCs w:val="28"/>
          <w:rtl w:val="true"/>
          <w:lang w:bidi="fa-IR"/>
        </w:rPr>
        <w:t>»</w:t>
      </w:r>
      <w:r>
        <w:rPr>
          <w:rStyle w:val="FootnoteAnchor"/>
          <w:rtl w:val="true"/>
        </w:rPr>
        <w:footnoteReference w:id="2370"/>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علمت أنّ القلم یرفع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ثلاثة، عن الصبیّ</w:t>
      </w:r>
    </w:p>
    <w:p>
      <w:pPr>
        <w:pStyle w:val="BookText"/>
        <w:rPr/>
      </w:pPr>
      <w:r>
        <w:rPr>
          <w:rFonts w:ascii="Amiri" w:hAnsi="Amiri" w:eastAsia="Amiri" w:cs="Amiri"/>
          <w:color w:val="111111"/>
          <w:sz w:val="28"/>
          <w:sz w:val="28"/>
          <w:szCs w:val="28"/>
          <w:rtl w:val="true"/>
          <w:lang w:bidi="ar-SA"/>
        </w:rPr>
        <w:t>حتّی یحتلم</w:t>
      </w:r>
      <w:r>
        <w:rPr>
          <w:rFonts w:eastAsia="Amiri" w:cs="Amiri" w:ascii="Amiri" w:hAnsi="Amiri"/>
          <w:color w:val="111111"/>
          <w:sz w:val="28"/>
          <w:szCs w:val="28"/>
          <w:rtl w:val="true"/>
          <w:lang w:bidi="ar-SA"/>
        </w:rPr>
        <w:t>»</w:t>
      </w:r>
      <w:r>
        <w:rPr>
          <w:rStyle w:val="FootnoteAnchor"/>
          <w:rtl w:val="true"/>
        </w:rPr>
        <w:footnoteReference w:id="2371"/>
      </w:r>
      <w:r>
        <w:rPr>
          <w:rFonts w:ascii="IRNazanin" w:hAnsi="IRNazanin" w:eastAsia="IRNazanin"/>
          <w:color w:val="111111"/>
          <w:sz w:val="28"/>
          <w:sz w:val="28"/>
          <w:szCs w:val="28"/>
          <w:rtl w:val="true"/>
          <w:lang w:bidi="fa-IR"/>
        </w:rPr>
        <w:t>، الحدیث، و قد استدلّ به فی السرائر</w:t>
      </w:r>
      <w:r>
        <w:rPr>
          <w:rStyle w:val="FootnoteAnchor"/>
          <w:rtl w:val="true"/>
        </w:rPr>
        <w:footnoteReference w:id="2372"/>
      </w:r>
      <w:r>
        <w:rPr>
          <w:rFonts w:ascii="IRNazanin" w:hAnsi="IRNazanin" w:eastAsia="IRNazanin"/>
          <w:color w:val="111111"/>
          <w:sz w:val="28"/>
          <w:sz w:val="28"/>
          <w:szCs w:val="28"/>
          <w:rtl w:val="true"/>
          <w:lang w:bidi="fa-IR"/>
        </w:rPr>
        <w:t>و جامع المقاصد</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جمیع هذه الوجوه نظر،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یرد علی بعضها بخصوصها،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یرد علی الوجه الثانی، حیث إنّ الروایات الواردة فی عدم نفوذ أمر الصبیّ صریحة فی منع نفوذ أمره فی البیع و الشراء، و لا ربط لها بصدقة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 علی الوجه الثالث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الروایات الواردة بأنَّ عمد الصبیّ خطأ ناظرة إلی باب الجنایات و لا ربط لها بالصدقة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 علی 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معنی رفع القلم هو رفعُ قلم التکلیف و الوضع الثقیل علی الصبیّ، و هو التکلیف الإلزامیّ، و الوضع الّذی یتضمَّن مؤاخذةُ فی نفسه أو طرفه أو ماله، فلا ینافی الحدیث استحباب الصدقة علی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علیها بأنّها مخصّصة بروایات متظافرة و فیها صحاح و موثّقات تدلّ علی صحّة صدقة الصبیّ و وقفه و عتقه، و وصیّته کما تقدّم فی وقف الصبیّ، و سیأتی ذکرها أیضاً فی القول الثانیّ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الأوّل رحمه الله بعد ذکر جملة من تلک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بالجملة، فالإقدام علی ردّ ما تظاهرت به الفتوی و اشتهرت به الروایة من طریق أهل البیت علیهم السلام مشکل</w:t>
      </w:r>
      <w:r>
        <w:rPr>
          <w:rFonts w:eastAsia="IRNazanin" w:cs="IRNazanin"/>
          <w:color w:val="111111"/>
          <w:sz w:val="28"/>
          <w:szCs w:val="28"/>
          <w:rtl w:val="true"/>
          <w:lang w:bidi="fa-IR"/>
        </w:rPr>
        <w:t>»</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المحدّث البحرانی رحمه الله بعد نقل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جیّد نفیس</w:t>
      </w:r>
      <w:r>
        <w:rPr>
          <w:rFonts w:eastAsia="IRNazanin" w:cs="IRNazanin"/>
          <w:color w:val="111111"/>
          <w:sz w:val="28"/>
          <w:szCs w:val="28"/>
          <w:rtl w:val="true"/>
          <w:lang w:bidi="fa-IR"/>
        </w:rPr>
        <w:t>»</w:t>
      </w:r>
      <w:r>
        <w:rPr>
          <w:rStyle w:val="FootnoteAnchor"/>
          <w:rtl w:val="true"/>
        </w:rPr>
        <w:footnoteReference w:id="2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الریاض، فی باب الوصیّة بعد ذکر النصوص و تقریب الاستدلال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خلافاً للحلّی</w:t>
      </w:r>
      <w:r>
        <w:rPr>
          <w:rStyle w:val="FootnoteAnchor"/>
          <w:rtl w:val="true"/>
        </w:rPr>
        <w:footnoteReference w:id="2376"/>
      </w:r>
      <w:r>
        <w:rPr>
          <w:rFonts w:ascii="IRNazanin" w:hAnsi="IRNazanin" w:eastAsia="IRNazanin"/>
          <w:color w:val="111111"/>
          <w:sz w:val="28"/>
          <w:sz w:val="28"/>
          <w:szCs w:val="28"/>
          <w:rtl w:val="true"/>
          <w:lang w:bidi="fa-IR"/>
        </w:rPr>
        <w:t>، و هو شاذّ و مستنده ضعیف</w:t>
      </w:r>
      <w:r>
        <w:rPr>
          <w:rFonts w:eastAsia="IRNazanin" w:cs="IRNazanin"/>
          <w:color w:val="111111"/>
          <w:sz w:val="28"/>
          <w:szCs w:val="28"/>
          <w:rtl w:val="true"/>
          <w:lang w:bidi="fa-IR"/>
        </w:rPr>
        <w:t>»</w:t>
      </w:r>
      <w:r>
        <w:rPr>
          <w:rStyle w:val="FootnoteAnchor"/>
          <w:rtl w:val="true"/>
        </w:rPr>
        <w:footnoteReference w:id="2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کفایة الأحکام</w:t>
      </w:r>
      <w:r>
        <w:rPr>
          <w:rStyle w:val="FootnoteAnchor"/>
          <w:rtl w:val="true"/>
        </w:rPr>
        <w:footnoteReference w:id="2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بالجمیع یُخصّ ما دلّ علی سلب عبارته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الغریب ردّ ابن إدریس هذه الأخبار، مع أنّه یدّعی غالباً قطعیّة ما هو أقلّ منها عدداً و عملاً، و أغرب منه موافقة جماعة من المتأخِّرین له ممّن لم یوافقه علی عدم العمل بأخبار الآحاد علی ذلک</w:t>
      </w:r>
      <w:r>
        <w:rPr>
          <w:rFonts w:eastAsia="IRNazanin" w:cs="IRNazanin"/>
          <w:color w:val="111111"/>
          <w:sz w:val="28"/>
          <w:szCs w:val="28"/>
          <w:rtl w:val="true"/>
          <w:lang w:bidi="fa-IR"/>
        </w:rPr>
        <w:t>»</w:t>
      </w:r>
      <w:r>
        <w:rPr>
          <w:rStyle w:val="FootnoteAnchor"/>
          <w:rtl w:val="true"/>
        </w:rPr>
        <w:footnoteReference w:id="2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 صدقة التطوّع من الصبیّ إذا بلغ عشر سنین و وضع الأشیاء مواضعها و فی وجوه البرّ، و هو الأشهر الأقوی، و هو ظاهر الصدوق قدس سره حیث نقل جملة من النصوص الدالّة علیها فی کتابه من غیر تعرّض لردّها و الطعن فیها بوجه</w:t>
      </w:r>
      <w:r>
        <w:rPr>
          <w:rStyle w:val="FootnoteAnchor"/>
          <w:rtl w:val="true"/>
        </w:rPr>
        <w:footnoteReference w:id="2380"/>
      </w:r>
      <w:r>
        <w:rPr>
          <w:rFonts w:ascii="IRNazanin" w:hAnsi="IRNazanin" w:eastAsia="IRNazanin"/>
          <w:color w:val="111111"/>
          <w:sz w:val="28"/>
          <w:sz w:val="28"/>
          <w:szCs w:val="28"/>
          <w:rtl w:val="true"/>
          <w:lang w:bidi="fa-IR"/>
        </w:rPr>
        <w:t>، و قال فی المقنعة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وقفهما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الصبیّ و المحجور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صدقتهما، کوصیّتهما جائزة إذا وقعا موقع المعروف</w:t>
      </w:r>
      <w:r>
        <w:rPr>
          <w:rFonts w:eastAsia="IRNazanin" w:cs="IRNazanin"/>
          <w:color w:val="111111"/>
          <w:sz w:val="28"/>
          <w:szCs w:val="28"/>
          <w:rtl w:val="true"/>
          <w:lang w:bidi="fa-IR"/>
        </w:rPr>
        <w:t>»</w:t>
      </w:r>
      <w:r>
        <w:rPr>
          <w:rStyle w:val="FootnoteAnchor"/>
          <w:rtl w:val="true"/>
        </w:rPr>
        <w:footnoteReference w:id="2381"/>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یجوز صدقة الغلام إذا بلغ عشر سنین، وهبته و عتقه، إذا کان بالمعروف و فی وجه البرّ، و أمّا ما یکون خارجاً عن ذلک فلیس بممضاة علی حال</w:t>
      </w:r>
      <w:r>
        <w:rPr>
          <w:rFonts w:eastAsia="IRNazanin" w:cs="IRNazanin"/>
          <w:color w:val="111111"/>
          <w:sz w:val="28"/>
          <w:szCs w:val="28"/>
          <w:rtl w:val="true"/>
          <w:lang w:bidi="fa-IR"/>
        </w:rPr>
        <w:t>»</w:t>
      </w:r>
      <w:r>
        <w:rPr>
          <w:rStyle w:val="FootnoteAnchor"/>
          <w:rtl w:val="true"/>
        </w:rPr>
        <w:footnoteReference w:id="2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ابنا البرّاج</w:t>
      </w:r>
      <w:r>
        <w:rPr>
          <w:rStyle w:val="FootnoteAnchor"/>
          <w:rtl w:val="true"/>
        </w:rPr>
        <w:footnoteReference w:id="2383"/>
      </w:r>
      <w:r>
        <w:rPr>
          <w:rFonts w:ascii="Amiri" w:hAnsi="Amiri" w:eastAsia="Amiri" w:cs="Amiri"/>
          <w:color w:val="111111"/>
          <w:sz w:val="28"/>
          <w:sz w:val="28"/>
          <w:szCs w:val="28"/>
          <w:rtl w:val="true"/>
          <w:lang w:bidi="ar-SA"/>
        </w:rPr>
        <w:t>و حمزة</w:t>
      </w:r>
      <w:r>
        <w:rPr>
          <w:rStyle w:val="FootnoteAnchor"/>
          <w:rtl w:val="true"/>
        </w:rPr>
        <w:footnoteReference w:id="2384"/>
      </w:r>
      <w:r>
        <w:rPr>
          <w:rFonts w:ascii="IRNazanin" w:hAnsi="IRNazanin" w:eastAsia="IRNazanin"/>
          <w:color w:val="111111"/>
          <w:sz w:val="28"/>
          <w:sz w:val="28"/>
          <w:szCs w:val="28"/>
          <w:rtl w:val="true"/>
          <w:lang w:bidi="fa-IR"/>
        </w:rPr>
        <w:t>و یحیی بن سعید</w:t>
      </w:r>
      <w:r>
        <w:rPr>
          <w:rStyle w:val="FootnoteAnchor"/>
          <w:rtl w:val="true"/>
        </w:rPr>
        <w:footnoteReference w:id="2385"/>
      </w:r>
      <w:r>
        <w:rPr>
          <w:rFonts w:ascii="IRNazanin" w:hAnsi="IRNazanin" w:eastAsia="IRNazanin"/>
          <w:color w:val="111111"/>
          <w:sz w:val="28"/>
          <w:sz w:val="28"/>
          <w:szCs w:val="28"/>
          <w:rtl w:val="true"/>
          <w:lang w:bidi="fa-IR"/>
        </w:rPr>
        <w:t>، و هو الظاهر من الدروس</w:t>
      </w:r>
      <w:r>
        <w:rPr>
          <w:rStyle w:val="FootnoteAnchor"/>
          <w:rtl w:val="true"/>
        </w:rPr>
        <w:footnoteReference w:id="2386"/>
      </w:r>
      <w:r>
        <w:rPr>
          <w:rFonts w:ascii="IRNazanin" w:hAnsi="IRNazanin" w:eastAsia="IRNazanin"/>
          <w:color w:val="111111"/>
          <w:sz w:val="28"/>
          <w:sz w:val="28"/>
          <w:szCs w:val="28"/>
          <w:rtl w:val="true"/>
          <w:lang w:bidi="fa-IR"/>
        </w:rPr>
        <w:t>، و اختاره فی الحدائق</w:t>
      </w:r>
      <w:r>
        <w:rPr>
          <w:rStyle w:val="FootnoteAnchor"/>
          <w:rtl w:val="true"/>
        </w:rPr>
        <w:footnoteReference w:id="2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کشف الرموز</w:t>
      </w:r>
      <w:r>
        <w:rPr>
          <w:rStyle w:val="FootnoteAnchor"/>
          <w:rtl w:val="true"/>
        </w:rPr>
        <w:footnoteReference w:id="2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جامع المقاصد فی باب الوکالة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یجیء علی قول الشیخ و جماعة بجواز تصرّفه بالعتق و الصدقة و الوصیّة</w:t>
      </w:r>
      <w:r>
        <w:rPr>
          <w:rFonts w:eastAsia="IRNazanin" w:cs="IRNazanin"/>
          <w:color w:val="111111"/>
          <w:sz w:val="28"/>
          <w:szCs w:val="28"/>
          <w:rtl w:val="true"/>
          <w:lang w:bidi="fa-IR"/>
        </w:rPr>
        <w:t>»</w:t>
      </w:r>
      <w:r>
        <w:rPr>
          <w:rStyle w:val="FootnoteAnchor"/>
          <w:rtl w:val="true"/>
        </w:rPr>
        <w:footnoteReference w:id="2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کفایة الأحکام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ألحق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الصدقة و الهبة و الوقف و العتق، و هو غیر بعید</w:t>
      </w:r>
      <w:r>
        <w:rPr>
          <w:rFonts w:eastAsia="IRNazanin" w:cs="IRNazanin"/>
          <w:color w:val="111111"/>
          <w:sz w:val="28"/>
          <w:szCs w:val="28"/>
          <w:rtl w:val="true"/>
          <w:lang w:bidi="fa-IR"/>
        </w:rPr>
        <w:t>»</w:t>
      </w:r>
      <w:r>
        <w:rPr>
          <w:rStyle w:val="FootnoteAnchor"/>
          <w:rtl w:val="true"/>
        </w:rPr>
        <w:footnoteReference w:id="2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تدلّ علی صحّة صدقة التطوّع من الصبیّ النصوص المتقدّمة فی بحث جواز وقفه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جاء فی معتبرة زرارة التی رواها المشایخ الثلاثة عن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أتی علی الغلام عشر سنین فإنّه یجوز له فی ماله ما أعتق أو تصدّق و أوصی علی حدّ معروف و حقّ، فهو جائز</w:t>
      </w:r>
      <w:r>
        <w:rPr>
          <w:rFonts w:eastAsia="IRNazanin" w:cs="IRNazanin"/>
          <w:color w:val="111111"/>
          <w:sz w:val="28"/>
          <w:szCs w:val="28"/>
          <w:rtl w:val="true"/>
          <w:lang w:bidi="fa-IR"/>
        </w:rPr>
        <w:t>»</w:t>
      </w:r>
      <w:r>
        <w:rPr>
          <w:rStyle w:val="FootnoteAnchor"/>
          <w:rtl w:val="true"/>
        </w:rPr>
        <w:footnoteReference w:id="2391"/>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موثّقة جمیل عن محمّد بن مسلم عن أحدهما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طلاق الغلام إذا کان قد عقل و صدقته و وصیّته و إن لم یحتلم</w:t>
      </w:r>
      <w:r>
        <w:rPr>
          <w:rFonts w:eastAsia="IRNazanin" w:cs="IRNazanin"/>
          <w:color w:val="111111"/>
          <w:sz w:val="28"/>
          <w:szCs w:val="28"/>
          <w:rtl w:val="true"/>
          <w:lang w:bidi="fa-IR"/>
        </w:rPr>
        <w:t>»</w:t>
      </w:r>
      <w:r>
        <w:rPr>
          <w:rStyle w:val="FootnoteAnchor"/>
          <w:rtl w:val="true"/>
        </w:rPr>
        <w:footnoteReference w:id="2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موثّقة الحلبیّ و محمّد بن مسلم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صدقة الغلام ما لم یحتلم،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إذا وضعها فی موضع الصدقة</w:t>
      </w:r>
      <w:r>
        <w:rPr>
          <w:rFonts w:eastAsia="IRNazanin" w:cs="IRNazanin"/>
          <w:color w:val="111111"/>
          <w:sz w:val="28"/>
          <w:szCs w:val="28"/>
          <w:rtl w:val="true"/>
          <w:lang w:bidi="fa-IR"/>
        </w:rPr>
        <w:t>»</w:t>
      </w:r>
      <w:r>
        <w:rPr>
          <w:rStyle w:val="FootnoteAnchor"/>
          <w:rtl w:val="true"/>
        </w:rPr>
        <w:footnoteReference w:id="2393"/>
      </w:r>
      <w:r>
        <w:rPr>
          <w:rFonts w:ascii="IRNazanin" w:hAnsi="IRNazanin" w:eastAsia="IRNazanin"/>
          <w:color w:val="111111"/>
          <w:sz w:val="28"/>
          <w:sz w:val="28"/>
          <w:szCs w:val="28"/>
          <w:rtl w:val="true"/>
          <w:lang w:bidi="fa-IR"/>
        </w:rPr>
        <w:t>، و مثلها موثقة اخری للحلبیّ، و قد رواها فی المقنع</w:t>
      </w:r>
      <w:r>
        <w:rPr>
          <w:rStyle w:val="FootnoteAnchor"/>
          <w:rtl w:val="true"/>
        </w:rPr>
        <w:footnoteReference w:id="2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موثّقة سماعة بن مهران عن أبی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صدقة الغلام و عتقه و یؤمّ الناس إذا کان له عشر سنین</w:t>
      </w:r>
      <w:r>
        <w:rPr>
          <w:rFonts w:eastAsia="IRNazanin" w:cs="IRNazanin"/>
          <w:color w:val="111111"/>
          <w:sz w:val="28"/>
          <w:szCs w:val="28"/>
          <w:rtl w:val="true"/>
          <w:lang w:bidi="fa-IR"/>
        </w:rPr>
        <w:t>»</w:t>
      </w:r>
      <w:r>
        <w:rPr>
          <w:rStyle w:val="FootnoteAnchor"/>
          <w:rtl w:val="true"/>
        </w:rPr>
        <w:footnoteReference w:id="2395"/>
      </w:r>
      <w:r>
        <w:rPr>
          <w:rFonts w:ascii="IRNazanin" w:hAnsi="IRNazanin" w:eastAsia="IRNazanin"/>
          <w:color w:val="111111"/>
          <w:sz w:val="28"/>
          <w:sz w:val="28"/>
          <w:szCs w:val="28"/>
          <w:rtl w:val="true"/>
          <w:lang w:bidi="fa-IR"/>
        </w:rPr>
        <w:t>، و مثلها مضمرة له رواها المشایخ الثلاثة</w:t>
      </w:r>
      <w:r>
        <w:rPr>
          <w:rStyle w:val="FootnoteAnchor"/>
          <w:rtl w:val="true"/>
        </w:rPr>
        <w:footnoteReference w:id="2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الروایات و غیرها، و فیها صحاح موثّقات تدلّ علی صحّة صدقة التطوّع مِن الصّبی المُمیّز قطعاً، و تؤیّدها النصوص المتظافرة التی وردت فی جواز شهادة الصبیّ‌</w:t>
      </w:r>
      <w:r>
        <w:rPr>
          <w:rStyle w:val="FootnoteAnchor"/>
          <w:rtl w:val="true"/>
        </w:rPr>
        <w:footnoteReference w:id="2397"/>
      </w:r>
      <w:r>
        <w:rPr>
          <w:rFonts w:ascii="Amiri" w:hAnsi="Amiri" w:eastAsia="Amiri" w:cs="Amiri"/>
          <w:color w:val="111111"/>
          <w:sz w:val="28"/>
          <w:sz w:val="28"/>
          <w:szCs w:val="28"/>
          <w:rtl w:val="true"/>
          <w:lang w:bidi="ar-SA"/>
        </w:rPr>
        <w:t>و صحّة وصیّته</w:t>
      </w:r>
      <w:r>
        <w:rPr>
          <w:rStyle w:val="FootnoteAnchor"/>
          <w:rtl w:val="true"/>
        </w:rPr>
        <w:footnoteReference w:id="2398"/>
      </w:r>
      <w:r>
        <w:rPr>
          <w:rFonts w:ascii="IRNazanin" w:hAnsi="IRNazanin" w:eastAsia="IRNazanin"/>
          <w:color w:val="111111"/>
          <w:sz w:val="28"/>
          <w:sz w:val="28"/>
          <w:szCs w:val="28"/>
          <w:rtl w:val="true"/>
          <w:lang w:bidi="fa-IR"/>
        </w:rPr>
        <w:t>و عتقه</w:t>
      </w:r>
      <w:r>
        <w:rPr>
          <w:rStyle w:val="FootnoteAnchor"/>
          <w:rtl w:val="true"/>
        </w:rPr>
        <w:footnoteReference w:id="2399"/>
      </w:r>
      <w:r>
        <w:rPr>
          <w:rFonts w:ascii="IRNazanin" w:hAnsi="IRNazanin" w:eastAsia="IRNazanin"/>
          <w:color w:val="111111"/>
          <w:sz w:val="28"/>
          <w:sz w:val="28"/>
          <w:szCs w:val="28"/>
          <w:rtl w:val="true"/>
          <w:lang w:bidi="fa-IR"/>
        </w:rPr>
        <w:t>و طلاقه</w:t>
      </w:r>
      <w:r>
        <w:rPr>
          <w:rStyle w:val="FootnoteAnchor"/>
          <w:rtl w:val="true"/>
        </w:rPr>
        <w:footnoteReference w:id="2400"/>
      </w:r>
      <w:r>
        <w:rPr>
          <w:rFonts w:ascii="Amiri" w:hAnsi="Amiri" w:eastAsia="Amiri" w:cs="Amiri"/>
          <w:color w:val="111111"/>
          <w:sz w:val="28"/>
          <w:sz w:val="28"/>
          <w:szCs w:val="28"/>
          <w:rtl w:val="true"/>
          <w:lang w:bidi="ar-SA"/>
        </w:rPr>
        <w:t>؛ لأنّها جمیعاً من وادٍ واحدٍ نصّاً و فتوی، و هذه النّصوص الکثیرة مخصّصةٌ للروایات التی تدلُّ علی عدم نفوذ أمر الصبیّ و أنّه محجورٌ علیه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أمثال هذه الموارد خارجة عن العمومات المانعة عن نفوذ أمر الصبیّ و حجره بالتخصیص، فلا وجه لما ذکره المحقّق و الشهید الثانیان، من</w:t>
      </w:r>
      <w:bookmarkStart w:id="647" w:name="pg11757_135827"/>
    </w:p>
    <w:p>
      <w:pPr>
        <w:pStyle w:val="BookText"/>
        <w:rPr/>
      </w:pPr>
      <w:bookmarkEnd w:id="647"/>
      <w:r>
        <w:rPr>
          <w:rFonts w:ascii="IRNazanin" w:hAnsi="IRNazanin" w:eastAsia="IRNazanin"/>
          <w:color w:val="111111"/>
          <w:sz w:val="28"/>
          <w:sz w:val="28"/>
          <w:szCs w:val="28"/>
          <w:rtl w:val="true"/>
          <w:lang w:bidi="fa-IR"/>
        </w:rPr>
        <w:t>أنّ مثل هذه الأخبار لا تنهض معارضاً للمتواتر</w:t>
      </w:r>
      <w:r>
        <w:rPr>
          <w:rStyle w:val="FootnoteAnchor"/>
          <w:rtl w:val="true"/>
        </w:rPr>
        <w:footnoteReference w:id="2401"/>
      </w:r>
      <w:r>
        <w:rPr>
          <w:rFonts w:ascii="IRNazanin" w:hAnsi="IRNazanin" w:eastAsia="IRNazanin"/>
          <w:color w:val="111111"/>
          <w:sz w:val="28"/>
          <w:sz w:val="28"/>
          <w:szCs w:val="28"/>
          <w:rtl w:val="true"/>
          <w:lang w:bidi="fa-IR"/>
        </w:rPr>
        <w:t>، و تکون مخالفة للنصوص الصحیحة و اصول المذهب، بل و إجماع المسلمین مع أنّها شاذّة ضعیفة السند</w:t>
      </w:r>
      <w:r>
        <w:rPr>
          <w:rStyle w:val="FootnoteAnchor"/>
          <w:rtl w:val="true"/>
        </w:rPr>
        <w:footnoteReference w:id="2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الفاضل المقداد فی باب الوصیّة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التحقیق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قوّة التمییز و التعقّل لیس حصولها مشروطاً بزمان البلوغ الشرعیّ، و هو أحد الثلاثة المتقدّمة؛ لجواز الحصول قبل ذلک، و لهذا کان الدلیل مقتضیاً لتکلیفه بالتکالیف العقلیّة عند حصول تلک القوّة و استحقاق الثواب فی مقابل القیام بتلک التکالیف، و إذا کان کذلک فلم لا یجوز أن یحصل له داع عقلیّ إلی فعل الخیر فی ذلک الزمان، فلو منعناه مع الحجر علیه حال حیاته مع التصرّف لزم المنع من الألطاف المقرّبة إلی تحصیل الثواب، و هو قبیح عقلاً، فإذاً قول الشیخین لا بأس به و تعضده الروایات المتظافرة</w:t>
      </w:r>
      <w:r>
        <w:rPr>
          <w:rFonts w:eastAsia="IRNazanin" w:cs="IRNazanin"/>
          <w:color w:val="111111"/>
          <w:sz w:val="28"/>
          <w:szCs w:val="28"/>
          <w:rtl w:val="true"/>
          <w:lang w:bidi="fa-IR"/>
        </w:rPr>
        <w:t>»</w:t>
      </w:r>
      <w:r>
        <w:rPr>
          <w:rStyle w:val="FootnoteAnchor"/>
          <w:rtl w:val="true"/>
        </w:rPr>
        <w:footnoteReference w:id="24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8" w:name="__RefHeading___Toc9696993_73709187"/>
      <w:bookmarkStart w:id="649" w:name="_Toc240"/>
      <w:bookmarkEnd w:id="648"/>
      <w:r>
        <w:rPr>
          <w:rtl w:val="true"/>
        </w:rPr>
        <w:t>الصدقات المندوبة من الصبیّ عند أهل السنّة</w:t>
      </w:r>
      <w:bookmarkEnd w:id="649"/>
    </w:p>
    <w:p>
      <w:pPr>
        <w:pStyle w:val="BookText"/>
        <w:rPr/>
      </w:pPr>
      <w:r>
        <w:rPr>
          <w:rFonts w:ascii="IRNazanin" w:hAnsi="IRNazanin" w:eastAsia="IRNazanin"/>
          <w:color w:val="111111"/>
          <w:sz w:val="28"/>
          <w:sz w:val="28"/>
          <w:szCs w:val="28"/>
          <w:rtl w:val="true"/>
          <w:lang w:bidi="fa-IR"/>
        </w:rPr>
        <w:t>أمّا الصبیّ غیر الممیّز فإنّه لیس من أهل التصرّف أصلاً؛ لفقدانه العقل کما صرّح به غیر واحد منهم</w:t>
      </w:r>
      <w:r>
        <w:rPr>
          <w:rStyle w:val="FootnoteAnchor"/>
          <w:rtl w:val="true"/>
        </w:rPr>
        <w:footnoteReference w:id="2404"/>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الممیّز فإنّ الصدقة منه تعتبر من التصرّفات الضارّة ضرراً محضاً، و قد ذهب الفقهاء إلی أنّ التصرّفات الضارّة ضرراً دنیویّاً و التی یترتّب علیها</w:t>
      </w:r>
    </w:p>
    <w:p>
      <w:pPr>
        <w:pStyle w:val="BookText"/>
        <w:rPr/>
      </w:pPr>
      <w:r>
        <w:rPr>
          <w:rFonts w:ascii="IRNazanin" w:hAnsi="IRNazanin" w:eastAsia="IRNazanin"/>
          <w:color w:val="111111"/>
          <w:sz w:val="28"/>
          <w:sz w:val="28"/>
          <w:szCs w:val="28"/>
          <w:rtl w:val="true"/>
          <w:lang w:bidi="fa-IR"/>
        </w:rPr>
        <w:t xml:space="preserve">خروج شیء من ملکه من غیر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کالهبة و الصدقة و الوقف و سائر التبرّعات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 منه، بل تقع باطلة حتّی لو أذن الولیّ و الوصیّ؛ لأنّ إجازتهما فی التصرّفات الضارّة لاغیة، کما فی البدائع</w:t>
      </w:r>
      <w:r>
        <w:rPr>
          <w:rStyle w:val="FootnoteAnchor"/>
          <w:rtl w:val="true"/>
        </w:rPr>
        <w:footnoteReference w:id="2405"/>
      </w:r>
      <w:r>
        <w:rPr>
          <w:rFonts w:ascii="IRNazanin" w:hAnsi="IRNazanin" w:eastAsia="IRNazanin"/>
          <w:color w:val="111111"/>
          <w:sz w:val="28"/>
          <w:sz w:val="28"/>
          <w:szCs w:val="28"/>
          <w:rtl w:val="true"/>
          <w:lang w:bidi="fa-IR"/>
        </w:rPr>
        <w:t>، و به قال جمهور الفقهاء من الحنفیّة و المالکیّة و الحنابلة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المغنی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الهبة و الصدقة و الهدیّة و العطیّة معانیها متقاربة، و کلّها تملیک فی الحیاة بغیر عوض</w:t>
      </w:r>
      <w:r>
        <w:rPr>
          <w:rFonts w:eastAsia="IRNazanin" w:cs="IRNazanin"/>
          <w:color w:val="111111"/>
          <w:sz w:val="28"/>
          <w:szCs w:val="28"/>
          <w:rtl w:val="true"/>
          <w:lang w:bidi="fa-IR"/>
        </w:rPr>
        <w:t>»</w:t>
      </w:r>
      <w:r>
        <w:rPr>
          <w:rStyle w:val="FootnoteAnchor"/>
          <w:rtl w:val="true"/>
        </w:rPr>
        <w:footnoteReference w:id="2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الهبة من الصبیّ لغیره فلا تصحّ، سواء أذن فیها الولیّ أم لم یأذن؛ لأنّه محجور علیه لحظّ نفسه، فلم یصحّ تبرّعه کالسفیه</w:t>
      </w:r>
      <w:r>
        <w:rPr>
          <w:rFonts w:eastAsia="IRNazanin" w:cs="IRNazanin"/>
          <w:color w:val="111111"/>
          <w:sz w:val="28"/>
          <w:szCs w:val="28"/>
          <w:rtl w:val="true"/>
          <w:lang w:bidi="fa-IR"/>
        </w:rPr>
        <w:t>»</w:t>
      </w:r>
      <w:r>
        <w:rPr>
          <w:rStyle w:val="FootnoteAnchor"/>
          <w:rtl w:val="true"/>
        </w:rPr>
        <w:footnoteReference w:id="2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رشد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الصغار الّذین لم یبلغوا الحلم من الرّجال و لا المحیض من النساء، فلا خلاف فی المذهب فی أنّه لا یجوز فی ماله معروف من هبةٍ و لا صدقة و لا عطیّة و لا عتق و إن أذن له الأب فی ذلک أو الوصیّ، فإن أخرج من یده شیئاً بغیر عوض کان موقوفاً علی نظر ولیّه</w:t>
      </w:r>
      <w:r>
        <w:rPr>
          <w:rFonts w:eastAsia="IRNazanin" w:cs="IRNazanin"/>
          <w:color w:val="111111"/>
          <w:sz w:val="28"/>
          <w:szCs w:val="28"/>
          <w:rtl w:val="true"/>
          <w:lang w:bidi="fa-IR"/>
        </w:rPr>
        <w:t>»</w:t>
      </w:r>
      <w:r>
        <w:rPr>
          <w:rStyle w:val="FootnoteAnchor"/>
          <w:rtl w:val="true"/>
        </w:rPr>
        <w:footnoteReference w:id="2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المدوّنة الکبری‌</w:t>
      </w:r>
      <w:r>
        <w:rPr>
          <w:rStyle w:val="FootnoteAnchor"/>
          <w:rtl w:val="true"/>
        </w:rPr>
        <w:footnoteReference w:id="2409"/>
      </w:r>
      <w:r>
        <w:rPr>
          <w:rFonts w:ascii="IRNazanin" w:hAnsi="IRNazanin" w:eastAsia="IRNazanin"/>
          <w:color w:val="111111"/>
          <w:sz w:val="28"/>
          <w:sz w:val="28"/>
          <w:szCs w:val="28"/>
          <w:rtl w:val="true"/>
          <w:lang w:bidi="fa-IR"/>
        </w:rPr>
        <w:t>و حاشیة الخرشی</w:t>
      </w:r>
      <w:r>
        <w:rPr>
          <w:rStyle w:val="FootnoteAnchor"/>
          <w:rtl w:val="true"/>
        </w:rPr>
        <w:footnoteReference w:id="2410"/>
      </w:r>
      <w:r>
        <w:rPr>
          <w:rFonts w:ascii="IRNazanin" w:hAnsi="IRNazanin" w:eastAsia="IRNazanin"/>
          <w:color w:val="111111"/>
          <w:sz w:val="28"/>
          <w:sz w:val="28"/>
          <w:szCs w:val="28"/>
          <w:rtl w:val="true"/>
          <w:lang w:bidi="fa-IR"/>
        </w:rPr>
        <w:t>و غیرها</w:t>
      </w:r>
      <w:r>
        <w:rPr>
          <w:rStyle w:val="FootnoteAnchor"/>
          <w:rtl w:val="true"/>
        </w:rPr>
        <w:footnoteReference w:id="2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الکافی فی فقه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مال لم یصحّ</w:t>
      </w:r>
      <w:r>
        <w:rPr>
          <w:rFonts w:eastAsia="IRNazanin" w:cs="IRNazanin"/>
          <w:color w:val="111111"/>
          <w:sz w:val="28"/>
          <w:szCs w:val="28"/>
          <w:rtl w:val="true"/>
          <w:lang w:bidi="fa-IR"/>
        </w:rPr>
        <w:t>»</w:t>
      </w:r>
      <w:r>
        <w:rPr>
          <w:rStyle w:val="FootnoteAnchor"/>
          <w:rtl w:val="true"/>
        </w:rPr>
        <w:footnoteReference w:id="2412"/>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شرح مجلّة الأحکام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یعتبر تصرّفه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الصغیر الممیّز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w:t>
      </w:r>
    </w:p>
    <w:p>
      <w:pPr>
        <w:pStyle w:val="BookText"/>
        <w:rPr/>
      </w:pPr>
      <w:r>
        <w:rPr>
          <w:rFonts w:ascii="IRNazanin" w:hAnsi="IRNazanin" w:eastAsia="IRNazanin"/>
          <w:color w:val="111111"/>
          <w:sz w:val="28"/>
          <w:sz w:val="28"/>
          <w:szCs w:val="28"/>
          <w:rtl w:val="true"/>
          <w:lang w:bidi="fa-IR"/>
        </w:rPr>
        <w:t>هو فی حقّه ضرر محض، أی تصرّفه تصرّفاً دنیویّاً مضرّاً من کلّ وجه، کأن یهب لآخر شیئاً أو یهدیه إیّاه أو یتصدّق به علیه أو یقرّ له به أو یبرئه منه، و لو أذنه بذلک ولیّه و أجازه، لأنّه یشترط فی اعتبار تصرّفات ضارّة کهذه الأهلیّة الکاملة، أی العقل و البلوغ</w:t>
      </w:r>
      <w:r>
        <w:rPr>
          <w:rFonts w:eastAsia="IRNazanin" w:cs="IRNazanin"/>
          <w:color w:val="111111"/>
          <w:sz w:val="28"/>
          <w:szCs w:val="28"/>
          <w:rtl w:val="true"/>
          <w:lang w:bidi="fa-IR"/>
        </w:rPr>
        <w:t>»</w:t>
      </w:r>
      <w:r>
        <w:rPr>
          <w:rStyle w:val="FootnoteAnchor"/>
          <w:rtl w:val="true"/>
        </w:rPr>
        <w:footnoteReference w:id="2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تفرّد الشافعیّة؛ لأنّهم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الصبیّ یجوز له صرف ماله إلی وجوه الخیر فی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مغنی المحتاج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الأصحّ أنّ صرفه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المال و إن کثر فی الصدقة و باقی وجوه الخیر کالعتق و المطاعم و الملابس التی لا تلیق بحاله، لیس بتبذیر، أمّا فی الاُولی فلأنّ له فی الصّرف الخیر عوضاً، و هو الثواب، فإنّه لا سرف فی الخیر کما لا خیر فی السرف، و حقیقة السرف ما لا یکسب حمداً فی العاجل و لا أجراً فی الآجل</w:t>
      </w:r>
      <w:r>
        <w:rPr>
          <w:rFonts w:eastAsia="IRNazanin" w:cs="IRNazanin"/>
          <w:color w:val="111111"/>
          <w:sz w:val="28"/>
          <w:szCs w:val="28"/>
          <w:rtl w:val="true"/>
          <w:lang w:bidi="fa-IR"/>
        </w:rPr>
        <w:t>»</w:t>
      </w:r>
      <w:r>
        <w:rPr>
          <w:rStyle w:val="FootnoteAnchor"/>
          <w:rtl w:val="true"/>
        </w:rPr>
        <w:footnoteReference w:id="2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النووی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صرف المال إلی وجوه الخیر فی الصّدقات، و فکّ الرّقاب و بناء المساجد و المدارس و ما أشبهها، فلیس بتبذیر، و لا سرف فی الخیر، کمالا خیر فی السرف، قاله الرافعی</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الرافعی عن الشیخ أبی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الصبیّ إذا بلغ و هو مفرّط فی الإنفاق فی هذه الوجوه فهو مبذّر</w:t>
      </w:r>
      <w:r>
        <w:rPr>
          <w:rFonts w:eastAsia="IRNazanin" w:cs="IRNazanin"/>
          <w:color w:val="111111"/>
          <w:sz w:val="28"/>
          <w:szCs w:val="28"/>
          <w:rtl w:val="true"/>
          <w:lang w:bidi="fa-IR"/>
        </w:rPr>
        <w:t>»</w:t>
      </w:r>
      <w:r>
        <w:rPr>
          <w:rStyle w:val="FootnoteAnchor"/>
          <w:rtl w:val="true"/>
        </w:rPr>
        <w:footnoteReference w:id="2415"/>
      </w:r>
      <w:r>
        <w:rPr>
          <w:rFonts w:eastAsia="Times New Roman" w:cs="Times New Roman" w:ascii="Times New Roman" w:hAnsi="Times New Roman"/>
          <w:color w:val="111111"/>
          <w:sz w:val="28"/>
          <w:szCs w:val="28"/>
          <w:rtl w:val="true"/>
          <w:lang w:val="en-US" w:bidi="en-US"/>
        </w:rPr>
        <w:t>.</w:t>
      </w:r>
      <w:bookmarkStart w:id="650" w:name="pg11757_135830"/>
    </w:p>
    <w:p>
      <w:pPr>
        <w:pStyle w:val="Heading4"/>
        <w:numPr>
          <w:ilvl w:val="3"/>
          <w:numId w:val="1"/>
        </w:numPr>
        <w:rPr/>
      </w:pPr>
      <w:bookmarkStart w:id="651" w:name="__RefHeading___Toc9696995_73709187"/>
      <w:bookmarkStart w:id="652" w:name="_Toc241"/>
      <w:bookmarkEnd w:id="650"/>
      <w:bookmarkEnd w:id="651"/>
      <w:r>
        <w:rPr>
          <w:rtl w:val="true"/>
        </w:rPr>
        <w:t>المبحث الثالث</w:t>
      </w:r>
      <w:r>
        <w:rPr>
          <w:rtl w:val="true"/>
        </w:rPr>
        <w:t xml:space="preserve">: </w:t>
      </w:r>
      <w:r>
        <w:rPr>
          <w:rtl w:val="true"/>
        </w:rPr>
        <w:t>هبة الصبیّ‌</w:t>
      </w:r>
      <w:bookmarkEnd w:id="652"/>
    </w:p>
    <w:p>
      <w:pPr>
        <w:pStyle w:val="Heading5"/>
        <w:numPr>
          <w:ilvl w:val="4"/>
          <w:numId w:val="1"/>
        </w:numPr>
        <w:rPr/>
      </w:pPr>
      <w:bookmarkStart w:id="653" w:name="__RefHeading___Toc9696997_73709187"/>
      <w:bookmarkStart w:id="654" w:name="_Toc242"/>
      <w:bookmarkEnd w:id="653"/>
      <w:r>
        <w:rPr>
          <w:rtl w:val="true"/>
        </w:rPr>
        <w:t>اشارة</w:t>
      </w:r>
      <w:bookmarkEnd w:id="654"/>
    </w:p>
    <w:p>
      <w:pPr>
        <w:pStyle w:val="BookText"/>
        <w:rPr/>
      </w:pPr>
      <w:r>
        <w:rPr>
          <w:rFonts w:ascii="IRNazanin" w:hAnsi="IRNazanin" w:eastAsia="IRNazanin"/>
          <w:color w:val="111111"/>
          <w:sz w:val="28"/>
          <w:sz w:val="28"/>
          <w:szCs w:val="28"/>
          <w:rtl w:val="true"/>
          <w:lang w:bidi="fa-IR"/>
        </w:rPr>
        <w:t>الهبة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العطیّة الخالیة عن الأعواض و الأغراض</w:t>
      </w:r>
      <w:r>
        <w:rPr>
          <w:rStyle w:val="FootnoteAnchor"/>
          <w:rtl w:val="true"/>
        </w:rPr>
        <w:footnoteReference w:id="2416"/>
      </w:r>
      <w:r>
        <w:rPr>
          <w:rFonts w:ascii="IRNazanin" w:hAnsi="IRNazanin" w:eastAsia="IRNazanin"/>
          <w:color w:val="111111"/>
          <w:sz w:val="28"/>
          <w:sz w:val="28"/>
          <w:szCs w:val="28"/>
          <w:rtl w:val="true"/>
          <w:lang w:bidi="fa-IR"/>
        </w:rPr>
        <w:t>،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وهبت لزیدٍ مالاً، إذا أعطیته بلا 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الاصطلاح فقد عرّفها المحقّق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العقد المقتضی تملیک العین من غیر عوض تملیکاً منجّزاً مجرّداً عن القربة</w:t>
      </w:r>
      <w:r>
        <w:rPr>
          <w:rFonts w:eastAsia="IRNazanin" w:cs="IRNazanin"/>
          <w:color w:val="111111"/>
          <w:sz w:val="28"/>
          <w:szCs w:val="28"/>
          <w:rtl w:val="true"/>
          <w:lang w:bidi="fa-IR"/>
        </w:rPr>
        <w:t>»</w:t>
      </w:r>
      <w:r>
        <w:rPr>
          <w:rStyle w:val="FootnoteAnchor"/>
          <w:rtl w:val="true"/>
        </w:rPr>
        <w:footnoteReference w:id="2417"/>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یعبّر عنها بالنحلة و العطیة، و الهبة أعمّ من الصدقة؛ لاشتراط الصدقة بالقربة، و هکذا من الهدیّة لاشتراط الهدیّة بالنقل إلی المهدی إلیه من المُهدی إعظاماً و توقیراً له، و لهذا لا یطلق لفظ الهدیّة علی العقارات،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أهدی له داراً و لا أرضاً،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له ذلک، کما فی الحدائق</w:t>
      </w:r>
      <w:r>
        <w:rPr>
          <w:rStyle w:val="FootnoteAnchor"/>
          <w:rtl w:val="true"/>
        </w:rPr>
        <w:footnoteReference w:id="2418"/>
      </w:r>
      <w:r>
        <w:rPr>
          <w:rFonts w:ascii="IRNazanin" w:hAnsi="IRNazanin" w:eastAsia="IRNazanin"/>
          <w:color w:val="111111"/>
          <w:sz w:val="28"/>
          <w:sz w:val="28"/>
          <w:szCs w:val="28"/>
          <w:rtl w:val="true"/>
          <w:lang w:bidi="fa-IR"/>
        </w:rPr>
        <w:t>و الریاض</w:t>
      </w:r>
      <w:r>
        <w:rPr>
          <w:rStyle w:val="FootnoteAnchor"/>
          <w:rtl w:val="true"/>
        </w:rPr>
        <w:footnoteReference w:id="2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تملیک عین مجّاناً و من غیر عوض، و هذا هو المعنی الأعمّ منها، و أمّا المصطلح فی مقابل أخواتها فیحتاج إلی قیود مخرجة</w:t>
      </w:r>
      <w:r>
        <w:rPr>
          <w:rFonts w:eastAsia="IRNazanin" w:cs="IRNazanin"/>
          <w:color w:val="111111"/>
          <w:sz w:val="28"/>
          <w:szCs w:val="28"/>
          <w:rtl w:val="true"/>
          <w:lang w:bidi="fa-IR"/>
        </w:rPr>
        <w:t>»</w:t>
      </w:r>
      <w:r>
        <w:rPr>
          <w:rStyle w:val="FootnoteAnchor"/>
          <w:rtl w:val="true"/>
        </w:rPr>
        <w:footnoteReference w:id="2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تفصیل الشریعة</w:t>
      </w:r>
      <w:r>
        <w:rPr>
          <w:rStyle w:val="FootnoteAnchor"/>
          <w:rtl w:val="true"/>
        </w:rPr>
        <w:footnoteReference w:id="2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ورد فی الکتاب العزیز و الأحادیث المتظافرة استحبابها و الترغیب فیها، قال اللّه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حُیِّیتُمْ بِتَحِیَّةٍ فَحَیُّوا بِأَحْسَنَ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منه الهبة</w:t>
      </w:r>
      <w:r>
        <w:rPr>
          <w:rStyle w:val="FootnoteAnchor"/>
          <w:rtl w:val="true"/>
        </w:rPr>
        <w:footnoteReference w:id="2422"/>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تَعاوَنُوا عَلَی الْبِرِّ وَ التَّقْوی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الهبة من البرّ</w:t>
      </w:r>
      <w:r>
        <w:rPr>
          <w:rStyle w:val="FootnoteAnchor"/>
          <w:rtl w:val="true"/>
        </w:rPr>
        <w:footnoteReference w:id="2423"/>
      </w:r>
      <w:r>
        <w:rPr>
          <w:rFonts w:ascii="Amiri" w:hAnsi="Amiri" w:eastAsia="Amiri" w:cs="Amiri"/>
          <w:color w:val="111111"/>
          <w:sz w:val="28"/>
          <w:sz w:val="28"/>
          <w:szCs w:val="28"/>
          <w:rtl w:val="true"/>
          <w:lang w:bidi="ar-SA"/>
        </w:rPr>
        <w:t>؛ لأنّها سبب التوادّ و التحابّ‌</w:t>
      </w:r>
      <w:r>
        <w:rPr>
          <w:rStyle w:val="FootnoteAnchor"/>
          <w:rtl w:val="true"/>
        </w:rPr>
        <w:footnoteReference w:id="2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السنّة فکثیرة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الکافی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تهادوا تحابّوا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تهادوا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تذهب بالضغائن</w:t>
      </w:r>
      <w:r>
        <w:rPr>
          <w:rFonts w:eastAsia="IRNazanin" w:cs="IRNazanin"/>
          <w:color w:val="111111"/>
          <w:sz w:val="28"/>
          <w:szCs w:val="28"/>
          <w:rtl w:val="true"/>
          <w:lang w:bidi="fa-IR"/>
        </w:rPr>
        <w:t>»</w:t>
      </w:r>
      <w:r>
        <w:rPr>
          <w:rStyle w:val="FootnoteAnchor"/>
          <w:rtl w:val="true"/>
        </w:rPr>
        <w:footnoteReference w:id="2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دعیت إلی کراع لأجبت، و لو اهدی إلیّ کراع لقبلت</w:t>
      </w:r>
      <w:r>
        <w:rPr>
          <w:rFonts w:eastAsia="IRNazanin" w:cs="IRNazanin"/>
          <w:color w:val="111111"/>
          <w:sz w:val="28"/>
          <w:szCs w:val="28"/>
          <w:rtl w:val="true"/>
          <w:lang w:bidi="fa-IR"/>
        </w:rPr>
        <w:t>»</w:t>
      </w:r>
      <w:r>
        <w:rPr>
          <w:rStyle w:val="FootnoteAnchor"/>
          <w:rtl w:val="true"/>
        </w:rPr>
        <w:footnoteReference w:id="2426"/>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الکافی عن أمیر المؤمنین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أهدی لأخی المسلم هدیة تنفعه أحبّ إلیَّ من أن أتصدّق بمثلها</w:t>
      </w:r>
      <w:r>
        <w:rPr>
          <w:rFonts w:eastAsia="IRNazanin" w:cs="IRNazanin"/>
          <w:color w:val="111111"/>
          <w:sz w:val="28"/>
          <w:szCs w:val="28"/>
          <w:rtl w:val="true"/>
          <w:lang w:bidi="fa-IR"/>
        </w:rPr>
        <w:t>»</w:t>
      </w:r>
      <w:r>
        <w:rPr>
          <w:rStyle w:val="FootnoteAnchor"/>
          <w:rtl w:val="true"/>
        </w:rPr>
        <w:footnoteReference w:id="2427"/>
      </w:r>
      <w:r>
        <w:rPr>
          <w:rFonts w:ascii="IRNazanin" w:hAnsi="IRNazanin" w:eastAsia="IRNazanin"/>
          <w:color w:val="111111"/>
          <w:sz w:val="28"/>
          <w:sz w:val="28"/>
          <w:szCs w:val="28"/>
          <w:rtl w:val="true"/>
          <w:lang w:bidi="fa-IR"/>
        </w:rPr>
        <w:t>، و غیر ذلک من</w:t>
      </w:r>
      <w:bookmarkStart w:id="655" w:name="pg11757_135832"/>
    </w:p>
    <w:p>
      <w:pPr>
        <w:pStyle w:val="BookText"/>
        <w:rPr/>
      </w:pPr>
      <w:bookmarkEnd w:id="655"/>
      <w:r>
        <w:rPr>
          <w:rFonts w:ascii="IRNazanin" w:hAnsi="IRNazanin" w:eastAsia="IRNazanin"/>
          <w:color w:val="111111"/>
          <w:sz w:val="28"/>
          <w:sz w:val="28"/>
          <w:szCs w:val="28"/>
          <w:rtl w:val="true"/>
          <w:lang w:bidi="fa-IR"/>
        </w:rPr>
        <w:t>الروایات</w:t>
      </w:r>
      <w:r>
        <w:rPr>
          <w:rStyle w:val="FootnoteAnchor"/>
          <w:rtl w:val="true"/>
        </w:rPr>
        <w:footnoteReference w:id="2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أرکان الهبة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الواهب و الموهوب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المال الذی تتحقّق الهبة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الموهوب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تقدّم</w:t>
      </w:r>
      <w:r>
        <w:rPr>
          <w:rStyle w:val="FootnoteAnchor"/>
          <w:rtl w:val="true"/>
        </w:rPr>
        <w:footnoteReference w:id="2429"/>
      </w:r>
      <w:r>
        <w:rPr>
          <w:rFonts w:ascii="IRNazanin" w:hAnsi="IRNazanin" w:eastAsia="IRNazanin"/>
          <w:color w:val="111111"/>
          <w:sz w:val="28"/>
          <w:sz w:val="28"/>
          <w:szCs w:val="28"/>
          <w:rtl w:val="true"/>
          <w:lang w:bidi="fa-IR"/>
        </w:rPr>
        <w:t xml:space="preserve">أنّها من العقود الجائزة و تحتاج إلی الإیجاب و القبول، و کونهما أعمّ من أن یکونا باللفظ أو بالفعل الدالّ علی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یکفی فیها المعاطاة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للولیّ الولایة علی قبول الهبة للصبیّ، و أنّه لو لم یقبل عنه ولیّه بطلت، و کذا للولیّ الولایة علی قبض الهبة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هنا البحث فی هبة الصبیّ، بأن یکون واهباً أو موهوباً له، سواء کان قابلاً لنفسه أو لغیره، فیقع الکلام فی مقامین</w:t>
      </w:r>
      <w:r>
        <w:rPr>
          <w:rFonts w:eastAsia="IRNazanin" w:cs="IRNazanin"/>
          <w:color w:val="111111"/>
          <w:sz w:val="28"/>
          <w:szCs w:val="28"/>
          <w:rtl w:val="true"/>
          <w:lang w:bidi="fa-IR"/>
        </w:rPr>
        <w:t>:</w:t>
      </w:r>
    </w:p>
    <w:p>
      <w:pPr>
        <w:pStyle w:val="Heading5"/>
        <w:numPr>
          <w:ilvl w:val="4"/>
          <w:numId w:val="1"/>
        </w:numPr>
        <w:rPr/>
      </w:pPr>
      <w:bookmarkStart w:id="656" w:name="__RefHeading___Toc9696999_73709187"/>
      <w:bookmarkStart w:id="657" w:name="_Toc243"/>
      <w:bookmarkEnd w:id="656"/>
      <w:r>
        <w:rPr>
          <w:rtl w:val="true"/>
        </w:rPr>
        <w:t>المقام الأوّل</w:t>
      </w:r>
      <w:r>
        <w:rPr>
          <w:rtl w:val="true"/>
        </w:rPr>
        <w:t xml:space="preserve">: </w:t>
      </w:r>
      <w:r>
        <w:rPr>
          <w:rtl w:val="true"/>
        </w:rPr>
        <w:t>کون الصبیّ واهباً</w:t>
      </w:r>
      <w:bookmarkEnd w:id="657"/>
    </w:p>
    <w:p>
      <w:pPr>
        <w:pStyle w:val="Heading6"/>
        <w:numPr>
          <w:ilvl w:val="5"/>
          <w:numId w:val="1"/>
        </w:numPr>
        <w:rPr/>
      </w:pPr>
      <w:bookmarkStart w:id="658" w:name="__RefHeading___Toc9697001_73709187"/>
      <w:bookmarkStart w:id="659" w:name="_Toc244"/>
      <w:bookmarkEnd w:id="658"/>
      <w:r>
        <w:rPr>
          <w:rtl w:val="true"/>
        </w:rPr>
        <w:t>اشارة</w:t>
      </w:r>
      <w:bookmarkEnd w:id="659"/>
    </w:p>
    <w:p>
      <w:pPr>
        <w:pStyle w:val="BookText"/>
        <w:rPr/>
      </w:pPr>
      <w:r>
        <w:rPr>
          <w:rFonts w:ascii="IRNazanin" w:hAnsi="IRNazanin" w:eastAsia="IRNazanin"/>
          <w:color w:val="111111"/>
          <w:sz w:val="28"/>
          <w:sz w:val="28"/>
          <w:szCs w:val="28"/>
          <w:rtl w:val="true"/>
          <w:lang w:bidi="fa-IR"/>
        </w:rPr>
        <w:t>هل یصحّ أن یکون الصبیّ الممیّز واهباً، بأن یکون موجباً للهبة من مال نفسه، أم لا؟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الشیخ الطوسی قدس سره و من تبعه، من أنّه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یجوز صدقة الغلام إذا بلغ عشر سنین، وهبته و عتقه</w:t>
      </w:r>
      <w:r>
        <w:rPr>
          <w:rFonts w:eastAsia="IRNazanin" w:cs="IRNazanin"/>
          <w:color w:val="111111"/>
          <w:sz w:val="28"/>
          <w:szCs w:val="28"/>
          <w:rtl w:val="true"/>
          <w:lang w:bidi="fa-IR"/>
        </w:rPr>
        <w:t>»</w:t>
      </w:r>
      <w:r>
        <w:rPr>
          <w:rStyle w:val="FootnoteAnchor"/>
          <w:rtl w:val="true"/>
        </w:rPr>
        <w:footnoteReference w:id="2430"/>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اختاره ابن البرّاج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صدقة الصبیّ إذا بلغ عشر سنین، وهبته</w:t>
      </w:r>
    </w:p>
    <w:p>
      <w:pPr>
        <w:pStyle w:val="BookText"/>
        <w:rPr/>
      </w:pPr>
      <w:r>
        <w:rPr>
          <w:rFonts w:ascii="IRNazanin" w:hAnsi="IRNazanin" w:eastAsia="IRNazanin"/>
          <w:color w:val="111111"/>
          <w:sz w:val="28"/>
          <w:sz w:val="28"/>
          <w:szCs w:val="28"/>
          <w:rtl w:val="true"/>
          <w:lang w:bidi="fa-IR"/>
        </w:rPr>
        <w:t xml:space="preserve">و عتقه إذا کان بالمعروف، و فی وجوه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قدّمناه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w:t>
      </w:r>
      <w:r>
        <w:rPr>
          <w:rStyle w:val="FootnoteAnchor"/>
          <w:rtl w:val="true"/>
        </w:rPr>
        <w:footnoteReference w:id="2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المستند لهذا القول الأخبار المتقدّمة الواردة فی جواز صدقة الصبیّ إذا بلغ عشر سنین، کموثّقة زرارة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أتی علی الغلام عشر سنین فإنّه یجوز له فی ماله ما أعتق أو تصدّق أو أوصی علی حدّ معروف و حقّ فهو جائز</w:t>
      </w:r>
      <w:r>
        <w:rPr>
          <w:rFonts w:eastAsia="IRNazanin" w:cs="IRNazanin"/>
          <w:color w:val="111111"/>
          <w:sz w:val="28"/>
          <w:szCs w:val="28"/>
          <w:rtl w:val="true"/>
          <w:lang w:bidi="fa-IR"/>
        </w:rPr>
        <w:t>»</w:t>
      </w:r>
      <w:r>
        <w:rPr>
          <w:rStyle w:val="FootnoteAnchor"/>
          <w:rtl w:val="true"/>
        </w:rPr>
        <w:footnoteReference w:id="2432"/>
      </w:r>
      <w:r>
        <w:rPr>
          <w:rFonts w:ascii="IRNazanin" w:hAnsi="IRNazanin" w:eastAsia="IRNazanin"/>
          <w:color w:val="111111"/>
          <w:sz w:val="28"/>
          <w:sz w:val="28"/>
          <w:szCs w:val="28"/>
          <w:rtl w:val="true"/>
          <w:lang w:bidi="fa-IR"/>
        </w:rPr>
        <w:t>، بناءً علی أنّ المراد من الصدقة ما یشمل الهبة أیضاً، و لکنّ الظاهر عدم دلالتها؛ لأنّ الهبة أعمّ من الصدقة التی قد صرّحت الأخبار بجوازها من الصبیّ، و لا یمکن إثبات الأعمّ بالأخصّ، و لعلّ الشیخ استند إلی روایات اخری لم تصل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 إلیه المشهور أنّه لا یصحّ،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الأقوی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یصحّ الهبة إلّا من بالغ کامل العقل جائز التصرّف</w:t>
      </w:r>
      <w:r>
        <w:rPr>
          <w:rFonts w:eastAsia="IRNazanin" w:cs="IRNazanin"/>
          <w:color w:val="111111"/>
          <w:sz w:val="28"/>
          <w:szCs w:val="28"/>
          <w:rtl w:val="true"/>
          <w:lang w:bidi="fa-IR"/>
        </w:rPr>
        <w:t>»</w:t>
      </w:r>
      <w:r>
        <w:rPr>
          <w:rStyle w:val="FootnoteAnchor"/>
          <w:rtl w:val="true"/>
        </w:rPr>
        <w:footnoteReference w:id="2433"/>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وهب الصبیّ أو المجنون أو المحجور علیه لفلس أو المملوک لم یصحّ، و کذا فی القواعد و التحریر</w:t>
      </w:r>
      <w:r>
        <w:rPr>
          <w:rStyle w:val="FootnoteAnchor"/>
          <w:rtl w:val="true"/>
        </w:rPr>
        <w:footnoteReference w:id="2434"/>
      </w:r>
      <w:r>
        <w:rPr>
          <w:rFonts w:ascii="Amiri" w:hAnsi="Amiri" w:eastAsia="Amiri" w:cs="Amiri"/>
          <w:color w:val="111111"/>
          <w:sz w:val="28"/>
          <w:sz w:val="28"/>
          <w:szCs w:val="28"/>
          <w:rtl w:val="true"/>
          <w:lang w:bidi="ar-SA"/>
        </w:rPr>
        <w:t>، و به قال المحقّق و ابن حمزة</w:t>
      </w:r>
      <w:r>
        <w:rPr>
          <w:rStyle w:val="FootnoteAnchor"/>
          <w:rtl w:val="true"/>
        </w:rPr>
        <w:footnoteReference w:id="2435"/>
      </w:r>
      <w:r>
        <w:rPr>
          <w:rFonts w:ascii="IRNazanin" w:hAnsi="IRNazanin" w:eastAsia="IRNazanin"/>
          <w:color w:val="111111"/>
          <w:sz w:val="28"/>
          <w:sz w:val="28"/>
          <w:szCs w:val="28"/>
          <w:rtl w:val="true"/>
          <w:lang w:bidi="fa-IR"/>
        </w:rPr>
        <w:t>، و کذا فی الدروس و المسالک و جامع المقاصد و غیرها</w:t>
      </w:r>
      <w:r>
        <w:rPr>
          <w:rStyle w:val="FootnoteAnchor"/>
          <w:rtl w:val="true"/>
        </w:rPr>
        <w:footnoteReference w:id="2436"/>
      </w:r>
      <w:r>
        <w:rPr>
          <w:rFonts w:ascii="IRNazanin" w:hAnsi="IRNazanin" w:eastAsia="IRNazanin"/>
          <w:color w:val="111111"/>
          <w:sz w:val="28"/>
          <w:sz w:val="28"/>
          <w:szCs w:val="28"/>
          <w:rtl w:val="true"/>
          <w:lang w:bidi="fa-IR"/>
        </w:rPr>
        <w:t>، و تردّد فی الکفایة</w:t>
      </w:r>
      <w:r>
        <w:rPr>
          <w:rStyle w:val="FootnoteAnchor"/>
          <w:rtl w:val="true"/>
        </w:rPr>
        <w:footnoteReference w:id="2437"/>
      </w:r>
      <w:r>
        <w:rPr>
          <w:rFonts w:ascii="IRNazanin" w:hAnsi="IRNazanin" w:eastAsia="IRNazanin"/>
          <w:color w:val="111111"/>
          <w:sz w:val="28"/>
          <w:sz w:val="28"/>
          <w:szCs w:val="28"/>
          <w:rtl w:val="true"/>
          <w:lang w:bidi="fa-IR"/>
        </w:rPr>
        <w:t>، و اختاره بعض</w:t>
      </w:r>
    </w:p>
    <w:p>
      <w:pPr>
        <w:pStyle w:val="BookText"/>
        <w:rPr/>
      </w:pPr>
      <w:r>
        <w:rPr>
          <w:rFonts w:ascii="IRNazanin" w:hAnsi="IRNazanin" w:eastAsia="IRNazanin"/>
          <w:color w:val="111111"/>
          <w:sz w:val="28"/>
          <w:sz w:val="28"/>
          <w:szCs w:val="28"/>
          <w:rtl w:val="true"/>
          <w:lang w:bidi="fa-IR"/>
        </w:rPr>
        <w:t>أعلام العصر</w:t>
      </w:r>
      <w:r>
        <w:rPr>
          <w:rStyle w:val="FootnoteAnchor"/>
          <w:rtl w:val="true"/>
        </w:rPr>
        <w:footnoteReference w:id="2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فی کلّ من الواهب و الموهوب له القابل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البلوغ و العقل و القصد و الاختیار</w:t>
      </w:r>
      <w:r>
        <w:rPr>
          <w:rFonts w:eastAsia="IRNazanin" w:cs="IRNazanin"/>
          <w:color w:val="111111"/>
          <w:sz w:val="28"/>
          <w:szCs w:val="28"/>
          <w:rtl w:val="true"/>
          <w:lang w:bidi="fa-IR"/>
        </w:rPr>
        <w:t>»</w:t>
      </w:r>
      <w:r>
        <w:rPr>
          <w:rStyle w:val="FootnoteAnchor"/>
          <w:rtl w:val="true"/>
        </w:rPr>
        <w:footnoteReference w:id="2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تفصیل الشریعة</w:t>
      </w:r>
      <w:r>
        <w:rPr>
          <w:rStyle w:val="FootnoteAnchor"/>
          <w:rtl w:val="true"/>
        </w:rPr>
        <w:footnoteReference w:id="2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البحث مبنیّ علی ما تقدّم فی بیع الصبیّ من أنّ الصبیّ محجور علیه من التصرّف فی أمواله بالاستقلال کما صرّح به غیر واحد من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بدّ فیها بعد أهلیّة التصرّف فی الواهب، و قابلیّة الملک فی الموهوب له، من الإیجاب الدالّ علی تملیک العین</w:t>
      </w:r>
      <w:r>
        <w:rPr>
          <w:rFonts w:eastAsia="IRNazanin" w:cs="IRNazanin"/>
          <w:color w:val="111111"/>
          <w:sz w:val="28"/>
          <w:szCs w:val="28"/>
          <w:rtl w:val="true"/>
          <w:lang w:bidi="fa-IR"/>
        </w:rPr>
        <w:t>»</w:t>
      </w:r>
      <w:r>
        <w:rPr>
          <w:rStyle w:val="FootnoteAnchor"/>
          <w:rtl w:val="true"/>
        </w:rPr>
        <w:footnoteReference w:id="2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کلّ حال، فلا یصحّ العقد أو ما یقوم مقامه إلّا من بالغ، کامل العقل، جائز التصرّف علی حسب ما مرّ غیر مرّة من تفصیل الحال فی ذلک کلّه بالنسبة إلی غیره من العقود، فلاحظ</w:t>
      </w:r>
      <w:r>
        <w:rPr>
          <w:rFonts w:eastAsia="IRNazanin" w:cs="IRNazanin"/>
          <w:color w:val="111111"/>
          <w:sz w:val="28"/>
          <w:szCs w:val="28"/>
          <w:rtl w:val="true"/>
          <w:lang w:bidi="fa-IR"/>
        </w:rPr>
        <w:t>»</w:t>
      </w:r>
      <w:r>
        <w:rPr>
          <w:rStyle w:val="FootnoteAnchor"/>
          <w:rtl w:val="true"/>
        </w:rPr>
        <w:footnoteReference w:id="2442"/>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إذا کان الصبیّ مستقلّاً فی فعله، و أمّا إذا أذن له الولیّ مع رعایة الغبطة و المصلحة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لا غبطة له فی هبة ماله إلّا علی وجه نادر</w:t>
      </w:r>
      <w:r>
        <w:rPr>
          <w:rStyle w:val="FootnoteAnchor"/>
          <w:rtl w:val="true"/>
        </w:rPr>
        <w:footnoteReference w:id="2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القول بجواز تصرّفاته مع الإذن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یکون واهباً، قال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تصحّ هبة الصغیر بإذن الولیّ إذا کانت فیها المصلحة</w:t>
      </w:r>
      <w:r>
        <w:rPr>
          <w:rFonts w:eastAsia="IRNazanin" w:cs="IRNazanin"/>
          <w:color w:val="111111"/>
          <w:sz w:val="28"/>
          <w:szCs w:val="28"/>
          <w:rtl w:val="true"/>
          <w:lang w:bidi="fa-IR"/>
        </w:rPr>
        <w:t>»</w:t>
      </w:r>
      <w:r>
        <w:rPr>
          <w:rStyle w:val="FootnoteAnchor"/>
          <w:rtl w:val="true"/>
        </w:rPr>
        <w:footnoteReference w:id="2444"/>
      </w:r>
      <w:r>
        <w:rPr>
          <w:rFonts w:eastAsia="Times New Roman" w:cs="Times New Roman" w:ascii="Times New Roman" w:hAnsi="Times New Roman"/>
          <w:color w:val="111111"/>
          <w:sz w:val="28"/>
          <w:szCs w:val="28"/>
          <w:rtl w:val="true"/>
          <w:lang w:val="en-US" w:bidi="en-US"/>
        </w:rPr>
        <w:t>.</w:t>
      </w:r>
      <w:bookmarkStart w:id="660" w:name="pg11757_135835"/>
    </w:p>
    <w:p>
      <w:pPr>
        <w:pStyle w:val="Heading6"/>
        <w:numPr>
          <w:ilvl w:val="5"/>
          <w:numId w:val="1"/>
        </w:numPr>
        <w:rPr/>
      </w:pPr>
      <w:bookmarkStart w:id="661" w:name="__RefHeading___Toc9697003_73709187"/>
      <w:bookmarkStart w:id="662" w:name="_Toc245"/>
      <w:bookmarkEnd w:id="660"/>
      <w:bookmarkEnd w:id="661"/>
      <w:r>
        <w:rPr>
          <w:rtl w:val="true"/>
        </w:rPr>
        <w:t>آراء أهل السنّة فی کون الصبیّ واهباً</w:t>
      </w:r>
      <w:bookmarkEnd w:id="662"/>
    </w:p>
    <w:p>
      <w:pPr>
        <w:pStyle w:val="BookText"/>
        <w:rPr/>
      </w:pPr>
      <w:r>
        <w:rPr>
          <w:rFonts w:ascii="Amiri" w:hAnsi="Amiri" w:eastAsia="Amiri" w:cs="Amiri"/>
          <w:color w:val="111111"/>
          <w:sz w:val="28"/>
          <w:sz w:val="28"/>
          <w:szCs w:val="28"/>
          <w:rtl w:val="true"/>
          <w:lang w:bidi="ar-SA"/>
        </w:rPr>
        <w:t>إنّهم متّفقون علی أنّه یشترط أن یکون الواهب بالغاً عاقلاً، فلا تصحّ هبة الصغیر و لو أذِنَ له الولیّ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الهبة من الصبیّ لغیره فلا تصحّ، سواء أذِن فیها الولیّ أم لم یأذن؛ لأنّه محجور علیه لحظّ نفسه، فلا یصحّ تبرّعه کالسفیه</w:t>
      </w:r>
      <w:r>
        <w:rPr>
          <w:rFonts w:eastAsia="IRNazanin" w:cs="IRNazanin"/>
          <w:color w:val="111111"/>
          <w:sz w:val="28"/>
          <w:szCs w:val="28"/>
          <w:rtl w:val="true"/>
          <w:lang w:bidi="fa-IR"/>
        </w:rPr>
        <w:t>»</w:t>
      </w:r>
      <w:r>
        <w:rPr>
          <w:rStyle w:val="FootnoteAnchor"/>
          <w:rtl w:val="true"/>
        </w:rPr>
        <w:footnoteReference w:id="2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مغنی المحتاج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فیشترط فی الواهب الملک و إطلاق التصرّف فی ماله</w:t>
      </w:r>
      <w:r>
        <w:rPr>
          <w:rFonts w:eastAsia="IRNazanin" w:cs="IRNazanin"/>
          <w:color w:val="111111"/>
          <w:sz w:val="28"/>
          <w:szCs w:val="28"/>
          <w:rtl w:val="true"/>
          <w:lang w:bidi="fa-IR"/>
        </w:rPr>
        <w:t>»</w:t>
      </w:r>
      <w:r>
        <w:rPr>
          <w:rStyle w:val="FootnoteAnchor"/>
          <w:rtl w:val="true"/>
        </w:rPr>
        <w:footnoteReference w:id="2446"/>
      </w:r>
      <w:r>
        <w:rPr>
          <w:rFonts w:ascii="IRNazanin" w:hAnsi="IRNazanin" w:eastAsia="IRNazanin"/>
          <w:color w:val="111111"/>
          <w:sz w:val="28"/>
          <w:sz w:val="28"/>
          <w:szCs w:val="28"/>
          <w:rtl w:val="true"/>
          <w:lang w:bidi="fa-IR"/>
        </w:rPr>
        <w:t>و کذا فی عقد الجواهر الثمینة</w:t>
      </w:r>
      <w:r>
        <w:rPr>
          <w:rStyle w:val="FootnoteAnchor"/>
          <w:rtl w:val="true"/>
        </w:rPr>
        <w:footnoteReference w:id="2447"/>
      </w:r>
      <w:r>
        <w:rPr>
          <w:rFonts w:ascii="IRNazanin" w:hAnsi="IRNazanin" w:eastAsia="IRNazanin"/>
          <w:color w:val="111111"/>
          <w:sz w:val="28"/>
          <w:sz w:val="28"/>
          <w:szCs w:val="28"/>
          <w:rtl w:val="true"/>
          <w:lang w:bidi="fa-IR"/>
        </w:rPr>
        <w:t>و المجموع</w:t>
      </w:r>
      <w:r>
        <w:rPr>
          <w:rStyle w:val="FootnoteAnchor"/>
          <w:rtl w:val="true"/>
        </w:rPr>
        <w:footnoteReference w:id="2448"/>
      </w:r>
      <w:r>
        <w:rPr>
          <w:rFonts w:ascii="IRNazanin" w:hAnsi="IRNazanin" w:eastAsia="IRNazanin"/>
          <w:color w:val="111111"/>
          <w:sz w:val="28"/>
          <w:sz w:val="28"/>
          <w:szCs w:val="28"/>
          <w:rtl w:val="true"/>
          <w:lang w:bidi="fa-IR"/>
        </w:rPr>
        <w:t>و غیرهما</w:t>
      </w:r>
      <w:r>
        <w:rPr>
          <w:rStyle w:val="FootnoteAnchor"/>
          <w:rtl w:val="true"/>
        </w:rPr>
        <w:footnoteReference w:id="2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البدائع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ما یرجع إلی الواهب فهو أن یکون ممّن یملک التبرّع؛ لأنّ الهبة تبرّع، فلا یملکها من لا یملک التبرّع، فلا تجوز هبة الصبیّ و المجنون لأنّهما لا یملکان التبرّع؛ لکونه ضرراً محضاً لا یقابله نفع دنیویّ، فلا یملکها الصبیّ و المجنون</w:t>
      </w:r>
      <w:r>
        <w:rPr>
          <w:rFonts w:eastAsia="IRNazanin" w:cs="IRNazanin"/>
          <w:color w:val="111111"/>
          <w:sz w:val="28"/>
          <w:szCs w:val="28"/>
          <w:rtl w:val="true"/>
          <w:lang w:bidi="fa-IR"/>
        </w:rPr>
        <w:t>»</w:t>
      </w:r>
      <w:r>
        <w:rPr>
          <w:rStyle w:val="FootnoteAnchor"/>
          <w:rtl w:val="true"/>
        </w:rPr>
        <w:footnoteReference w:id="24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3" w:name="__RefHeading___Toc9697005_73709187"/>
      <w:bookmarkStart w:id="664" w:name="_Toc246"/>
      <w:bookmarkEnd w:id="663"/>
      <w:r>
        <w:rPr>
          <w:rtl w:val="true"/>
        </w:rPr>
        <w:t>المقام الثانی</w:t>
      </w:r>
      <w:r>
        <w:rPr>
          <w:rtl w:val="true"/>
        </w:rPr>
        <w:t xml:space="preserve">: </w:t>
      </w:r>
      <w:r>
        <w:rPr>
          <w:rtl w:val="true"/>
        </w:rPr>
        <w:t>قبول الصبیّ للهبة</w:t>
      </w:r>
      <w:bookmarkEnd w:id="664"/>
    </w:p>
    <w:p>
      <w:pPr>
        <w:pStyle w:val="Heading6"/>
        <w:numPr>
          <w:ilvl w:val="5"/>
          <w:numId w:val="1"/>
        </w:numPr>
        <w:rPr/>
      </w:pPr>
      <w:bookmarkStart w:id="665" w:name="__RefHeading___Toc9697007_73709187"/>
      <w:bookmarkStart w:id="666" w:name="_Toc247"/>
      <w:bookmarkEnd w:id="665"/>
      <w:r>
        <w:rPr>
          <w:rtl w:val="true"/>
        </w:rPr>
        <w:t>اشارة</w:t>
      </w:r>
      <w:bookmarkEnd w:id="666"/>
    </w:p>
    <w:p>
      <w:pPr>
        <w:pStyle w:val="BookText"/>
        <w:rPr/>
      </w:pPr>
      <w:r>
        <w:rPr>
          <w:rFonts w:ascii="IRNazanin" w:hAnsi="IRNazanin" w:eastAsia="IRNazanin"/>
          <w:color w:val="111111"/>
          <w:sz w:val="28"/>
          <w:sz w:val="28"/>
          <w:szCs w:val="28"/>
          <w:rtl w:val="true"/>
          <w:lang w:bidi="fa-IR"/>
        </w:rPr>
        <w:t>هل یصحّ أن یکون الصبیّ قابلاً للهبة لنفسه أو لغیره؟ فیه قولان</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کلامی الشیخ و ابن البرّاج</w:t>
      </w:r>
      <w:r>
        <w:rPr>
          <w:rStyle w:val="FootnoteAnchor"/>
          <w:rtl w:val="true"/>
        </w:rPr>
        <w:footnoteReference w:id="2451"/>
      </w:r>
      <w:r>
        <w:rPr>
          <w:rFonts w:ascii="IRNazanin" w:hAnsi="IRNazanin" w:eastAsia="IRNazanin"/>
          <w:color w:val="111111"/>
          <w:sz w:val="28"/>
          <w:sz w:val="28"/>
          <w:szCs w:val="28"/>
          <w:rtl w:val="true"/>
          <w:lang w:bidi="fa-IR"/>
        </w:rPr>
        <w:t>المتقدّمین جواز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الظاهر من کلام المحقّق فی الشرائع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یصحّ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عقد الهبة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بالغ، کامل العقل، جائز التصرّف</w:t>
      </w:r>
      <w:r>
        <w:rPr>
          <w:rFonts w:eastAsia="IRNazanin" w:cs="IRNazanin"/>
          <w:color w:val="111111"/>
          <w:sz w:val="28"/>
          <w:szCs w:val="28"/>
          <w:rtl w:val="true"/>
          <w:lang w:bidi="fa-IR"/>
        </w:rPr>
        <w:t>»</w:t>
      </w:r>
      <w:r>
        <w:rPr>
          <w:rStyle w:val="FootnoteAnchor"/>
          <w:rtl w:val="true"/>
        </w:rPr>
        <w:footnoteReference w:id="2452"/>
      </w:r>
      <w:r>
        <w:rPr>
          <w:rFonts w:ascii="IRNazanin" w:hAnsi="IRNazanin" w:eastAsia="IRNazanin"/>
          <w:color w:val="111111"/>
          <w:sz w:val="28"/>
          <w:sz w:val="28"/>
          <w:szCs w:val="28"/>
          <w:rtl w:val="true"/>
          <w:lang w:bidi="fa-IR"/>
        </w:rPr>
        <w:t>؛ لأنّ إطلاق العقد شامل لمتولّی الإیجاب و القبول، فکما لا یصحّ إیجاب الهبة من الصبیّ لا یصحّ قبولها منه، و صرّح به فی القواعد،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یشترط صدورهما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الإیجاب و القبول فی الهبة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مکلّف جائز التصرّف</w:t>
      </w:r>
      <w:r>
        <w:rPr>
          <w:rFonts w:eastAsia="IRNazanin" w:cs="IRNazanin"/>
          <w:color w:val="111111"/>
          <w:sz w:val="28"/>
          <w:szCs w:val="28"/>
          <w:rtl w:val="true"/>
          <w:lang w:bidi="fa-IR"/>
        </w:rPr>
        <w:t>»</w:t>
      </w:r>
      <w:r>
        <w:rPr>
          <w:rStyle w:val="FootnoteAnchor"/>
          <w:rtl w:val="true"/>
        </w:rPr>
        <w:footnoteReference w:id="2453"/>
      </w:r>
      <w:r>
        <w:rPr>
          <w:rFonts w:ascii="IRNazanin" w:hAnsi="IRNazanin" w:eastAsia="IRNazanin"/>
          <w:color w:val="111111"/>
          <w:sz w:val="28"/>
          <w:sz w:val="28"/>
          <w:szCs w:val="28"/>
          <w:rtl w:val="true"/>
          <w:lang w:bidi="fa-IR"/>
        </w:rPr>
        <w:t>، و کذا فی التذکرة</w:t>
      </w:r>
      <w:r>
        <w:rPr>
          <w:rStyle w:val="FootnoteAnchor"/>
          <w:rtl w:val="true"/>
        </w:rPr>
        <w:footnoteReference w:id="2454"/>
      </w:r>
      <w:r>
        <w:rPr>
          <w:rFonts w:ascii="IRNazanin" w:hAnsi="IRNazanin" w:eastAsia="IRNazanin"/>
          <w:color w:val="111111"/>
          <w:sz w:val="28"/>
          <w:sz w:val="28"/>
          <w:szCs w:val="28"/>
          <w:rtl w:val="true"/>
          <w:lang w:bidi="fa-IR"/>
        </w:rPr>
        <w:t>، و به قال المحقّق</w:t>
      </w:r>
      <w:r>
        <w:rPr>
          <w:rStyle w:val="FootnoteAnchor"/>
          <w:rtl w:val="true"/>
        </w:rPr>
        <w:footnoteReference w:id="2455"/>
      </w:r>
      <w:r>
        <w:rPr>
          <w:rFonts w:ascii="IRNazanin" w:hAnsi="IRNazanin" w:eastAsia="IRNazanin"/>
          <w:color w:val="111111"/>
          <w:sz w:val="28"/>
          <w:sz w:val="28"/>
          <w:szCs w:val="28"/>
          <w:rtl w:val="true"/>
          <w:lang w:bidi="fa-IR"/>
        </w:rPr>
        <w:t>و الشهید الثانیان</w:t>
      </w:r>
      <w:r>
        <w:rPr>
          <w:rStyle w:val="FootnoteAnchor"/>
          <w:rtl w:val="true"/>
        </w:rPr>
        <w:footnoteReference w:id="2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اختاره فی مفتاح الکرامة</w:t>
      </w:r>
      <w:r>
        <w:rPr>
          <w:rStyle w:val="FootnoteAnchor"/>
          <w:rtl w:val="true"/>
        </w:rPr>
        <w:footnoteReference w:id="2457"/>
      </w:r>
      <w:r>
        <w:rPr>
          <w:rFonts w:ascii="IRNazanin" w:hAnsi="IRNazanin" w:eastAsia="IRNazanin"/>
          <w:color w:val="111111"/>
          <w:sz w:val="28"/>
          <w:sz w:val="28"/>
          <w:szCs w:val="28"/>
          <w:rtl w:val="true"/>
          <w:lang w:bidi="fa-IR"/>
        </w:rPr>
        <w:t>، و هو الظاهر من الریاض</w:t>
      </w:r>
      <w:r>
        <w:rPr>
          <w:rStyle w:val="FootnoteAnchor"/>
          <w:rtl w:val="true"/>
        </w:rPr>
        <w:footnoteReference w:id="2458"/>
      </w:r>
      <w:r>
        <w:rPr>
          <w:rFonts w:ascii="IRNazanin" w:hAnsi="IRNazanin" w:eastAsia="IRNazanin"/>
          <w:color w:val="111111"/>
          <w:sz w:val="28"/>
          <w:sz w:val="28"/>
          <w:szCs w:val="28"/>
          <w:rtl w:val="true"/>
          <w:lang w:bidi="fa-IR"/>
        </w:rPr>
        <w:t>و الجواهر</w:t>
      </w:r>
      <w:r>
        <w:rPr>
          <w:rStyle w:val="FootnoteAnchor"/>
          <w:rtl w:val="true"/>
        </w:rPr>
        <w:footnoteReference w:id="2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یشترط فی الموهوب له أیضاً أن یکون بالغاً عاقلاً، فلا یصحّ قبول الهبة من الصبیّ و المجنون</w:t>
      </w:r>
      <w:r>
        <w:rPr>
          <w:rFonts w:eastAsia="IRNazanin" w:cs="IRNazanin"/>
          <w:color w:val="111111"/>
          <w:sz w:val="28"/>
          <w:szCs w:val="28"/>
          <w:rtl w:val="true"/>
          <w:lang w:bidi="fa-IR"/>
        </w:rPr>
        <w:t>»</w:t>
      </w:r>
      <w:r>
        <w:rPr>
          <w:rStyle w:val="FootnoteAnchor"/>
          <w:rtl w:val="true"/>
        </w:rPr>
        <w:footnoteReference w:id="2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تحریر الوسیلة</w:t>
      </w:r>
      <w:r>
        <w:rPr>
          <w:rStyle w:val="FootnoteAnchor"/>
          <w:rtl w:val="true"/>
        </w:rPr>
        <w:footnoteReference w:id="2461"/>
      </w:r>
      <w:r>
        <w:rPr>
          <w:rFonts w:ascii="IRNazanin" w:hAnsi="IRNazanin" w:eastAsia="IRNazanin"/>
          <w:color w:val="111111"/>
          <w:sz w:val="28"/>
          <w:sz w:val="28"/>
          <w:szCs w:val="28"/>
          <w:rtl w:val="true"/>
          <w:lang w:bidi="fa-IR"/>
        </w:rPr>
        <w:t>و شرحها</w:t>
      </w:r>
      <w:r>
        <w:rPr>
          <w:rStyle w:val="FootnoteAnchor"/>
          <w:rtl w:val="true"/>
        </w:rPr>
        <w:footnoteReference w:id="2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المستند عندهم محجوریّة الصبیّ و کونه مسلوب العبارة، فلا عبرة بکلامه و لا یصحّ منه قبول الهبة و لو لنفسه</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إثبات سلب العبارة عنه حتّی بالنسبة إلی جلب المنفعة لنفسه</w:t>
      </w:r>
      <w:bookmarkStart w:id="667" w:name="pg11757_135837"/>
    </w:p>
    <w:p>
      <w:pPr>
        <w:pStyle w:val="BookText"/>
        <w:rPr/>
      </w:pPr>
      <w:bookmarkEnd w:id="667"/>
      <w:r>
        <w:rPr>
          <w:rFonts w:ascii="IRNazanin" w:hAnsi="IRNazanin" w:eastAsia="IRNazanin"/>
          <w:color w:val="111111"/>
          <w:sz w:val="28"/>
          <w:sz w:val="28"/>
          <w:szCs w:val="28"/>
          <w:rtl w:val="true"/>
          <w:lang w:bidi="fa-IR"/>
        </w:rPr>
        <w:t xml:space="preserve">کما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قبوله للهبة لا ضرر فیه، بل هو نفع 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بل المستفاد من الأدلّة أنّه محجور علیه و مسلوب العبارة حتّی لا یوجب تصرّفه فی أمواله ضرراً علیه، فإذا لم یکن موجباً للضرر فلا تشمله إطلاقات المنع، و لا أقلّ من الشکّ فیه، فیدخل فی التصرّفات الجائزة، و قد تقدّم فی بحث بیع الصبیّ زیادة توضیح فیما یناسب المقام، فراجع</w:t>
      </w:r>
      <w:r>
        <w:rPr>
          <w:rStyle w:val="FootnoteAnchor"/>
          <w:rtl w:val="true"/>
        </w:rPr>
        <w:footnoteReference w:id="2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مع ذلک کلّه حیث إنّ مخالفة المشهور أمرٌ مشکل جدّاً، فلا یترک الاحتیاط، و لعلّه لذلک تردّد المحقّق السبزواری قدس سره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یصحّ عقد الإیجاب و القبول إلّا من بالغ عاقل جائز التصرّف، و فیمن بلغ عشراً تردّد</w:t>
      </w:r>
      <w:r>
        <w:rPr>
          <w:rFonts w:eastAsia="IRNazanin" w:cs="IRNazanin"/>
          <w:color w:val="111111"/>
          <w:sz w:val="28"/>
          <w:szCs w:val="28"/>
          <w:rtl w:val="true"/>
          <w:lang w:bidi="fa-IR"/>
        </w:rPr>
        <w:t>»</w:t>
      </w:r>
      <w:r>
        <w:rPr>
          <w:rStyle w:val="FootnoteAnchor"/>
          <w:rtl w:val="true"/>
        </w:rPr>
        <w:footnoteReference w:id="2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إذا کان الصبیّ مستقلّاً فی قبوله للهبة، و أمّا إذا کان بإذن الولیّ فعلی قول من یقول بصحّة تصرّفات الصبیّ إذا وقع بإذن الولیّ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منه القبول، و الدلیل علیه أیضاً ما تقدّم فی بیع الصبیّ و إجارته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فی التحریر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یفتقر الممیّز فی القبول و القبض إلی إذن الولیّ</w:t>
      </w:r>
      <w:r>
        <w:rPr>
          <w:rFonts w:eastAsia="IRNazanin" w:cs="IRNazanin"/>
          <w:color w:val="111111"/>
          <w:sz w:val="28"/>
          <w:szCs w:val="28"/>
          <w:rtl w:val="true"/>
          <w:lang w:bidi="fa-IR"/>
        </w:rPr>
        <w:t>»</w:t>
      </w:r>
      <w:r>
        <w:rPr>
          <w:rStyle w:val="FootnoteAnchor"/>
          <w:rtl w:val="true"/>
        </w:rPr>
        <w:footnoteReference w:id="24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8" w:name="__RefHeading___Toc9697009_73709187"/>
      <w:bookmarkStart w:id="669" w:name="_Toc248"/>
      <w:bookmarkEnd w:id="668"/>
      <w:r>
        <w:rPr>
          <w:rtl w:val="true"/>
        </w:rPr>
        <w:t>آراء أهل السنّة فی قبول الصبیّ للهبة</w:t>
      </w:r>
      <w:bookmarkEnd w:id="669"/>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اختلفت آراء أهل السنّة فی صحّة قبول الهبة من الصبیّ و عدمها، و إلیک نصّ کلماتهم</w:t>
      </w:r>
      <w:r>
        <w:rPr>
          <w:rFonts w:eastAsia="IRNazanin" w:cs="IRNazanin"/>
          <w:color w:val="111111"/>
          <w:sz w:val="28"/>
          <w:szCs w:val="28"/>
          <w:rtl w:val="true"/>
          <w:lang w:bidi="fa-IR"/>
        </w:rPr>
        <w:t>:</w:t>
      </w:r>
      <w:bookmarkStart w:id="670" w:name="pg11757_135838"/>
    </w:p>
    <w:p>
      <w:pPr>
        <w:pStyle w:val="Heading6"/>
        <w:numPr>
          <w:ilvl w:val="5"/>
          <w:numId w:val="1"/>
        </w:numPr>
        <w:rPr/>
      </w:pPr>
      <w:bookmarkStart w:id="671" w:name="__RefHeading___Toc9697011_73709187"/>
      <w:bookmarkStart w:id="672" w:name="_Toc249"/>
      <w:bookmarkEnd w:id="670"/>
      <w:bookmarkEnd w:id="671"/>
      <w:r>
        <w:rPr>
          <w:rtl w:val="true"/>
        </w:rPr>
        <w:t xml:space="preserve">ألف </w:t>
      </w:r>
      <w:r>
        <w:rPr>
          <w:rtl w:val="true"/>
        </w:rPr>
        <w:t xml:space="preserve">- </w:t>
      </w:r>
      <w:r>
        <w:rPr>
          <w:rtl w:val="true"/>
        </w:rPr>
        <w:t>الحنابلة</w:t>
      </w:r>
      <w:bookmarkEnd w:id="672"/>
    </w:p>
    <w:p>
      <w:pPr>
        <w:pStyle w:val="BookText"/>
        <w:rPr/>
      </w:pPr>
      <w:r>
        <w:rPr>
          <w:rFonts w:ascii="IRNazanin" w:hAnsi="IRNazanin" w:eastAsia="IRNazanin"/>
          <w:color w:val="111111"/>
          <w:sz w:val="28"/>
          <w:sz w:val="28"/>
          <w:szCs w:val="28"/>
          <w:rtl w:val="true"/>
          <w:lang w:bidi="fa-IR"/>
        </w:rPr>
        <w:t>صرّحوا فی أحد قولیهم بصحّة قبول الهبة من الصبیّ و لا یحتاج إلی إذن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الصبیّ ممیّزاً فحکمه حکم الطفل فی قیام ولیّه مقامه؛ لأنّ الولایة لا تزول عنه قبل البلوغ، إلاّ أنّه إذا قبل لنفسه و قبض لها صحّ؛ لأنّه من أهل التصرّف، فإنّه یصحّ بیعه و شراؤه بإذن الولیّ فهاهنا أولی، و لا یحتاج إلی إذن الولیّ ههنا، لأنّه مصلحة لا ضرر فیه، فصحّ من غیر إذن ولیّه کوصیّته و کسبه المباحات، و یحتمل أن یقف صحّة القبض منه علی إذن ولیّه دون القبول؛ لأنّ القبض یحصل به مستولیاً علی المال، فلا یؤمن تضییعه له و تفریطه فیه، فیتعیّن حفظه عن ذلک بتوقّفه علی إذن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القبول، فإنّه یحصل له به الملک من غیر ضرر، فجاز من غیر إذن</w:t>
      </w:r>
      <w:r>
        <w:rPr>
          <w:rFonts w:eastAsia="IRNazanin" w:cs="IRNazanin"/>
          <w:color w:val="111111"/>
          <w:sz w:val="28"/>
          <w:szCs w:val="28"/>
          <w:rtl w:val="true"/>
          <w:lang w:bidi="fa-IR"/>
        </w:rPr>
        <w:t>»</w:t>
      </w:r>
      <w:r>
        <w:rPr>
          <w:rStyle w:val="FootnoteAnchor"/>
          <w:rtl w:val="true"/>
        </w:rPr>
        <w:footnoteReference w:id="2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قول آخر قال المرداوی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یصحّ قبض الطفل و المجنون لنفسه و لا قبوله، و ولیّه یقوم مقامه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من الممیّز قبض الهبة و لا قبولها علی الصحیح من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أشهر الروایتین و علیه معظم الأصحاب</w:t>
      </w:r>
      <w:r>
        <w:rPr>
          <w:rFonts w:eastAsia="IRNazanin" w:cs="IRNazanin"/>
          <w:color w:val="111111"/>
          <w:sz w:val="28"/>
          <w:szCs w:val="28"/>
          <w:rtl w:val="true"/>
          <w:lang w:bidi="fa-IR"/>
        </w:rPr>
        <w:t>»</w:t>
      </w:r>
      <w:r>
        <w:rPr>
          <w:rStyle w:val="FootnoteAnchor"/>
          <w:rtl w:val="true"/>
        </w:rPr>
        <w:footnoteReference w:id="24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3" w:name="__RefHeading___Toc9697013_73709187"/>
      <w:bookmarkStart w:id="674" w:name="_Toc250"/>
      <w:bookmarkEnd w:id="673"/>
      <w:r>
        <w:rPr>
          <w:rtl w:val="true"/>
        </w:rPr>
        <w:t xml:space="preserve">ب </w:t>
      </w:r>
      <w:r>
        <w:rPr>
          <w:rtl w:val="true"/>
        </w:rPr>
        <w:t xml:space="preserve">- </w:t>
      </w:r>
      <w:r>
        <w:rPr>
          <w:rtl w:val="true"/>
        </w:rPr>
        <w:t>الحنفیّة</w:t>
      </w:r>
      <w:bookmarkEnd w:id="674"/>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اشترطوا فی جواز القبول، أن یکون عاقلاً فقط، و أمّا البلوغ فلیس بشرط عندهم</w:t>
      </w:r>
      <w:r>
        <w:rPr>
          <w:rFonts w:eastAsia="IRNazanin" w:cs="IRNazanin"/>
          <w:color w:val="111111"/>
          <w:sz w:val="28"/>
          <w:szCs w:val="28"/>
          <w:rtl w:val="true"/>
          <w:lang w:bidi="fa-IR"/>
        </w:rPr>
        <w:t>.</w:t>
      </w:r>
      <w:bookmarkStart w:id="675" w:name="pg11757_135839"/>
    </w:p>
    <w:p>
      <w:pPr>
        <w:pStyle w:val="BookText"/>
        <w:rPr/>
      </w:pPr>
      <w:bookmarkEnd w:id="675"/>
      <w:r>
        <w:rPr>
          <w:rFonts w:ascii="IRNazanin" w:hAnsi="IRNazanin" w:eastAsia="IRNazanin"/>
          <w:color w:val="111111"/>
          <w:sz w:val="28"/>
          <w:sz w:val="28"/>
          <w:szCs w:val="28"/>
          <w:rtl w:val="true"/>
          <w:lang w:bidi="fa-IR"/>
        </w:rPr>
        <w:t>جاء فی البدائع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الصبیّ العاقل فتصحّ منه التصرّفات النافعة بلا خلاف</w:t>
      </w:r>
      <w:r>
        <w:rPr>
          <w:rFonts w:eastAsia="IRNazanin" w:cs="IRNazanin"/>
          <w:color w:val="111111"/>
          <w:sz w:val="28"/>
          <w:szCs w:val="28"/>
          <w:rtl w:val="true"/>
          <w:lang w:bidi="fa-IR"/>
        </w:rPr>
        <w:t>»</w:t>
      </w:r>
      <w:r>
        <w:rPr>
          <w:rStyle w:val="FootnoteAnchor"/>
          <w:rtl w:val="true"/>
        </w:rPr>
        <w:footnoteReference w:id="2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یجوز قبض المجنون و الصبیّ الذی لا یعقل، و أمّا البلوغ فلیس بشرط لصحّة القبض استحساناً، فیجوز قبض الصبیّ العاقل ما وهب له</w:t>
      </w:r>
      <w:r>
        <w:rPr>
          <w:rFonts w:eastAsia="IRNazanin" w:cs="IRNazanin"/>
          <w:color w:val="111111"/>
          <w:sz w:val="28"/>
          <w:szCs w:val="28"/>
          <w:rtl w:val="true"/>
          <w:lang w:bidi="fa-IR"/>
        </w:rPr>
        <w:t>»</w:t>
      </w:r>
      <w:r>
        <w:rPr>
          <w:rStyle w:val="FootnoteAnchor"/>
          <w:rtl w:val="true"/>
        </w:rPr>
        <w:footnoteReference w:id="2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شرح فتح القدیر</w:t>
      </w:r>
      <w:r>
        <w:rPr>
          <w:rStyle w:val="FootnoteAnchor"/>
          <w:rtl w:val="true"/>
        </w:rPr>
        <w:footnoteReference w:id="2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درر الحکّام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یعتبر تصرّف الصغیر الممیّز إذا کان فی حقّه نفعاً محضاً، و إن لم یأذن به الولیّ و لم یجزه کقبول الهدیّة و الهبة</w:t>
      </w:r>
      <w:r>
        <w:rPr>
          <w:rFonts w:eastAsia="IRNazanin" w:cs="IRNazanin"/>
          <w:color w:val="111111"/>
          <w:sz w:val="28"/>
          <w:szCs w:val="28"/>
          <w:rtl w:val="true"/>
          <w:lang w:bidi="fa-IR"/>
        </w:rPr>
        <w:t>»</w:t>
      </w:r>
      <w:r>
        <w:rPr>
          <w:rStyle w:val="FootnoteAnchor"/>
          <w:rtl w:val="true"/>
        </w:rPr>
        <w:footnoteReference w:id="24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6" w:name="__RefHeading___Toc9697015_73709187"/>
      <w:bookmarkStart w:id="677" w:name="_Toc251"/>
      <w:bookmarkEnd w:id="676"/>
      <w:r>
        <w:rPr>
          <w:rtl w:val="true"/>
        </w:rPr>
        <w:t xml:space="preserve">ج </w:t>
      </w:r>
      <w:r>
        <w:rPr>
          <w:rtl w:val="true"/>
        </w:rPr>
        <w:t xml:space="preserve">- </w:t>
      </w:r>
      <w:r>
        <w:rPr>
          <w:rtl w:val="true"/>
        </w:rPr>
        <w:t>الشافعیّة و المالکیّة</w:t>
      </w:r>
      <w:bookmarkEnd w:id="677"/>
    </w:p>
    <w:p>
      <w:pPr>
        <w:pStyle w:val="BookText"/>
        <w:rPr/>
      </w:pPr>
      <w:r>
        <w:rPr>
          <w:rFonts w:ascii="IRNazanin" w:hAnsi="IRNazanin" w:eastAsia="IRNazanin"/>
          <w:color w:val="111111"/>
          <w:sz w:val="28"/>
          <w:sz w:val="28"/>
          <w:szCs w:val="28"/>
          <w:rtl w:val="true"/>
          <w:lang w:bidi="fa-IR"/>
        </w:rPr>
        <w:t>إنّهم قالوا بعدم الصحّة، جاء فی مغنی المحتاج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یشترط فی الموهوب له أن یکون فیه أهلیّة الملک لما یوهب له من تکلیف و غیره، و سیأتی أنّ غیر المکلّف یقبل له 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یقبل الهبة للصغیر و نحوه ممّن لیس أهلاً للقبول الولیّ</w:t>
      </w:r>
      <w:r>
        <w:rPr>
          <w:rFonts w:eastAsia="IRNazanin" w:cs="IRNazanin"/>
          <w:color w:val="111111"/>
          <w:sz w:val="28"/>
          <w:szCs w:val="28"/>
          <w:rtl w:val="true"/>
          <w:lang w:bidi="fa-IR"/>
        </w:rPr>
        <w:t>»</w:t>
      </w:r>
      <w:r>
        <w:rPr>
          <w:rStyle w:val="FootnoteAnchor"/>
          <w:rtl w:val="true"/>
        </w:rPr>
        <w:footnoteReference w:id="2472"/>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رشد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شرط الموهوب له أن یکون ممّن یصحّ قبوله و قبضه</w:t>
      </w:r>
      <w:r>
        <w:rPr>
          <w:rFonts w:eastAsia="IRNazanin" w:cs="IRNazanin"/>
          <w:color w:val="111111"/>
          <w:sz w:val="28"/>
          <w:szCs w:val="28"/>
          <w:rtl w:val="true"/>
          <w:lang w:bidi="fa-IR"/>
        </w:rPr>
        <w:t>»</w:t>
      </w:r>
      <w:r>
        <w:rPr>
          <w:rStyle w:val="FootnoteAnchor"/>
          <w:rtl w:val="true"/>
        </w:rPr>
        <w:footnoteReference w:id="2473"/>
      </w:r>
      <w:r>
        <w:rPr>
          <w:rFonts w:eastAsia="Times New Roman" w:cs="Times New Roman" w:ascii="Times New Roman" w:hAnsi="Times New Roman"/>
          <w:color w:val="111111"/>
          <w:sz w:val="28"/>
          <w:szCs w:val="28"/>
          <w:rtl w:val="true"/>
          <w:lang w:val="en-US" w:bidi="en-US"/>
        </w:rPr>
        <w:t>.</w:t>
      </w:r>
      <w:bookmarkStart w:id="678" w:name="pg11757_135842"/>
    </w:p>
    <w:p>
      <w:pPr>
        <w:pStyle w:val="Heading3"/>
        <w:numPr>
          <w:ilvl w:val="2"/>
          <w:numId w:val="1"/>
        </w:numPr>
        <w:rPr/>
      </w:pPr>
      <w:bookmarkStart w:id="679" w:name="__RefHeading___Toc9697017_73709187"/>
      <w:bookmarkStart w:id="680" w:name="_Toc252"/>
      <w:bookmarkEnd w:id="678"/>
      <w:bookmarkEnd w:id="679"/>
      <w:r>
        <w:rPr>
          <w:rtl w:val="true"/>
        </w:rPr>
        <w:t>الفصل السابع عشر</w:t>
      </w:r>
      <w:r>
        <w:rPr>
          <w:rtl w:val="true"/>
        </w:rPr>
        <w:t xml:space="preserve">: </w:t>
      </w:r>
      <w:r>
        <w:rPr>
          <w:rtl w:val="true"/>
        </w:rPr>
        <w:t>وصیّة الصبیّ ، و الوصیّة إلیه</w:t>
      </w:r>
      <w:bookmarkEnd w:id="680"/>
    </w:p>
    <w:p>
      <w:pPr>
        <w:pStyle w:val="Heading4"/>
        <w:numPr>
          <w:ilvl w:val="3"/>
          <w:numId w:val="1"/>
        </w:numPr>
        <w:rPr/>
      </w:pPr>
      <w:bookmarkStart w:id="681" w:name="__RefHeading___Toc9697019_73709187"/>
      <w:bookmarkStart w:id="682" w:name="_Toc253"/>
      <w:bookmarkEnd w:id="681"/>
      <w:r>
        <w:rPr>
          <w:rtl w:val="true"/>
        </w:rPr>
        <w:t>اشارة</w:t>
      </w:r>
      <w:bookmarkEnd w:id="682"/>
    </w:p>
    <w:p>
      <w:pPr>
        <w:pStyle w:val="BookText"/>
        <w:rPr/>
      </w:pPr>
      <w:r>
        <w:rPr>
          <w:rFonts w:ascii="IRNazanin" w:hAnsi="IRNazanin" w:eastAsia="IRNazanin"/>
          <w:color w:val="111111"/>
          <w:sz w:val="28"/>
          <w:sz w:val="28"/>
          <w:szCs w:val="28"/>
          <w:rtl w:val="true"/>
          <w:lang w:bidi="fa-IR"/>
        </w:rPr>
        <w:t>و فیه مباحث</w:t>
      </w:r>
    </w:p>
    <w:p>
      <w:pPr>
        <w:pStyle w:val="Heading4"/>
        <w:numPr>
          <w:ilvl w:val="3"/>
          <w:numId w:val="1"/>
        </w:numPr>
        <w:rPr/>
      </w:pPr>
      <w:bookmarkStart w:id="683" w:name="__RefHeading___Toc9697021_73709187"/>
      <w:bookmarkStart w:id="684" w:name="_Toc254"/>
      <w:bookmarkEnd w:id="683"/>
      <w:r>
        <w:rPr>
          <w:rtl w:val="true"/>
        </w:rPr>
        <w:t>المبحث الأوّل</w:t>
      </w:r>
      <w:r>
        <w:rPr>
          <w:rtl w:val="true"/>
        </w:rPr>
        <w:t xml:space="preserve">: </w:t>
      </w:r>
      <w:r>
        <w:rPr>
          <w:rtl w:val="true"/>
        </w:rPr>
        <w:t>وصیّة الصبیّ‌</w:t>
      </w:r>
      <w:bookmarkEnd w:id="684"/>
    </w:p>
    <w:p>
      <w:pPr>
        <w:pStyle w:val="Heading5"/>
        <w:numPr>
          <w:ilvl w:val="4"/>
          <w:numId w:val="1"/>
        </w:numPr>
        <w:rPr/>
      </w:pPr>
      <w:bookmarkStart w:id="685" w:name="__RefHeading___Toc9697023_73709187"/>
      <w:bookmarkStart w:id="686" w:name="_Toc255"/>
      <w:bookmarkEnd w:id="685"/>
      <w:r>
        <w:rPr>
          <w:rtl w:val="true"/>
        </w:rPr>
        <w:t>اشارة</w:t>
      </w:r>
      <w:bookmarkEnd w:id="686"/>
    </w:p>
    <w:p>
      <w:pPr>
        <w:pStyle w:val="BookText"/>
        <w:rPr/>
      </w:pPr>
      <w:r>
        <w:rPr>
          <w:rFonts w:ascii="IRNazanin" w:hAnsi="IRNazanin" w:eastAsia="IRNazanin"/>
          <w:color w:val="111111"/>
          <w:sz w:val="28"/>
          <w:sz w:val="28"/>
          <w:szCs w:val="28"/>
          <w:rtl w:val="true"/>
          <w:lang w:bidi="fa-IR"/>
        </w:rPr>
        <w:t>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فعیلة من وصی یصی إذا وصل الشیء بغیره؛ لأنّ الموصی یوصل تصرّفه بعد الموت بما قبله</w:t>
      </w:r>
      <w:r>
        <w:rPr>
          <w:rStyle w:val="FootnoteAnchor"/>
          <w:rtl w:val="true"/>
        </w:rPr>
        <w:footnoteReference w:id="2474"/>
      </w:r>
      <w:r>
        <w:rPr>
          <w:rFonts w:ascii="IRNazanin" w:hAnsi="IRNazanin" w:eastAsia="IRNazanin"/>
          <w:color w:val="111111"/>
          <w:sz w:val="28"/>
          <w:sz w:val="28"/>
          <w:szCs w:val="28"/>
          <w:rtl w:val="true"/>
          <w:lang w:bidi="fa-IR"/>
        </w:rPr>
        <w:t>،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من أوصی أو وصّی بالتشدید، و استعمل بمعنی العهد أیضاً</w:t>
      </w:r>
      <w:r>
        <w:rPr>
          <w:rStyle w:val="FootnoteAnchor"/>
          <w:rtl w:val="true"/>
        </w:rPr>
        <w:footnoteReference w:id="2475"/>
      </w:r>
      <w:r>
        <w:rPr>
          <w:rFonts w:ascii="IRNazanin" w:hAnsi="IRNazanin" w:eastAsia="IRNazanin"/>
          <w:color w:val="111111"/>
          <w:sz w:val="28"/>
          <w:sz w:val="28"/>
          <w:szCs w:val="28"/>
          <w:rtl w:val="true"/>
          <w:lang w:bidi="fa-IR"/>
        </w:rPr>
        <w:t>، و الاسم الوصایة بکسر الواو أو فتحها</w:t>
      </w:r>
      <w:r>
        <w:rPr>
          <w:rStyle w:val="FootnoteAnchor"/>
          <w:rtl w:val="true"/>
        </w:rPr>
        <w:footnoteReference w:id="2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الوصیّة ما أوصیت به، و سمّیت وصیّة لاتّصالها بأمر المیّت</w:t>
      </w:r>
      <w:r>
        <w:rPr>
          <w:rStyle w:val="FootnoteAnchor"/>
          <w:rtl w:val="true"/>
        </w:rPr>
        <w:footnoteReference w:id="2477"/>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تملیک عین أو منفعة أو تسلیط علی تصرّف بعد</w:t>
      </w:r>
    </w:p>
    <w:p>
      <w:pPr>
        <w:pStyle w:val="BookText"/>
        <w:rPr/>
      </w:pPr>
      <w:r>
        <w:rPr>
          <w:rFonts w:ascii="IRNazanin" w:hAnsi="IRNazanin" w:eastAsia="IRNazanin"/>
          <w:color w:val="111111"/>
          <w:sz w:val="28"/>
          <w:sz w:val="28"/>
          <w:szCs w:val="28"/>
          <w:rtl w:val="true"/>
          <w:lang w:bidi="fa-IR"/>
        </w:rPr>
        <w:t>الوفاة، کما فی المختصر النافع</w:t>
      </w:r>
      <w:r>
        <w:rPr>
          <w:rStyle w:val="FootnoteAnchor"/>
          <w:rtl w:val="true"/>
        </w:rPr>
        <w:footnoteReference w:id="2478"/>
      </w:r>
      <w:r>
        <w:rPr>
          <w:rFonts w:ascii="Amiri" w:hAnsi="Amiri" w:eastAsia="Amiri" w:cs="Amiri"/>
          <w:color w:val="111111"/>
          <w:sz w:val="28"/>
          <w:sz w:val="28"/>
          <w:szCs w:val="28"/>
          <w:rtl w:val="true"/>
          <w:lang w:bidi="ar-SA"/>
        </w:rPr>
        <w:t>و اللمعة</w:t>
      </w:r>
      <w:r>
        <w:rPr>
          <w:rStyle w:val="FootnoteAnchor"/>
          <w:rtl w:val="true"/>
        </w:rPr>
        <w:footnoteReference w:id="2479"/>
      </w:r>
      <w:r>
        <w:rPr>
          <w:rFonts w:ascii="IRNazanin" w:hAnsi="IRNazanin" w:eastAsia="IRNazanin"/>
          <w:color w:val="111111"/>
          <w:sz w:val="28"/>
          <w:sz w:val="28"/>
          <w:szCs w:val="28"/>
          <w:rtl w:val="true"/>
          <w:lang w:bidi="fa-IR"/>
        </w:rPr>
        <w:t>و غیرهما</w:t>
      </w:r>
      <w:r>
        <w:rPr>
          <w:rStyle w:val="FootnoteAnchor"/>
          <w:rtl w:val="true"/>
        </w:rPr>
        <w:footnoteReference w:id="2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السیّد الحکیم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العهد فی حال الحیاة بما بعد الوفاة، و الوجه فی هذا الاصطلاح لیس هو ملاحظة وصل الممات بالحیاة، بل المتابعة للقرآن المجید حیث عبّر عن العهد المذکور بالوصیّة، مثل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إِذا حَضَرَ أَحَدَکُمُ الْمَوْتُ إِنْ تَرَکَ خَیْراً الْوَصِیَّةُ لِلْوالِدَیْنِ وَ الْأَقْرَبِینَ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فهذا التعبیر عن العهد الخاصّ بالوصیّة هو الذی دعا إلی الاصطلاح المذکور</w:t>
      </w:r>
      <w:r>
        <w:rPr>
          <w:rFonts w:eastAsia="Amiri" w:cs="Amiri" w:ascii="Amiri" w:hAnsi="Amiri"/>
          <w:color w:val="111111"/>
          <w:sz w:val="28"/>
          <w:szCs w:val="28"/>
          <w:rtl w:val="true"/>
          <w:lang w:bidi="ar-SA"/>
        </w:rPr>
        <w:t>»</w:t>
      </w:r>
      <w:r>
        <w:rPr>
          <w:rStyle w:val="FootnoteAnchor"/>
          <w:rtl w:val="true"/>
        </w:rPr>
        <w:footnoteReference w:id="2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المبانی</w:t>
      </w:r>
      <w:r>
        <w:rPr>
          <w:rStyle w:val="FootnoteAnchor"/>
          <w:rtl w:val="true"/>
        </w:rPr>
        <w:footnoteReference w:id="2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الوصایة فهی الولایة علی إخراج حقّ أو استیفائه أو علی طفل أو مجنون یملک الوصیّ الولایة علیه بالأصالة کالأب و الجدّ، أو بالعرض کالوصیّ المأذون له فی الإیصاء، کما فی الجواهر</w:t>
      </w:r>
      <w:r>
        <w:rPr>
          <w:rStyle w:val="FootnoteAnchor"/>
          <w:rtl w:val="true"/>
        </w:rPr>
        <w:footnoteReference w:id="2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الوصیّة علی ثلاثة أقسام</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الوصیّة التملیکیّة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أن یوصی بشیء من ترکته لشخص خاصّ کزید أو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کونها تملیکیّة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صیرورة الشخص الموصی له مالکاً لذلک الشیء بنفس هذه الوصیّة، غایة الأمر یتحقّق الملک بعد موت الموصی، لا أنّه یوصی بتملیکه و جعله بعد الموت ملکاً له</w:t>
      </w:r>
      <w:r>
        <w:rPr>
          <w:rFonts w:eastAsia="IRNazanin" w:cs="IRNazanin"/>
          <w:color w:val="111111"/>
          <w:sz w:val="28"/>
          <w:szCs w:val="28"/>
          <w:rtl w:val="true"/>
          <w:lang w:bidi="fa-IR"/>
        </w:rPr>
        <w:t>.</w:t>
      </w:r>
      <w:bookmarkStart w:id="687" w:name="pg11757_135844"/>
    </w:p>
    <w:p>
      <w:pPr>
        <w:pStyle w:val="BookText"/>
        <w:rPr/>
      </w:pPr>
      <w:bookmarkEnd w:id="687"/>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الوصیّة العهدیّة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إمّا عهد متعلّق بالغیر، أو متعلّق بنفس الموصی کالوصیّة بما یتعلّق بتجهیزه، أو الدفن فی مکان خاصّ أو باستئجار الحجّ و نحوها، و لعلّ هذا القسم هو الغالب من أقسام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الوصیّة الفکّیّة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مرجعها إلی فکّ الملک کالإیصاء بالوقف 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وصیّة الصبیّ غیر الممیّز فلا تصحّ إجماعاً</w:t>
      </w:r>
      <w:r>
        <w:rPr>
          <w:rStyle w:val="FootnoteAnchor"/>
          <w:rtl w:val="true"/>
        </w:rPr>
        <w:footnoteReference w:id="2484"/>
      </w:r>
      <w:r>
        <w:rPr>
          <w:rFonts w:ascii="IRNazanin" w:hAnsi="IRNazanin" w:eastAsia="IRNazanin"/>
          <w:color w:val="111111"/>
          <w:sz w:val="28"/>
          <w:sz w:val="28"/>
          <w:szCs w:val="28"/>
          <w:rtl w:val="true"/>
          <w:lang w:bidi="fa-IR"/>
        </w:rPr>
        <w:t>، و اختلف الأصحاب فی الممیّز علی أقوال تسعة</w:t>
      </w:r>
      <w:r>
        <w:rPr>
          <w:rFonts w:eastAsia="IRNazanin" w:cs="IRNazanin"/>
          <w:color w:val="111111"/>
          <w:sz w:val="28"/>
          <w:szCs w:val="28"/>
          <w:rtl w:val="true"/>
          <w:lang w:bidi="fa-IR"/>
        </w:rPr>
        <w:t>:</w:t>
      </w:r>
    </w:p>
    <w:p>
      <w:pPr>
        <w:pStyle w:val="Heading5"/>
        <w:numPr>
          <w:ilvl w:val="4"/>
          <w:numId w:val="1"/>
        </w:numPr>
        <w:rPr/>
      </w:pPr>
      <w:bookmarkStart w:id="688" w:name="__RefHeading___Toc9697025_73709187"/>
      <w:bookmarkStart w:id="689" w:name="_Toc256"/>
      <w:bookmarkEnd w:id="688"/>
      <w:r>
        <w:rPr>
          <w:rtl w:val="true"/>
        </w:rPr>
        <w:t>القول الأوّل</w:t>
      </w:r>
      <w:r>
        <w:rPr>
          <w:rtl w:val="true"/>
        </w:rPr>
        <w:t xml:space="preserve">: </w:t>
      </w:r>
      <w:r>
        <w:rPr>
          <w:rtl w:val="true"/>
        </w:rPr>
        <w:t>عدم نفوذ وصیّة الصبیّ مطلقاً</w:t>
      </w:r>
      <w:bookmarkEnd w:id="689"/>
    </w:p>
    <w:p>
      <w:pPr>
        <w:pStyle w:val="BookText"/>
        <w:rPr/>
      </w:pPr>
      <w:r>
        <w:rPr>
          <w:rFonts w:ascii="IRNazanin" w:hAnsi="IRNazanin" w:eastAsia="IRNazanin"/>
          <w:color w:val="111111"/>
          <w:sz w:val="28"/>
          <w:sz w:val="28"/>
          <w:szCs w:val="28"/>
          <w:rtl w:val="true"/>
          <w:lang w:bidi="fa-IR"/>
        </w:rPr>
        <w:t>قال فی السرائر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تقتضیه اصول مذهبنا أنّ وصیّة غیر المکلّف البالغ غیر صحیحة، و لا ممضاة، سواء کانت فی وجوه البرّ أو غیر وجوه البرّ، و کذلک صدقته و عتقه وهبته</w:t>
      </w:r>
      <w:r>
        <w:rPr>
          <w:rFonts w:eastAsia="IRNazanin" w:cs="IRNazanin"/>
          <w:color w:val="111111"/>
          <w:sz w:val="28"/>
          <w:szCs w:val="28"/>
          <w:rtl w:val="true"/>
          <w:lang w:bidi="fa-IR"/>
        </w:rPr>
        <w:t>»</w:t>
      </w:r>
      <w:r>
        <w:rPr>
          <w:rStyle w:val="FootnoteAnchor"/>
          <w:rtl w:val="true"/>
        </w:rPr>
        <w:footnoteReference w:id="2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اختاره العلّامة فی التحریر</w:t>
      </w:r>
      <w:r>
        <w:rPr>
          <w:rStyle w:val="FootnoteAnchor"/>
          <w:rtl w:val="true"/>
        </w:rPr>
        <w:footnoteReference w:id="2486"/>
      </w:r>
      <w:r>
        <w:rPr>
          <w:rFonts w:ascii="IRNazanin" w:hAnsi="IRNazanin" w:eastAsia="IRNazanin"/>
          <w:color w:val="111111"/>
          <w:sz w:val="28"/>
          <w:sz w:val="28"/>
          <w:szCs w:val="28"/>
          <w:rtl w:val="true"/>
          <w:lang w:bidi="fa-IR"/>
        </w:rPr>
        <w:t>، و نسبه فی القواعد إلی رأی</w:t>
      </w:r>
      <w:r>
        <w:rPr>
          <w:rStyle w:val="FootnoteAnchor"/>
          <w:rtl w:val="true"/>
        </w:rPr>
        <w:footnoteReference w:id="2487"/>
      </w:r>
      <w:r>
        <w:rPr>
          <w:rFonts w:ascii="IRNazanin" w:hAnsi="IRNazanin" w:eastAsia="IRNazanin"/>
          <w:color w:val="111111"/>
          <w:sz w:val="28"/>
          <w:sz w:val="28"/>
          <w:szCs w:val="28"/>
          <w:rtl w:val="true"/>
          <w:lang w:bidi="fa-IR"/>
        </w:rPr>
        <w:t>، و فی المختلف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الأحوط عدم إنفاذ وصیّته مطلقاً حتّی یبلغ</w:t>
      </w:r>
      <w:r>
        <w:rPr>
          <w:rFonts w:eastAsia="IRNazanin" w:cs="IRNazanin"/>
          <w:color w:val="111111"/>
          <w:sz w:val="28"/>
          <w:szCs w:val="28"/>
          <w:rtl w:val="true"/>
          <w:lang w:bidi="fa-IR"/>
        </w:rPr>
        <w:t>»</w:t>
      </w:r>
      <w:r>
        <w:rPr>
          <w:rStyle w:val="FootnoteAnchor"/>
          <w:rtl w:val="true"/>
        </w:rPr>
        <w:footnoteReference w:id="2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التذکرة و المهذّب البارع</w:t>
      </w:r>
      <w:r>
        <w:rPr>
          <w:rStyle w:val="FootnoteAnchor"/>
          <w:rtl w:val="true"/>
        </w:rPr>
        <w:footnoteReference w:id="2489"/>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جامع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المناسب لاُصول المذهب و طریقة الاحتیاط القول بعدم الجواز</w:t>
      </w:r>
      <w:r>
        <w:rPr>
          <w:rFonts w:eastAsia="IRNazanin" w:cs="IRNazanin"/>
          <w:color w:val="111111"/>
          <w:sz w:val="28"/>
          <w:szCs w:val="28"/>
          <w:rtl w:val="true"/>
          <w:lang w:bidi="fa-IR"/>
        </w:rPr>
        <w:t>»</w:t>
      </w:r>
      <w:r>
        <w:rPr>
          <w:rStyle w:val="FootnoteAnchor"/>
          <w:rtl w:val="true"/>
        </w:rPr>
        <w:footnoteReference w:id="2490"/>
      </w:r>
      <w:r>
        <w:rPr>
          <w:rFonts w:ascii="IRNazanin" w:hAnsi="IRNazanin" w:eastAsia="IRNazanin"/>
          <w:color w:val="111111"/>
          <w:sz w:val="28"/>
          <w:sz w:val="28"/>
          <w:szCs w:val="28"/>
          <w:rtl w:val="true"/>
          <w:lang w:bidi="fa-IR"/>
        </w:rPr>
        <w:t>، و کذا فی الروضة</w:t>
      </w:r>
      <w:r>
        <w:rPr>
          <w:rStyle w:val="FootnoteAnchor"/>
          <w:rtl w:val="true"/>
        </w:rPr>
        <w:footnoteReference w:id="2491"/>
      </w:r>
      <w:r>
        <w:rPr>
          <w:rFonts w:ascii="IRNazanin" w:hAnsi="IRNazanin" w:eastAsia="IRNazanin"/>
          <w:color w:val="111111"/>
          <w:sz w:val="28"/>
          <w:sz w:val="28"/>
          <w:szCs w:val="28"/>
          <w:rtl w:val="true"/>
          <w:lang w:bidi="fa-IR"/>
        </w:rPr>
        <w:t>، و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الأنسب</w:t>
      </w:r>
      <w:r>
        <w:rPr>
          <w:rFonts w:eastAsia="IRNazanin" w:cs="IRNazanin"/>
          <w:color w:val="111111"/>
          <w:sz w:val="28"/>
          <w:szCs w:val="28"/>
          <w:rtl w:val="true"/>
          <w:lang w:bidi="fa-IR"/>
        </w:rPr>
        <w:t>»</w:t>
      </w:r>
      <w:r>
        <w:rPr>
          <w:rStyle w:val="FootnoteAnchor"/>
          <w:rtl w:val="true"/>
        </w:rPr>
        <w:footnoteReference w:id="2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فی السرائر للقول المذکور بالأدلّة المتقدّمة التی استدلّ بها للقول بعدم صحّة صدقة التطوّع من الصبیّ، و أجبنا</w:t>
      </w:r>
      <w:r>
        <w:rPr>
          <w:rStyle w:val="FootnoteAnchor"/>
          <w:rtl w:val="true"/>
        </w:rPr>
        <w:footnoteReference w:id="2493"/>
      </w:r>
      <w:r>
        <w:rPr>
          <w:rFonts w:ascii="IRNazanin" w:hAnsi="IRNazanin" w:eastAsia="IRNazanin"/>
          <w:color w:val="111111"/>
          <w:sz w:val="28"/>
          <w:sz w:val="28"/>
          <w:szCs w:val="28"/>
          <w:rtl w:val="true"/>
          <w:lang w:bidi="fa-IR"/>
        </w:rPr>
        <w:t>عنها، و حاصل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الأدلّة المانعة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أورد علی بعضها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مخصّصة بروایات متظافرة و سیأتی ذکرها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الروایات التی دلّت علی الحکم و إن کان بعضها صحیحاً إلاّ أنّها مختلفة بحیث لا یمکن الجمع بینها، فإثبات الحکم المخالف للأصل بها مشکل</w:t>
      </w:r>
      <w:r>
        <w:rPr>
          <w:rFonts w:eastAsia="IRNazanin" w:cs="IRNazanin"/>
          <w:color w:val="111111"/>
          <w:sz w:val="28"/>
          <w:szCs w:val="28"/>
          <w:rtl w:val="true"/>
          <w:lang w:bidi="fa-IR"/>
        </w:rPr>
        <w:t>»</w:t>
      </w:r>
      <w:r>
        <w:rPr>
          <w:rStyle w:val="FootnoteAnchor"/>
          <w:rtl w:val="true"/>
        </w:rPr>
        <w:footnoteReference w:id="2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فی المستمسک عمّا استدلّ به لهذا القول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الإشکال فی الجمیع ظاهر، فإنّ الاحتیاط لیس بحجّة، مع أنّ اقتضاءه عدم النفوذ ممنوع، و الأصل لا مجال له مع الدلیل، و اختلاف النصوص المتقدِّمة مع إمکان الجمع العرفی بحمل المطلق علی المقیّد لا یمنع من وجوب الأخذ بها، و لو فرض عدم إمکان الجمع العرفی، فاللّازم التخییر لا سقوط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ورد فی الأخبار ما فیه نوع مخالفة لغیره کصحیح محمّد و أبی بصیر المتقدّمین</w:t>
      </w:r>
      <w:r>
        <w:rPr>
          <w:rStyle w:val="FootnoteAnchor"/>
          <w:rtl w:val="true"/>
        </w:rPr>
        <w:footnoteReference w:id="2495"/>
      </w:r>
      <w:r>
        <w:rPr>
          <w:rFonts w:ascii="IRNazanin" w:hAnsi="IRNazanin" w:eastAsia="IRNazanin"/>
          <w:color w:val="111111"/>
          <w:sz w:val="28"/>
          <w:sz w:val="28"/>
          <w:szCs w:val="28"/>
          <w:rtl w:val="true"/>
          <w:lang w:bidi="fa-IR"/>
        </w:rPr>
        <w:t>، فإنّ الجمع العرفی بینهما و بین غیرهما ممکن بتقییده بهما لکنّهما غیر معمولٌ بهما، فیسقطان عن الحجیّة، لا أنّه تسقط جمیع النصوص</w:t>
      </w:r>
      <w:r>
        <w:rPr>
          <w:rFonts w:eastAsia="IRNazanin" w:cs="IRNazanin"/>
          <w:color w:val="111111"/>
          <w:sz w:val="28"/>
          <w:szCs w:val="28"/>
          <w:rtl w:val="true"/>
          <w:lang w:bidi="fa-IR"/>
        </w:rPr>
        <w:t>»</w:t>
      </w:r>
      <w:r>
        <w:rPr>
          <w:rStyle w:val="FootnoteAnchor"/>
          <w:rtl w:val="true"/>
        </w:rPr>
        <w:footnoteReference w:id="2496"/>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مع النصوص المعتبرة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للاحتیاط</w:t>
      </w:r>
      <w:bookmarkStart w:id="690" w:name="pg11757_135846"/>
    </w:p>
    <w:p>
      <w:pPr>
        <w:pStyle w:val="BookText"/>
        <w:rPr/>
      </w:pPr>
      <w:bookmarkEnd w:id="690"/>
      <w:r>
        <w:rPr>
          <w:rFonts w:ascii="IRNazanin" w:hAnsi="IRNazanin" w:eastAsia="IRNazanin"/>
          <w:color w:val="111111"/>
          <w:sz w:val="28"/>
          <w:sz w:val="28"/>
          <w:szCs w:val="28"/>
          <w:rtl w:val="true"/>
          <w:lang w:bidi="fa-IR"/>
        </w:rPr>
        <w:t>بعدم النفوذ، بل الاحتیاط یقتضی خلافه، و إلّا یلزم تضییع حقّ الصبیّ الموصی و الموصی له</w:t>
      </w:r>
      <w:r>
        <w:rPr>
          <w:rFonts w:eastAsia="IRNazanin" w:cs="IRNazanin"/>
          <w:color w:val="111111"/>
          <w:sz w:val="28"/>
          <w:szCs w:val="28"/>
          <w:rtl w:val="true"/>
          <w:lang w:bidi="fa-IR"/>
        </w:rPr>
        <w:t>.</w:t>
      </w:r>
    </w:p>
    <w:p>
      <w:pPr>
        <w:pStyle w:val="Heading5"/>
        <w:numPr>
          <w:ilvl w:val="4"/>
          <w:numId w:val="1"/>
        </w:numPr>
        <w:rPr/>
      </w:pPr>
      <w:bookmarkStart w:id="691" w:name="__RefHeading___Toc9697027_73709187"/>
      <w:bookmarkStart w:id="692" w:name="_Toc257"/>
      <w:bookmarkEnd w:id="691"/>
      <w:r>
        <w:rPr>
          <w:rtl w:val="true"/>
        </w:rPr>
        <w:t>القول الثانی</w:t>
      </w:r>
      <w:r>
        <w:rPr>
          <w:rtl w:val="true"/>
        </w:rPr>
        <w:t xml:space="preserve">: </w:t>
      </w:r>
      <w:r>
        <w:rPr>
          <w:rtl w:val="true"/>
        </w:rPr>
        <w:t>نفوذ وصیّته إذا کان له عشر سنین</w:t>
      </w:r>
      <w:bookmarkEnd w:id="692"/>
    </w:p>
    <w:p>
      <w:pPr>
        <w:pStyle w:val="Heading6"/>
        <w:numPr>
          <w:ilvl w:val="5"/>
          <w:numId w:val="1"/>
        </w:numPr>
        <w:rPr/>
      </w:pPr>
      <w:bookmarkStart w:id="693" w:name="__RefHeading___Toc9697029_73709187"/>
      <w:bookmarkStart w:id="694" w:name="_Toc258"/>
      <w:bookmarkEnd w:id="693"/>
      <w:r>
        <w:rPr>
          <w:rtl w:val="true"/>
        </w:rPr>
        <w:t>اشارة</w:t>
      </w:r>
      <w:bookmarkEnd w:id="694"/>
    </w:p>
    <w:p>
      <w:pPr>
        <w:pStyle w:val="BookText"/>
        <w:rPr/>
      </w:pPr>
      <w:r>
        <w:rPr>
          <w:rFonts w:ascii="IRNazanin" w:hAnsi="IRNazanin" w:eastAsia="IRNazanin"/>
          <w:color w:val="111111"/>
          <w:sz w:val="28"/>
          <w:sz w:val="28"/>
          <w:szCs w:val="28"/>
          <w:rtl w:val="true"/>
          <w:lang w:bidi="fa-IR"/>
        </w:rPr>
        <w:t>ذهب المشهور إلی أنّ وصیّة الصبیّ الممیّز نافذة فی البرّ و المعروف إذا کان له عشر سنین، و کانت وصیّته موافقة لوصیّة العقلاء من وضع الأشیاء مواضعها، و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الصبیّ عشر سنین جازت وصیّته فی المعروف من وجوه البرّ</w:t>
      </w:r>
      <w:r>
        <w:rPr>
          <w:rFonts w:eastAsia="IRNazanin" w:cs="IRNazanin"/>
          <w:color w:val="111111"/>
          <w:sz w:val="28"/>
          <w:szCs w:val="28"/>
          <w:rtl w:val="true"/>
          <w:lang w:bidi="fa-IR"/>
        </w:rPr>
        <w:t>»</w:t>
      </w:r>
      <w:r>
        <w:rPr>
          <w:rStyle w:val="FootnoteAnchor"/>
          <w:rtl w:val="true"/>
        </w:rPr>
        <w:footnoteReference w:id="2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المراسم و المهذّب و الغنیة</w:t>
      </w:r>
      <w:r>
        <w:rPr>
          <w:rStyle w:val="FootnoteAnchor"/>
          <w:rtl w:val="true"/>
        </w:rPr>
        <w:footnoteReference w:id="2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شرط الوصیّة أن یکون الموصی عاقلاً حرّاً ثابت العقل، سواء کان صغیراً أو کبیراً، فإن بلغ عشر سنین و لم یکن قد کمل عقله غیر أنّه لا یضع الشیء إلّا فی موضعه کانت وصیّته ماضیة فی المعروف، من وجوه البرّ، و مردودة فیما لم یکن کذلک، و متی کان سنّه أقلّ من ذلک لم یجز وصیّته</w:t>
      </w:r>
      <w:r>
        <w:rPr>
          <w:rFonts w:eastAsia="IRNazanin" w:cs="IRNazanin"/>
          <w:color w:val="111111"/>
          <w:sz w:val="28"/>
          <w:szCs w:val="28"/>
          <w:rtl w:val="true"/>
          <w:lang w:bidi="fa-IR"/>
        </w:rPr>
        <w:t>»</w:t>
      </w:r>
      <w:r>
        <w:rPr>
          <w:rStyle w:val="FootnoteAnchor"/>
          <w:rtl w:val="true"/>
        </w:rPr>
        <w:footnoteReference w:id="2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فوصیّته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الصبیّ إذا بلغ عشراً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جائزة فی وجوه المعروف لأقاربه و غیرهم علی الأشهر إذا کان بصیراً</w:t>
      </w:r>
      <w:r>
        <w:rPr>
          <w:rFonts w:eastAsia="IRNazanin" w:cs="IRNazanin"/>
          <w:color w:val="111111"/>
          <w:sz w:val="28"/>
          <w:szCs w:val="28"/>
          <w:rtl w:val="true"/>
          <w:lang w:bidi="fa-IR"/>
        </w:rPr>
        <w:t>»</w:t>
      </w:r>
      <w:r>
        <w:rPr>
          <w:rStyle w:val="FootnoteAnchor"/>
          <w:rtl w:val="true"/>
        </w:rPr>
        <w:footnoteReference w:id="2500"/>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الظاهر من کشف الرموز</w:t>
      </w:r>
      <w:r>
        <w:rPr>
          <w:rStyle w:val="FootnoteAnchor"/>
          <w:rtl w:val="true"/>
        </w:rPr>
        <w:footnoteReference w:id="2501"/>
      </w:r>
      <w:r>
        <w:rPr>
          <w:rFonts w:ascii="IRNazanin" w:hAnsi="IRNazanin" w:eastAsia="IRNazanin"/>
          <w:color w:val="111111"/>
          <w:sz w:val="28"/>
          <w:sz w:val="28"/>
          <w:szCs w:val="28"/>
          <w:rtl w:val="true"/>
          <w:lang w:bidi="fa-IR"/>
        </w:rPr>
        <w:t>، و نسبه فی الإرشاد</w:t>
      </w:r>
      <w:r>
        <w:rPr>
          <w:rStyle w:val="FootnoteAnchor"/>
          <w:rtl w:val="true"/>
        </w:rPr>
        <w:footnoteReference w:id="2502"/>
      </w:r>
      <w:r>
        <w:rPr>
          <w:rFonts w:ascii="IRNazanin" w:hAnsi="IRNazanin" w:eastAsia="IRNazanin"/>
          <w:color w:val="111111"/>
          <w:sz w:val="28"/>
          <w:sz w:val="28"/>
          <w:szCs w:val="28"/>
          <w:rtl w:val="true"/>
          <w:lang w:bidi="fa-IR"/>
        </w:rPr>
        <w:t>إلی رأی، و فی الدروس</w:t>
      </w:r>
      <w:r>
        <w:rPr>
          <w:rFonts w:eastAsia="IRNazanin" w:cs="IRNazanin"/>
          <w:color w:val="111111"/>
          <w:sz w:val="28"/>
          <w:szCs w:val="28"/>
          <w:rtl w:val="true"/>
          <w:lang w:bidi="fa-IR"/>
        </w:rPr>
        <w:t>:</w:t>
      </w:r>
      <w:bookmarkStart w:id="695" w:name="pg11757_135847"/>
    </w:p>
    <w:p>
      <w:pPr>
        <w:pStyle w:val="BookText"/>
        <w:rPr/>
      </w:pPr>
      <w:bookmarkEnd w:id="695"/>
      <w:r>
        <w:rPr>
          <w:rFonts w:ascii="Amiri" w:hAnsi="Amiri" w:eastAsia="Amiri" w:cs="Amiri"/>
          <w:color w:val="111111"/>
          <w:sz w:val="28"/>
          <w:sz w:val="28"/>
          <w:szCs w:val="28"/>
          <w:rtl w:val="true"/>
          <w:lang w:bidi="ar-SA"/>
        </w:rPr>
        <w:t>أنّه الأشهر</w:t>
      </w:r>
      <w:r>
        <w:rPr>
          <w:rStyle w:val="FootnoteAnchor"/>
          <w:rtl w:val="true"/>
        </w:rPr>
        <w:footnoteReference w:id="2503"/>
      </w:r>
      <w:r>
        <w:rPr>
          <w:rFonts w:ascii="IRNazanin" w:hAnsi="IRNazanin" w:eastAsia="IRNazanin"/>
          <w:color w:val="111111"/>
          <w:sz w:val="28"/>
          <w:sz w:val="28"/>
          <w:szCs w:val="28"/>
          <w:rtl w:val="true"/>
          <w:lang w:bidi="fa-IR"/>
        </w:rPr>
        <w:t>، و اختاره فی الریاض و الکفایة و مفتاح الکرامة</w:t>
      </w:r>
      <w:r>
        <w:rPr>
          <w:rStyle w:val="FootnoteAnchor"/>
          <w:rtl w:val="true"/>
        </w:rPr>
        <w:footnoteReference w:id="2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المشهور نقلاً و تحصیلاً، بل نسبه بعضهم إلی الأصحاب مشعراً بدعوی الإجماع، بل فی ظاهر محکی الغنیة أو صریحه دعواه علیه</w:t>
      </w:r>
      <w:r>
        <w:rPr>
          <w:rFonts w:eastAsia="IRNazanin" w:cs="IRNazanin"/>
          <w:color w:val="111111"/>
          <w:sz w:val="28"/>
          <w:szCs w:val="28"/>
          <w:rtl w:val="true"/>
          <w:lang w:bidi="fa-IR"/>
        </w:rPr>
        <w:t>»</w:t>
      </w:r>
      <w:r>
        <w:rPr>
          <w:rStyle w:val="FootnoteAnchor"/>
          <w:rtl w:val="true"/>
        </w:rPr>
        <w:footnoteReference w:id="2505"/>
      </w:r>
      <w:r>
        <w:rPr>
          <w:rFonts w:ascii="IRNazanin" w:hAnsi="IRNazanin" w:eastAsia="IRNazanin"/>
          <w:color w:val="111111"/>
          <w:sz w:val="28"/>
          <w:sz w:val="28"/>
          <w:szCs w:val="28"/>
          <w:rtl w:val="true"/>
          <w:lang w:bidi="fa-IR"/>
        </w:rPr>
        <w:t>، و به قال فی العروة</w:t>
      </w:r>
      <w:r>
        <w:rPr>
          <w:rStyle w:val="FootnoteAnchor"/>
          <w:rtl w:val="true"/>
        </w:rPr>
        <w:footnoteReference w:id="2506"/>
      </w:r>
      <w:r>
        <w:rPr>
          <w:rFonts w:ascii="IRNazanin" w:hAnsi="IRNazanin" w:eastAsia="IRNazanin"/>
          <w:color w:val="111111"/>
          <w:sz w:val="28"/>
          <w:sz w:val="28"/>
          <w:szCs w:val="28"/>
          <w:rtl w:val="true"/>
          <w:lang w:bidi="fa-IR"/>
        </w:rPr>
        <w:t>، و اختاره أعلام العصر</w:t>
      </w:r>
      <w:r>
        <w:rPr>
          <w:rStyle w:val="FootnoteAnchor"/>
          <w:rtl w:val="true"/>
        </w:rPr>
        <w:footnoteReference w:id="25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6" w:name="__RefHeading___Toc9697031_73709187"/>
      <w:bookmarkStart w:id="697" w:name="_Toc259"/>
      <w:bookmarkEnd w:id="696"/>
      <w:r>
        <w:rPr>
          <w:rtl w:val="true"/>
        </w:rPr>
        <w:t>الأدلّة علی صحّة وصیّة الصبیّ‌</w:t>
      </w:r>
      <w:bookmarkEnd w:id="697"/>
    </w:p>
    <w:p>
      <w:pPr>
        <w:pStyle w:val="BookText"/>
        <w:rPr/>
      </w:pPr>
      <w:r>
        <w:rPr>
          <w:rFonts w:ascii="IRNazanin" w:hAnsi="IRNazanin" w:eastAsia="IRNazanin"/>
          <w:color w:val="111111"/>
          <w:sz w:val="28"/>
          <w:sz w:val="28"/>
          <w:szCs w:val="28"/>
          <w:rtl w:val="true"/>
          <w:lang w:bidi="fa-IR"/>
        </w:rPr>
        <w:t xml:space="preserve">تدلّ علی صحّة وصیّة الصبیّ إذا بلغ عشر سنین فی وجوه المعروف و البرّ للأرحام و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الأصل و إطلاق أدلّة الوصیّة، بل عمومات لزوم إنفاذ الوصیّة السلیمة عمّا یصلح للمعارضة من أدلّة الحجر علیه</w:t>
      </w:r>
      <w:r>
        <w:rPr>
          <w:rStyle w:val="FootnoteAnchor"/>
          <w:rtl w:val="true"/>
        </w:rPr>
        <w:footnoteReference w:id="2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المستفیضة، و هی علی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نفوذ وصیّته مطلقاً، و هی موثّقة جمیل بن درّاج عن أحدهما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طلاق الغلام إذا کان قد عقل</w:t>
      </w:r>
      <w:r>
        <w:rPr>
          <w:rStyle w:val="FootnoteAnchor"/>
          <w:rtl w:val="true"/>
        </w:rPr>
        <w:footnoteReference w:id="2509"/>
      </w:r>
      <w:r>
        <w:rPr>
          <w:rFonts w:ascii="IRNazanin" w:hAnsi="IRNazanin" w:eastAsia="IRNazanin"/>
          <w:color w:val="111111"/>
          <w:sz w:val="28"/>
          <w:sz w:val="28"/>
          <w:szCs w:val="28"/>
          <w:rtl w:val="true"/>
          <w:lang w:bidi="fa-IR"/>
        </w:rPr>
        <w:t>و صدقته و وصیّته و إن لم یحتلم</w:t>
      </w:r>
      <w:r>
        <w:rPr>
          <w:rFonts w:eastAsia="IRNazanin" w:cs="IRNazanin"/>
          <w:color w:val="111111"/>
          <w:sz w:val="28"/>
          <w:szCs w:val="28"/>
          <w:rtl w:val="true"/>
          <w:lang w:bidi="fa-IR"/>
        </w:rPr>
        <w:t>»</w:t>
      </w:r>
      <w:r>
        <w:rPr>
          <w:rStyle w:val="FootnoteAnchor"/>
          <w:rtl w:val="true"/>
        </w:rPr>
        <w:footnoteReference w:id="2510"/>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نفوذ وصیّة الصبیّ لذوی الأرحام، و هی صحیحة</w:t>
      </w:r>
    </w:p>
    <w:p>
      <w:pPr>
        <w:pStyle w:val="BookText"/>
        <w:rPr/>
      </w:pPr>
      <w:r>
        <w:rPr>
          <w:rFonts w:ascii="IRNazanin" w:hAnsi="IRNazanin" w:eastAsia="IRNazanin"/>
          <w:color w:val="111111"/>
          <w:sz w:val="28"/>
          <w:sz w:val="28"/>
          <w:szCs w:val="28"/>
          <w:rtl w:val="true"/>
          <w:lang w:bidi="fa-IR"/>
        </w:rPr>
        <w:t>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الغلام إذا حضره الموت فأوصی و لم یدرک جازت وصیّته لذوی الأرحام و لم تجز للغرباء</w:t>
      </w:r>
      <w:r>
        <w:rPr>
          <w:rFonts w:eastAsia="IRNazanin" w:cs="IRNazanin"/>
          <w:color w:val="111111"/>
          <w:sz w:val="28"/>
          <w:szCs w:val="28"/>
          <w:rtl w:val="true"/>
          <w:lang w:bidi="fa-IR"/>
        </w:rPr>
        <w:t>»</w:t>
      </w:r>
      <w:r>
        <w:rPr>
          <w:rStyle w:val="FootnoteAnchor"/>
          <w:rtl w:val="true"/>
        </w:rPr>
        <w:footnoteReference w:id="2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نفوذ وصیّته إذا بلغ عشر سنین، و إذا کان ابن سبع سنین فأوصی من ماله بالیسیر فی حقّ جازت وصیّته، و هی صحیحة أبی بصیر المرادی عن أبی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الغلام عشر سنین فأوصی بثلث ماله فی حقّ جازت وصیّته، و إذا کان ابن سبع سنین فأوصی من ماله بالیسیر فی حقّ جازت وصیّته</w:t>
      </w:r>
      <w:r>
        <w:rPr>
          <w:rFonts w:eastAsia="IRNazanin" w:cs="IRNazanin"/>
          <w:color w:val="111111"/>
          <w:sz w:val="28"/>
          <w:szCs w:val="28"/>
          <w:rtl w:val="true"/>
          <w:lang w:bidi="fa-IR"/>
        </w:rPr>
        <w:t>»</w:t>
      </w:r>
      <w:r>
        <w:rPr>
          <w:rStyle w:val="FootnoteAnchor"/>
          <w:rtl w:val="true"/>
        </w:rPr>
        <w:footnoteReference w:id="2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نفوذ وصیّته إذا بلغ عشر سنین،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أبی بصیر المتقدّمة فی الطائفة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عبد الرحمن بن أبی عبد اللّه عن أبی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عشر سنین جازت وصیّته</w:t>
      </w:r>
      <w:r>
        <w:rPr>
          <w:rFonts w:eastAsia="IRNazanin" w:cs="IRNazanin"/>
          <w:color w:val="111111"/>
          <w:sz w:val="28"/>
          <w:szCs w:val="28"/>
          <w:rtl w:val="true"/>
          <w:lang w:bidi="fa-IR"/>
        </w:rPr>
        <w:t>»</w:t>
      </w:r>
      <w:r>
        <w:rPr>
          <w:rStyle w:val="FootnoteAnchor"/>
          <w:rtl w:val="true"/>
        </w:rPr>
        <w:footnoteReference w:id="25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موثّقة منصور بن حازم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وصیّة الغلام هل تجوز؟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ابن عشر سنین جازت وصیّته</w:t>
      </w:r>
      <w:r>
        <w:rPr>
          <w:rFonts w:eastAsia="IRNazanin" w:cs="IRNazanin"/>
          <w:color w:val="111111"/>
          <w:sz w:val="28"/>
          <w:szCs w:val="28"/>
          <w:rtl w:val="true"/>
          <w:lang w:bidi="fa-IR"/>
        </w:rPr>
        <w:t>»</w:t>
      </w:r>
      <w:r>
        <w:rPr>
          <w:rStyle w:val="FootnoteAnchor"/>
          <w:rtl w:val="true"/>
        </w:rPr>
        <w:footnoteReference w:id="2514"/>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نفوذ وصیّته إذا أصاب موضع الوصیّة، و هی صحیحة أبی بصیر و أبی أیّوب عن أبی عبد اللّه علیه السلام فی الغلام ابن عشر سنین یوصی؟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أصاب موضع الوصیّة جازت</w:t>
      </w:r>
      <w:r>
        <w:rPr>
          <w:rFonts w:eastAsia="IRNazanin" w:cs="IRNazanin"/>
          <w:color w:val="111111"/>
          <w:sz w:val="28"/>
          <w:szCs w:val="28"/>
          <w:rtl w:val="true"/>
          <w:lang w:bidi="fa-IR"/>
        </w:rPr>
        <w:t>»</w:t>
      </w:r>
      <w:r>
        <w:rPr>
          <w:rStyle w:val="FootnoteAnchor"/>
          <w:rtl w:val="true"/>
        </w:rPr>
        <w:footnoteReference w:id="2515"/>
      </w:r>
      <w:r>
        <w:rPr>
          <w:rFonts w:eastAsia="Times New Roman" w:cs="Times New Roman" w:ascii="Times New Roman" w:hAnsi="Times New Roman"/>
          <w:color w:val="111111"/>
          <w:sz w:val="28"/>
          <w:szCs w:val="28"/>
          <w:rtl w:val="true"/>
          <w:lang w:val="en-US" w:bidi="en-US"/>
        </w:rPr>
        <w:t>.</w:t>
      </w:r>
      <w:bookmarkStart w:id="698" w:name="pg11757_135849"/>
    </w:p>
    <w:p>
      <w:pPr>
        <w:pStyle w:val="Heading6"/>
        <w:numPr>
          <w:ilvl w:val="5"/>
          <w:numId w:val="1"/>
        </w:numPr>
        <w:rPr/>
      </w:pPr>
      <w:bookmarkStart w:id="699" w:name="__RefHeading___Toc9697033_73709187"/>
      <w:bookmarkStart w:id="700" w:name="_Toc260"/>
      <w:bookmarkEnd w:id="698"/>
      <w:bookmarkEnd w:id="699"/>
      <w:r>
        <w:rPr>
          <w:rtl w:val="true"/>
        </w:rPr>
        <w:t>الجمع بین الروایات</w:t>
      </w:r>
      <w:bookmarkEnd w:id="700"/>
    </w:p>
    <w:p>
      <w:pPr>
        <w:pStyle w:val="BookText"/>
        <w:rPr/>
      </w:pPr>
      <w:r>
        <w:rPr>
          <w:rStyle w:val="FootnoteAnchor"/>
          <w:rtl w:val="true"/>
        </w:rPr>
        <w:footnoteReference w:id="2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الطائفة الاُولی التی تدلّ علی أنّ المناط فی صحّة وصیّة الصبیّ هو العقل لا البلوغ عشر سنین فجوابها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اعتبار العقل</w:t>
      </w:r>
      <w:r>
        <w:rPr>
          <w:rStyle w:val="FootnoteAnchor"/>
          <w:rtl w:val="true"/>
        </w:rPr>
        <w:footnoteReference w:id="2517"/>
      </w:r>
      <w:r>
        <w:rPr>
          <w:rFonts w:ascii="IRNazanin" w:hAnsi="IRNazanin" w:eastAsia="IRNazanin"/>
          <w:color w:val="111111"/>
          <w:sz w:val="28"/>
          <w:sz w:val="28"/>
          <w:szCs w:val="28"/>
          <w:rtl w:val="true"/>
          <w:lang w:bidi="fa-IR"/>
        </w:rPr>
        <w:t xml:space="preserve">فی صحّة الوصیّة ثابت بالإضافة إلی البالغ أیضاً، فلا مجال للحکم بصحّة وصیّة خصوص غیر البالغ إذا کان عاقلاً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تدلّ علی صحّة طلاقه و صدقته أیضاً مع عدم الاحتلام، فلا یجوز الأخذ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بدّ من حمل إطلاق الغلام علی البالغ عشراً نظراً إلی الروایات المتقدّمة کما فی تفصیل الشریعة</w:t>
      </w:r>
      <w:r>
        <w:rPr>
          <w:rStyle w:val="FootnoteAnchor"/>
          <w:rtl w:val="true"/>
        </w:rPr>
        <w:footnoteReference w:id="2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یقدح تضمّنه جواز الطلاق و الصدقة، مع أنّ الأظهر الأشهر عدمه، بناءً علی أنّ خروج بعض الروایة عن الحجّیة لا یوجب خروجها عنها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الجواب بمثل هذا عن هذه الروایة لا یخلو عن مناقشة، إلاّ أنّ غایة ذلک خروجها عنها جملة، و لا ضیر فإنّ فی البواقی کفایة إنشاء اللّه تعالی</w:t>
      </w:r>
      <w:r>
        <w:rPr>
          <w:rFonts w:eastAsia="IRNazanin" w:cs="IRNazanin"/>
          <w:color w:val="111111"/>
          <w:sz w:val="28"/>
          <w:szCs w:val="28"/>
          <w:rtl w:val="true"/>
          <w:lang w:bidi="fa-IR"/>
        </w:rPr>
        <w:t>»</w:t>
      </w:r>
      <w:r>
        <w:rPr>
          <w:rStyle w:val="FootnoteAnchor"/>
          <w:rtl w:val="true"/>
        </w:rPr>
        <w:footnoteReference w:id="2519"/>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فإنّ العقل معتبر فی الموصی البالغ فضلاً عن الصبیّ الذی لم یبلغ،</w:t>
      </w:r>
    </w:p>
    <w:p>
      <w:pPr>
        <w:pStyle w:val="BookText"/>
        <w:rPr/>
      </w:pPr>
      <w:r>
        <w:rPr>
          <w:rFonts w:ascii="IRNazanin" w:hAnsi="IRNazanin" w:eastAsia="IRNazanin"/>
          <w:color w:val="111111"/>
          <w:sz w:val="28"/>
          <w:sz w:val="28"/>
          <w:szCs w:val="28"/>
          <w:rtl w:val="true"/>
          <w:lang w:bidi="fa-IR"/>
        </w:rPr>
        <w:t>فلا یکون ذکره قیداً زائداً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هذه الروایة تخالف تلک النصوص من حیث إطلاقها لعدم البلوغ، فتشمل حتّی الذی لم یبلغ عشر سنین، فمع غضّ البصر عمّا ورد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جواز طلاق الغلام و إن لم یحتلم مع أنّ المشهور علی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تقیید إطلاقها بالروایات التی تدلّ علی اعتبار بلوغ الصبیّ عشر سنین، علی ما تقتضیه قواعد الجمع بین المطلق و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القیود الواردة فی الطائفة الرابعة و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کون وصیّة الصبیّ علی حدّ معروف و حقّ و إصابتها موضع الوصیّة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فیؤخذ بها أیضاً و یقیّد بهما إطلاق الطائفة الرابعة التی تدلّ علی أنّ المناط فی صحّة وصیّة الصبیّ هو بلوغه عشر سنین فقط و ینتج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یعتبر فی صحّة وصیّته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بلوغه عشر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وصیّته فی المعروف من وجوه البرّ، کبناء المساجد و الأماکن المقدّسة و صدقة ذوی الأرحام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بلغ عشر سنین و لم یکن قد کمل عقله غیر أنّه لا یضع الشیء إلّا فی موضعه کانت وصیّته ماضیة فی المعروف من وجوه البرّ</w:t>
      </w:r>
      <w:r>
        <w:rPr>
          <w:rFonts w:eastAsia="IRNazanin" w:cs="IRNazanin"/>
          <w:color w:val="111111"/>
          <w:sz w:val="28"/>
          <w:szCs w:val="28"/>
          <w:rtl w:val="true"/>
          <w:lang w:bidi="fa-IR"/>
        </w:rPr>
        <w:t>»</w:t>
      </w:r>
      <w:r>
        <w:rPr>
          <w:rStyle w:val="FootnoteAnchor"/>
          <w:rtl w:val="true"/>
        </w:rPr>
        <w:footnoteReference w:id="2520"/>
      </w:r>
      <w:r>
        <w:rPr>
          <w:rFonts w:ascii="IRNazanin" w:hAnsi="IRNazanin" w:eastAsia="IRNazanin"/>
          <w:color w:val="111111"/>
          <w:sz w:val="28"/>
          <w:sz w:val="28"/>
          <w:szCs w:val="28"/>
          <w:rtl w:val="true"/>
          <w:lang w:bidi="fa-IR"/>
        </w:rPr>
        <w:t>، و کذا المهذّب</w:t>
      </w:r>
      <w:r>
        <w:rPr>
          <w:rStyle w:val="FootnoteAnchor"/>
          <w:rtl w:val="true"/>
        </w:rPr>
        <w:footnoteReference w:id="2521"/>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لعلّ تقیید وصیّته بالمعروف مشعر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بعقله و تمییزه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إرادة</w:t>
      </w:r>
      <w:r>
        <w:rPr>
          <w:rStyle w:val="FootnoteAnchor"/>
          <w:rtl w:val="true"/>
        </w:rPr>
        <w:footnoteReference w:id="2522"/>
      </w:r>
      <w:r>
        <w:rPr>
          <w:rFonts w:ascii="IRNazanin" w:hAnsi="IRNazanin" w:eastAsia="IRNazanin"/>
          <w:color w:val="111111"/>
          <w:sz w:val="28"/>
          <w:sz w:val="28"/>
          <w:szCs w:val="28"/>
          <w:rtl w:val="true"/>
          <w:lang w:bidi="fa-IR"/>
        </w:rPr>
        <w:t>الراجح شرعاً منه، کبناء القناطر و المساجد وصلة الأرحام و نحو ذلک، و یمکن إرادة الوصیّة الجائزة الجاریة مجری وصایا العقلاء،</w:t>
      </w:r>
    </w:p>
    <w:p>
      <w:pPr>
        <w:pStyle w:val="BookText"/>
        <w:rPr/>
      </w:pPr>
      <w:r>
        <w:rPr>
          <w:rFonts w:ascii="IRNazanin" w:hAnsi="IRNazanin" w:eastAsia="IRNazanin"/>
          <w:color w:val="111111"/>
          <w:sz w:val="28"/>
          <w:sz w:val="28"/>
          <w:szCs w:val="28"/>
          <w:rtl w:val="true"/>
          <w:lang w:bidi="fa-IR"/>
        </w:rPr>
        <w:t>کما أومی إلیه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أصاب موضع الوصیّة</w:t>
      </w:r>
      <w:r>
        <w:rPr>
          <w:rFonts w:eastAsia="IRNazanin" w:cs="IRNazanin"/>
          <w:color w:val="111111"/>
          <w:sz w:val="28"/>
          <w:szCs w:val="28"/>
          <w:rtl w:val="true"/>
          <w:lang w:bidi="fa-IR"/>
        </w:rPr>
        <w:t>»</w:t>
      </w:r>
      <w:r>
        <w:rPr>
          <w:rStyle w:val="FootnoteAnchor"/>
          <w:rtl w:val="true"/>
        </w:rPr>
        <w:footnoteReference w:id="2523"/>
      </w:r>
      <w:r>
        <w:rPr>
          <w:rStyle w:val="FootnoteAnchor"/>
          <w:rtl w:val="true"/>
        </w:rPr>
        <w:footnoteReference w:id="2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أنّ المراد بالحقّ ما ثبت علی عهدته</w:t>
      </w:r>
      <w:r>
        <w:rPr>
          <w:rStyle w:val="FootnoteAnchor"/>
          <w:rtl w:val="true"/>
        </w:rPr>
        <w:footnoteReference w:id="2525"/>
      </w:r>
      <w:r>
        <w:rPr>
          <w:rFonts w:ascii="IRNazanin" w:hAnsi="IRNazanin" w:eastAsia="IRNazanin"/>
          <w:color w:val="111111"/>
          <w:sz w:val="28"/>
          <w:sz w:val="28"/>
          <w:szCs w:val="28"/>
          <w:rtl w:val="true"/>
          <w:lang w:bidi="fa-IR"/>
        </w:rPr>
        <w:t xml:space="preserve">بحیث یجب علیه بعد البلوغ الفراغ عنه، أو یجب علی الولیّ ذلک من مال الصغیر کما لو أتلف مال الغیر فصار ضامناً؛ لقاعدة الإتلاف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حدّ معروف</w:t>
      </w:r>
      <w:r>
        <w:rPr>
          <w:rFonts w:eastAsia="IRNazanin" w:cs="IRNazanin"/>
          <w:color w:val="111111"/>
          <w:sz w:val="28"/>
          <w:szCs w:val="28"/>
          <w:rtl w:val="true"/>
          <w:lang w:bidi="fa-IR"/>
        </w:rPr>
        <w:t>»</w:t>
      </w:r>
      <w:r>
        <w:rPr>
          <w:rStyle w:val="FootnoteAnchor"/>
          <w:rtl w:val="true"/>
        </w:rPr>
        <w:footnoteReference w:id="2526"/>
      </w:r>
      <w:r>
        <w:rPr>
          <w:rFonts w:ascii="IRNazanin" w:hAnsi="IRNazanin" w:eastAsia="IRNazanin"/>
          <w:color w:val="111111"/>
          <w:sz w:val="28"/>
          <w:sz w:val="28"/>
          <w:szCs w:val="28"/>
          <w:rtl w:val="true"/>
          <w:lang w:bidi="fa-IR"/>
        </w:rPr>
        <w:t xml:space="preserve">، فهل المراد به وجوه الخیرات و المبرّات، و یؤیّده ذکره فی سیاق الإعتاق و التصدّق، أو أنّ المراد به المقدار الذی تنفذ الوصیّة به فی غیر الصبیّ و هو الثلث دون الأزید، و یؤیّد هذا الاحتمال ذکر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الباء، مع أنّ المناسب فی الوصیّة التملیکیّة و شبهها هو الباء؟</w:t>
      </w:r>
      <w:r>
        <w:rPr>
          <w:rFonts w:eastAsia="IRNazanin" w:cs="IRNazanin"/>
          <w:color w:val="111111"/>
          <w:sz w:val="28"/>
          <w:szCs w:val="28"/>
          <w:rtl w:val="true"/>
          <w:lang w:bidi="fa-IR"/>
        </w:rPr>
        <w:t>»</w:t>
      </w:r>
      <w:r>
        <w:rPr>
          <w:rStyle w:val="FootnoteAnchor"/>
          <w:rtl w:val="true"/>
        </w:rPr>
        <w:footnoteReference w:id="2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لا خلاف فی اشتراط کون الصبیّ ممیّزاً و إن لم یصرّح به فی النصوص، قال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إطلاق النصوص المتقدّمة جوازها من ذی العشر مطلقاً و لو لم یکن ممیّزاً، و قد اتّفق الأصحاب علی اشتراط التمییز و وضع الوصیّة فی محلّها کما یفعله العقلاء</w:t>
      </w:r>
      <w:r>
        <w:rPr>
          <w:rFonts w:eastAsia="IRNazanin" w:cs="IRNazanin"/>
          <w:color w:val="111111"/>
          <w:sz w:val="28"/>
          <w:szCs w:val="28"/>
          <w:rtl w:val="true"/>
          <w:lang w:bidi="fa-IR"/>
        </w:rPr>
        <w:t>»</w:t>
      </w:r>
      <w:r>
        <w:rPr>
          <w:rStyle w:val="FootnoteAnchor"/>
          <w:rtl w:val="true"/>
        </w:rPr>
        <w:footnoteReference w:id="2528"/>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الطائفة الثانیة التی تدلّ علی صحّة وصیّة الصبیّ لذوی الأرحام و لم</w:t>
      </w:r>
    </w:p>
    <w:p>
      <w:pPr>
        <w:pStyle w:val="BookText"/>
        <w:rPr/>
      </w:pPr>
      <w:r>
        <w:rPr>
          <w:rFonts w:ascii="IRNazanin" w:hAnsi="IRNazanin" w:eastAsia="IRNazanin"/>
          <w:color w:val="111111"/>
          <w:sz w:val="28"/>
          <w:sz w:val="28"/>
          <w:szCs w:val="28"/>
          <w:rtl w:val="true"/>
          <w:lang w:bidi="fa-IR"/>
        </w:rPr>
        <w:t>تجز للغرباء و ذیل الطائفة الثالثة التی تدلّ علی نفوذ وصیّته إذا کان له سبع سنین، فسیأتی فی القول السادس و السابع ما یرد علیهما و أنّ الأصحاب أعرضوا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النصوص المعتبرة سنداً و البالغة حدّ الاستفاضة تخصّص ما دلّ علی حجر الصبیّ و ممنوعیّته من التصرّف فی أمواله، 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بالجمیع یخصّ ما دلّ علی سلب عبارته، و لا حاجة إلی تکلّف دعوی عدم شمول تلک الأدلّة لما بعد الوفاة التی من الواضح منعها، کمنع دعوی جواز وصیّته باعتبار کونها عبادةً و هو غیر محجور علیه بالنسبة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الغریب ردّ ابن إدریس</w:t>
      </w:r>
      <w:r>
        <w:rPr>
          <w:rStyle w:val="FootnoteAnchor"/>
          <w:rtl w:val="true"/>
        </w:rPr>
        <w:footnoteReference w:id="2529"/>
      </w:r>
      <w:r>
        <w:rPr>
          <w:rFonts w:ascii="IRNazanin" w:hAnsi="IRNazanin" w:eastAsia="IRNazanin"/>
          <w:color w:val="111111"/>
          <w:sz w:val="28"/>
          <w:sz w:val="28"/>
          <w:szCs w:val="28"/>
          <w:rtl w:val="true"/>
          <w:lang w:bidi="fa-IR"/>
        </w:rPr>
        <w:t>هذه الأخبار، مع أنّه یدّعی غالباً قطعیّة ما هو أقلّ منها عدداً و عملاً، و أغرب منه موافقة جماعة من المتأخّرین له ممّن لم یوافقه علی عدم العمل بأخبار الآحاد علی ذلک، و ما فی المسالک</w:t>
      </w:r>
      <w:r>
        <w:rPr>
          <w:rStyle w:val="FootnoteAnchor"/>
          <w:rtl w:val="true"/>
        </w:rPr>
        <w:footnoteReference w:id="2530"/>
      </w:r>
      <w:r>
        <w:rPr>
          <w:rFonts w:ascii="IRNazanin" w:hAnsi="IRNazanin" w:eastAsia="IRNazanin"/>
          <w:color w:val="111111"/>
          <w:sz w:val="28"/>
          <w:sz w:val="28"/>
          <w:szCs w:val="28"/>
          <w:rtl w:val="true"/>
          <w:lang w:bidi="fa-IR"/>
        </w:rPr>
        <w:t>من أنّها مختلفة بحیث لا یمکن الجمع بینها، و إثبات الحکم المخالف للأصل بها مشکل لا یخفی ما فیه علی الناظر فیها</w:t>
      </w:r>
      <w:r>
        <w:rPr>
          <w:rFonts w:eastAsia="IRNazanin" w:cs="IRNazanin"/>
          <w:color w:val="111111"/>
          <w:sz w:val="28"/>
          <w:szCs w:val="28"/>
          <w:rtl w:val="true"/>
          <w:lang w:bidi="fa-IR"/>
        </w:rPr>
        <w:t>»</w:t>
      </w:r>
      <w:r>
        <w:rPr>
          <w:rStyle w:val="FootnoteAnchor"/>
          <w:rtl w:val="true"/>
        </w:rPr>
        <w:footnoteReference w:id="2531"/>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وصیّته مع بلوغ العشر مطلقاً و مع نقصه عنها فی المعروف، کما هو الظاهر من کلام أبی الصلاح الحلبی، نسبه إلیه فی المختلف</w:t>
      </w:r>
      <w:r>
        <w:rPr>
          <w:rStyle w:val="FootnoteAnchor"/>
          <w:rtl w:val="true"/>
        </w:rPr>
        <w:footnoteReference w:id="2532"/>
      </w:r>
      <w:r>
        <w:rPr>
          <w:rFonts w:ascii="IRNazanin" w:hAnsi="IRNazanin" w:eastAsia="IRNazanin"/>
          <w:color w:val="111111"/>
          <w:sz w:val="28"/>
          <w:sz w:val="28"/>
          <w:szCs w:val="28"/>
          <w:rtl w:val="true"/>
          <w:lang w:bidi="fa-IR"/>
        </w:rPr>
        <w:t>و الإیضاح</w:t>
      </w:r>
      <w:r>
        <w:rPr>
          <w:rStyle w:val="FootnoteAnchor"/>
          <w:rtl w:val="true"/>
        </w:rPr>
        <w:footnoteReference w:id="2533"/>
      </w:r>
      <w:r>
        <w:rPr>
          <w:rFonts w:ascii="IRNazanin" w:hAnsi="IRNazanin" w:eastAsia="IRNazanin"/>
          <w:color w:val="111111"/>
          <w:sz w:val="28"/>
          <w:sz w:val="28"/>
          <w:szCs w:val="28"/>
          <w:rtl w:val="true"/>
          <w:lang w:bidi="fa-IR"/>
        </w:rPr>
        <w:t>و المهذّب البارع</w:t>
      </w:r>
      <w:r>
        <w:rPr>
          <w:rStyle w:val="FootnoteAnchor"/>
          <w:rtl w:val="true"/>
        </w:rPr>
        <w:footnoteReference w:id="2534"/>
      </w:r>
      <w:r>
        <w:rPr>
          <w:rFonts w:ascii="IRNazanin" w:hAnsi="IRNazanin" w:eastAsia="IRNazanin"/>
          <w:color w:val="111111"/>
          <w:sz w:val="28"/>
          <w:sz w:val="28"/>
          <w:szCs w:val="28"/>
          <w:rtl w:val="true"/>
          <w:lang w:bidi="fa-IR"/>
        </w:rPr>
        <w:t>، قال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یمضی من وصیّة من لم یبلغ</w:t>
      </w:r>
    </w:p>
    <w:p>
      <w:pPr>
        <w:pStyle w:val="BookText"/>
        <w:rPr/>
      </w:pPr>
      <w:r>
        <w:rPr>
          <w:rFonts w:ascii="IRNazanin" w:hAnsi="IRNazanin" w:eastAsia="IRNazanin"/>
          <w:color w:val="111111"/>
          <w:sz w:val="28"/>
          <w:sz w:val="28"/>
          <w:szCs w:val="28"/>
          <w:rtl w:val="true"/>
          <w:lang w:bidi="fa-IR"/>
        </w:rPr>
        <w:t>عشر سنین و المحجور علیه إلّا ما تعلّق بأبواب البرّ</w:t>
      </w:r>
      <w:r>
        <w:rPr>
          <w:rFonts w:eastAsia="IRNazanin" w:cs="IRNazanin"/>
          <w:color w:val="111111"/>
          <w:sz w:val="28"/>
          <w:szCs w:val="28"/>
          <w:rtl w:val="true"/>
          <w:lang w:bidi="fa-IR"/>
        </w:rPr>
        <w:t>»</w:t>
      </w:r>
      <w:r>
        <w:rPr>
          <w:rStyle w:val="FootnoteAnchor"/>
          <w:rtl w:val="true"/>
        </w:rPr>
        <w:footnoteReference w:id="2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دلیل هذا القول بالنسبة إلی من بلغ عشر سنین النصوص المتقدّمة</w:t>
      </w:r>
      <w:r>
        <w:rPr>
          <w:rStyle w:val="FootnoteAnchor"/>
          <w:rtl w:val="true"/>
        </w:rPr>
        <w:footnoteReference w:id="2536"/>
      </w:r>
      <w:r>
        <w:rPr>
          <w:rFonts w:ascii="IRNazanin" w:hAnsi="IRNazanin" w:eastAsia="IRNazanin"/>
          <w:color w:val="111111"/>
          <w:sz w:val="28"/>
          <w:sz w:val="28"/>
          <w:szCs w:val="28"/>
          <w:rtl w:val="true"/>
          <w:lang w:bidi="fa-IR"/>
        </w:rPr>
        <w:t>، و المستفاد منها نفوذ وصیّة البالغ عشر سنین فی الحقّ و المعروف و وضع الوصیّة فی محلّها کما یفعله العقلاء، لا مطلقاً، و أمّا مع نقصه عنها فلعلّه استند</w:t>
      </w:r>
      <w:r>
        <w:rPr>
          <w:rStyle w:val="FootnoteAnchor"/>
          <w:rtl w:val="true"/>
        </w:rPr>
        <w:footnoteReference w:id="2537"/>
      </w:r>
      <w:r>
        <w:rPr>
          <w:rFonts w:ascii="Amiri" w:hAnsi="Amiri" w:eastAsia="Amiri" w:cs="Amiri"/>
          <w:color w:val="111111"/>
          <w:sz w:val="28"/>
          <w:sz w:val="28"/>
          <w:szCs w:val="28"/>
          <w:rtl w:val="true"/>
          <w:lang w:bidi="ar-SA"/>
        </w:rPr>
        <w:t>إلی إطلاقات و عمومات أدلّة الوصیّة بأن یدّعی أنّها تشمل الصبیّ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الأدلّة التی تدلّ علی ممنوعیّة الصبیّ من التصرّف و أنّه محجور علیه تخصّص العمومات، و خرج من المخصّص ما إذا بلغ الصبیّ عشر سنین و أوصی بالمعروف و البرّ، و من أجل أنّ الأصل فی العناوین الموضوعیّة فلا دلیل علی صحّة وصیّته فیما نقص عن 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ابن حمزة من أنّه تجوز وصیّة الصبیّ المراهق، قال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الموصی فإنّما تصحّ وصیّته باجتماع أربعة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کمال العقل یکون للمراهق الذی لم یضع الأشیاء فی غیر مواضعها، فإنّ وصیّته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بالمعروف ماضیة دون غیرها</w:t>
      </w:r>
      <w:r>
        <w:rPr>
          <w:rFonts w:eastAsia="IRNazanin" w:cs="IRNazanin"/>
          <w:color w:val="111111"/>
          <w:sz w:val="28"/>
          <w:szCs w:val="28"/>
          <w:rtl w:val="true"/>
          <w:lang w:bidi="fa-IR"/>
        </w:rPr>
        <w:t>»</w:t>
      </w:r>
      <w:r>
        <w:rPr>
          <w:rStyle w:val="FootnoteAnchor"/>
          <w:rtl w:val="true"/>
        </w:rPr>
        <w:footnoteReference w:id="2538"/>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یوجّه هذا القول بأنّ الملاک فی صحّة وصیّة الصبیّ هو کونه مراهقاً و العناوین المذکورة فی الروایات المتقدّمة کبلوغ الصبیّ و الوصیّة بالمعروف و البرّ و الحقّ مشیرة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یلاحظ علیه بأنّ الأصل فی العناوین الموضوعیّة</w:t>
      </w:r>
      <w:r>
        <w:rPr>
          <w:rStyle w:val="FootnoteAnchor"/>
          <w:rtl w:val="true"/>
        </w:rPr>
        <w:footnoteReference w:id="2539"/>
      </w:r>
      <w:r>
        <w:rPr>
          <w:rFonts w:ascii="IRNazanin" w:hAnsi="IRNazanin" w:eastAsia="IRNazanin"/>
          <w:color w:val="111111"/>
          <w:sz w:val="28"/>
          <w:sz w:val="28"/>
          <w:szCs w:val="28"/>
          <w:rtl w:val="true"/>
          <w:lang w:bidi="fa-IR"/>
        </w:rPr>
        <w:t>و لا دلیل علی إلغائها، بل علی خلافه کما هو الظاهر، قال فی مفتاح الکرامة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لیس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للمراهق ذکر، و لعلّ صاحب الوسیلة یعدّ ابن العشر مراهقاً</w:t>
      </w:r>
      <w:r>
        <w:rPr>
          <w:rFonts w:eastAsia="IRNazanin" w:cs="IRNazanin"/>
          <w:color w:val="111111"/>
          <w:sz w:val="28"/>
          <w:szCs w:val="28"/>
          <w:rtl w:val="true"/>
          <w:lang w:bidi="fa-IR"/>
        </w:rPr>
        <w:t>»</w:t>
      </w:r>
      <w:r>
        <w:rPr>
          <w:rStyle w:val="FootnoteAnchor"/>
          <w:rtl w:val="true"/>
        </w:rPr>
        <w:footnoteReference w:id="2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 إلیه ابن الجنید من أنّه إذا أوصی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ثمان سنین و الجاریة و لها سبع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یوصی به البالغ الرشید جاز</w:t>
      </w:r>
      <w:r>
        <w:rPr>
          <w:rStyle w:val="FootnoteAnchor"/>
          <w:rtl w:val="true"/>
        </w:rPr>
        <w:footnoteReference w:id="2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إیضاح الفوائد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ساوی ابن الجنید بین البالغ الرشید و بین ابن ثمانی سنین و بنت سبع مع وضعها الأشیاء مواضعها</w:t>
      </w:r>
      <w:r>
        <w:rPr>
          <w:rFonts w:eastAsia="IRNazanin" w:cs="IRNazanin"/>
          <w:color w:val="111111"/>
          <w:sz w:val="28"/>
          <w:szCs w:val="28"/>
          <w:rtl w:val="true"/>
          <w:lang w:bidi="fa-IR"/>
        </w:rPr>
        <w:t>»</w:t>
      </w:r>
      <w:r>
        <w:rPr>
          <w:rStyle w:val="FootnoteAnchor"/>
          <w:rtl w:val="true"/>
        </w:rPr>
        <w:footnoteReference w:id="2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ابن الجنید استند إلی روایة الحسن بن راشد عن العسکری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الغلام ثمان سنین فجائز أمره فی ماله، و قد وجب علیه الفرائض و الحدود، و إذا تمّ للجاریة سبع سنین فکذلک</w:t>
      </w:r>
      <w:r>
        <w:rPr>
          <w:rFonts w:eastAsia="IRNazanin" w:cs="IRNazanin"/>
          <w:color w:val="111111"/>
          <w:sz w:val="28"/>
          <w:szCs w:val="28"/>
          <w:rtl w:val="true"/>
          <w:lang w:bidi="fa-IR"/>
        </w:rPr>
        <w:t>»</w:t>
      </w:r>
      <w:r>
        <w:rPr>
          <w:rStyle w:val="FootnoteAnchor"/>
          <w:rtl w:val="true"/>
        </w:rPr>
        <w:footnoteReference w:id="2543"/>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هذه الروایة ضعیفة لا یمکن الاعتماد علیها؛ لما اتّفقت علیها نسخ الروایة علی نقلها عن العبدی عن الحسن بن راشد، و العبدی مجهول و لا یعلم من هو؛ لعدم ورود ذکر له فی کتب الرجال علی الإطلاق، و لکن من المحتمل أنّ الصحیح هو العبیدی الذی هو محمّد بن عیسی بن عبید بقرینة روایة علیّ بن الحسن بن فضّال عنه کثیراً و روایته عن الحسن بن راشد کذلک، فالروایة</w:t>
      </w:r>
    </w:p>
    <w:p>
      <w:pPr>
        <w:pStyle w:val="BookText"/>
        <w:rPr/>
      </w:pPr>
      <w:r>
        <w:rPr>
          <w:rFonts w:ascii="IRNazanin" w:hAnsi="IRNazanin" w:eastAsia="IRNazanin"/>
          <w:color w:val="111111"/>
          <w:sz w:val="28"/>
          <w:sz w:val="28"/>
          <w:szCs w:val="28"/>
          <w:rtl w:val="true"/>
          <w:lang w:bidi="fa-IR"/>
        </w:rPr>
        <w:t>تکون معتبرةً؛ لأنّ العبیدی ثقة کما أشار إلیه فی معجم رجال الحدیث</w:t>
      </w:r>
      <w:r>
        <w:rPr>
          <w:rStyle w:val="FootnoteAnchor"/>
          <w:rtl w:val="true"/>
        </w:rPr>
        <w:footnoteReference w:id="2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مع ذلک لا یمکن التمسّک بها؛ و ذلک لأنّها غیر واردة فی الوصیّة بخصوصها و إنّما هی دالّة علی جواز أمره مطلقاً و نفوذ جمیع تصرّفاته، و لم نجد من أفتی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هذه الروایة مع ضعف سندها شاذّة مخالفة لإجماع المسلمین من إثبات باقی الأحکام غیر الوصیّة، و لکن ابن الجنید اقتصر فیها علی الوصیّة، و مثل هذه الروایات لا تصلح لإثبات الأحکام</w:t>
      </w:r>
      <w:r>
        <w:rPr>
          <w:rFonts w:eastAsia="IRNazanin" w:cs="IRNazanin"/>
          <w:color w:val="111111"/>
          <w:sz w:val="28"/>
          <w:szCs w:val="28"/>
          <w:rtl w:val="true"/>
          <w:lang w:bidi="fa-IR"/>
        </w:rPr>
        <w:t>»</w:t>
      </w:r>
      <w:r>
        <w:rPr>
          <w:rStyle w:val="FootnoteAnchor"/>
          <w:rtl w:val="true"/>
        </w:rPr>
        <w:footnoteReference w:id="2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الحدائق و غیرهما</w:t>
      </w:r>
      <w:r>
        <w:rPr>
          <w:rStyle w:val="FootnoteAnchor"/>
          <w:rtl w:val="true"/>
        </w:rPr>
        <w:footnoteReference w:id="2546"/>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تصحّ وصیّة الصبیّ لذوی الأرحام لا لغیره، نسبه العلّامة فی التذکرة</w:t>
      </w:r>
      <w:r>
        <w:rPr>
          <w:rStyle w:val="FootnoteAnchor"/>
          <w:rtl w:val="true"/>
        </w:rPr>
        <w:footnoteReference w:id="2547"/>
      </w:r>
      <w:r>
        <w:rPr>
          <w:rFonts w:ascii="IRNazanin" w:hAnsi="IRNazanin" w:eastAsia="IRNazanin"/>
          <w:color w:val="111111"/>
          <w:sz w:val="28"/>
          <w:sz w:val="28"/>
          <w:szCs w:val="28"/>
          <w:rtl w:val="true"/>
          <w:lang w:bidi="fa-IR"/>
        </w:rPr>
        <w:t>إلی قیل، و یستظهر ذلک من مجمع الفائدة</w:t>
      </w:r>
      <w:r>
        <w:rPr>
          <w:rStyle w:val="FootnoteAnchor"/>
          <w:rtl w:val="true"/>
        </w:rPr>
        <w:footnoteReference w:id="2548"/>
      </w:r>
      <w:r>
        <w:rPr>
          <w:rFonts w:ascii="IRNazanin" w:hAnsi="IRNazanin" w:eastAsia="IRNazanin"/>
          <w:color w:val="111111"/>
          <w:sz w:val="28"/>
          <w:sz w:val="28"/>
          <w:szCs w:val="28"/>
          <w:rtl w:val="true"/>
          <w:lang w:bidi="fa-IR"/>
        </w:rPr>
        <w:t>، و یمکن أن یستدلّ له بما رواه المشایخ الثلاثة فی الصحیح المتقدّم عن محمّد بن مسلم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الغلام إذا حضره الموت و لم یدرک جازت وصیّته لذوی الأرحام و لم تجز للغرباء</w:t>
      </w:r>
      <w:r>
        <w:rPr>
          <w:rFonts w:eastAsia="IRNazanin" w:cs="IRNazanin"/>
          <w:color w:val="111111"/>
          <w:sz w:val="28"/>
          <w:szCs w:val="28"/>
          <w:rtl w:val="true"/>
          <w:lang w:bidi="fa-IR"/>
        </w:rPr>
        <w:t>»</w:t>
      </w:r>
      <w:r>
        <w:rPr>
          <w:rStyle w:val="FootnoteAnchor"/>
          <w:rtl w:val="true"/>
        </w:rPr>
        <w:footnoteReference w:id="2549"/>
      </w:r>
      <w:r>
        <w:rPr>
          <w:rFonts w:ascii="IRNazanin" w:hAnsi="IRNazanin" w:eastAsia="IRNazanin"/>
          <w:color w:val="111111"/>
          <w:sz w:val="28"/>
          <w:sz w:val="28"/>
          <w:szCs w:val="28"/>
          <w:rtl w:val="true"/>
          <w:lang w:bidi="fa-IR"/>
        </w:rPr>
        <w:t xml:space="preserve">، و ذکره فی الکافی و الفقیه و الوسائل مع زیادة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فأوصی</w:t>
      </w:r>
      <w:r>
        <w:rPr>
          <w:rFonts w:eastAsia="IRNazanin" w:cs="IRNazanin"/>
          <w:color w:val="111111"/>
          <w:sz w:val="28"/>
          <w:szCs w:val="28"/>
          <w:rtl w:val="true"/>
          <w:lang w:bidi="fa-IR"/>
        </w:rPr>
        <w:t>»</w:t>
      </w:r>
      <w:r>
        <w:rPr>
          <w:rStyle w:val="FootnoteAnchor"/>
          <w:rtl w:val="true"/>
        </w:rPr>
        <w:footnoteReference w:id="2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المسالک فی شرح کلام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لأقاربه و غیرهم</w:t>
      </w:r>
      <w:r>
        <w:rPr>
          <w:rFonts w:eastAsia="IRNazanin" w:cs="IRNazanin"/>
          <w:color w:val="111111"/>
          <w:sz w:val="28"/>
          <w:szCs w:val="28"/>
          <w:rtl w:val="true"/>
          <w:lang w:bidi="fa-IR"/>
        </w:rPr>
        <w:t>»</w:t>
      </w:r>
      <w:r>
        <w:rPr>
          <w:rStyle w:val="FootnoteAnchor"/>
          <w:rtl w:val="true"/>
        </w:rPr>
        <w:footnoteReference w:id="2551"/>
      </w:r>
      <w:r>
        <w:rPr>
          <w:rFonts w:ascii="IRNazanin" w:hAnsi="IRNazanin" w:eastAsia="IRNazanin"/>
          <w:color w:val="111111"/>
          <w:sz w:val="28"/>
          <w:sz w:val="28"/>
          <w:szCs w:val="28"/>
          <w:rtl w:val="true"/>
          <w:lang w:bidi="fa-IR"/>
        </w:rPr>
        <w:t>إشارة إلی خلاف ما روی فی بعض الأخبار من الفرق کصحیحة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رواها ابن بابویه فی الفقیه، و هو یقتضی عمله بها کما أشار إلیه فی أوّل کتابه</w:t>
      </w:r>
      <w:r>
        <w:rPr>
          <w:rFonts w:eastAsia="IRNazanin" w:cs="IRNazanin"/>
          <w:color w:val="111111"/>
          <w:sz w:val="28"/>
          <w:szCs w:val="28"/>
          <w:rtl w:val="true"/>
          <w:lang w:bidi="fa-IR"/>
        </w:rPr>
        <w:t>»</w:t>
      </w:r>
      <w:r>
        <w:rPr>
          <w:rStyle w:val="FootnoteAnchor"/>
          <w:rtl w:val="true"/>
        </w:rPr>
        <w:footnoteReference w:id="2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قال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فإنّی لم أجد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بالصحیح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 و إن کان ظاهر الفقیه الراوی له القول به، إلاّ أنّه لم ینسبه إلیه أحد من أصحابنا</w:t>
      </w:r>
      <w:r>
        <w:rPr>
          <w:rFonts w:eastAsia="IRNazanin" w:cs="IRNazanin"/>
          <w:color w:val="111111"/>
          <w:sz w:val="28"/>
          <w:szCs w:val="28"/>
          <w:rtl w:val="true"/>
          <w:lang w:bidi="fa-IR"/>
        </w:rPr>
        <w:t>»</w:t>
      </w:r>
      <w:r>
        <w:rPr>
          <w:rStyle w:val="FootnoteAnchor"/>
          <w:rtl w:val="true"/>
        </w:rPr>
        <w:footnoteReference w:id="2553"/>
      </w:r>
      <w:r>
        <w:rPr>
          <w:rFonts w:ascii="IRNazanin" w:hAnsi="IRNazanin" w:eastAsia="IRNazanin"/>
          <w:color w:val="111111"/>
          <w:sz w:val="28"/>
          <w:sz w:val="28"/>
          <w:szCs w:val="28"/>
          <w:rtl w:val="true"/>
          <w:lang w:bidi="fa-IR"/>
        </w:rPr>
        <w:t>، 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یتحقّق القائل به</w:t>
      </w:r>
      <w:r>
        <w:rPr>
          <w:rFonts w:eastAsia="IRNazanin" w:cs="IRNazanin"/>
          <w:color w:val="111111"/>
          <w:sz w:val="28"/>
          <w:szCs w:val="28"/>
          <w:rtl w:val="true"/>
          <w:lang w:bidi="fa-IR"/>
        </w:rPr>
        <w:t>»</w:t>
      </w:r>
      <w:r>
        <w:rPr>
          <w:rStyle w:val="FootnoteAnchor"/>
          <w:rtl w:val="true"/>
        </w:rPr>
        <w:footnoteReference w:id="2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مفتاح الکرامة</w:t>
      </w:r>
      <w:r>
        <w:rPr>
          <w:rStyle w:val="FootnoteAnchor"/>
          <w:rtl w:val="true"/>
        </w:rPr>
        <w:footnoteReference w:id="2555"/>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السیّد الخوئی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النسبة</w:t>
      </w:r>
      <w:r>
        <w:rPr>
          <w:rStyle w:val="FootnoteAnchor"/>
          <w:rtl w:val="true"/>
        </w:rPr>
        <w:footnoteReference w:id="2556"/>
      </w:r>
      <w:r>
        <w:rPr>
          <w:rFonts w:ascii="IRNazanin" w:hAnsi="IRNazanin" w:eastAsia="IRNazanin"/>
          <w:color w:val="111111"/>
          <w:sz w:val="28"/>
          <w:sz w:val="28"/>
          <w:szCs w:val="28"/>
          <w:rtl w:val="true"/>
          <w:lang w:bidi="fa-IR"/>
        </w:rPr>
        <w:t>بین صحیحة محمّد بن مسلم و بین ما دلّ علی نفوذ وصیّة الغلام إذا بلغ عشراً إنّما هی العموم و الخصوص من وجه، فهما قد یجتمعان و قد یفترقان، فیجتمعان فی وصیّة الغلام البالغ عشراً</w:t>
      </w:r>
    </w:p>
    <w:p>
      <w:pPr>
        <w:pStyle w:val="BookText"/>
        <w:rPr/>
      </w:pPr>
      <w:r>
        <w:rPr>
          <w:rFonts w:ascii="IRNazanin" w:hAnsi="IRNazanin" w:eastAsia="IRNazanin"/>
          <w:color w:val="111111"/>
          <w:sz w:val="28"/>
          <w:sz w:val="28"/>
          <w:szCs w:val="28"/>
          <w:rtl w:val="true"/>
          <w:lang w:bidi="fa-IR"/>
        </w:rPr>
        <w:t>لأرحامه، و یفترقان فی موردین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وصیّة البالغ عشراً لغیر أرحامه و وصیّة من لم یبلغ عشراً لأرحامه، حیث إنّ مقتضی ما دلّ علی نفوذ وصیّة البالغ عشراً هو صحّة الأوّل و فساد الثانی، فی حین أنّ مقتضی صحیحة محمّد بن مسلم هو العکس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فمقتضی القواعد هو التساقط و الرجوع إلی عموم ما دلّ علی حجر الصبیّ و عدم نفوذ تصرّفاته ما لم یحتلم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أفاده الماتن قدس سره وفاقاً للمشهور لا یمکن المساعدة علیه؛ لأنّ القدر المتیقّن من نفوذ وصیّة الصبیّ هو ما إذا بلغ عشراً و کانت وصیّته للأرحام، اللّهمَّ إلّا أن یثبت إجماع علی عدم الفرق، لکنّه غیر ثابت</w:t>
      </w:r>
      <w:r>
        <w:rPr>
          <w:rFonts w:eastAsia="IRNazanin" w:cs="IRNazanin"/>
          <w:color w:val="111111"/>
          <w:sz w:val="28"/>
          <w:szCs w:val="28"/>
          <w:rtl w:val="true"/>
          <w:lang w:bidi="fa-IR"/>
        </w:rPr>
        <w:t>»</w:t>
      </w:r>
      <w:r>
        <w:rPr>
          <w:rStyle w:val="FootnoteAnchor"/>
          <w:rtl w:val="true"/>
        </w:rPr>
        <w:footnoteReference w:id="2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أجاد فی تفصیل الشریعة فی جوابه حیث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أن یورد علیه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حکمنا باعتبار وصیّة الغلام فیما إذا بلغ عشراً فی الجملة، و طرحنا الروایات الدالّة علی خلاف ذلک، نظراً إلی الشهرة المرجّحة 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محیص من رعایة مقتضی الإطلاق و التقیید بین تلک الروایات، و بین صحیحة محمّد بن مسلم الدالّة علی اختصاص الجواز و النفوذ بالأرحام و عدم الجواز للغرباء، إلاّ أن یقال بأنّ مرجع ذلک إلی ثبوت الإجماع، و هو لو تمّ فإنّما هو علی عدم الفرق لا تحقّق الفرق، فتدبّر جیّداً</w:t>
      </w:r>
      <w:r>
        <w:rPr>
          <w:rFonts w:eastAsia="IRNazanin" w:cs="IRNazanin"/>
          <w:color w:val="111111"/>
          <w:sz w:val="28"/>
          <w:szCs w:val="28"/>
          <w:rtl w:val="true"/>
          <w:lang w:bidi="fa-IR"/>
        </w:rPr>
        <w:t>»</w:t>
      </w:r>
      <w:r>
        <w:rPr>
          <w:rStyle w:val="FootnoteAnchor"/>
          <w:rtl w:val="true"/>
        </w:rPr>
        <w:footnoteReference w:id="2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وصیّة ابن سبع سنین فی الیسیر من ماله فی حقّ، اختاره السیّد الخوانساری حیث یقول بعد ذکر الأخبار الواردة</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المستفاد من هذه الأخبار نفوذ وصیّة البالغ عشر سنین فی الحقّ و المعروف بعد تقیید ما هو مطلق بالمقیّد، بل نفوذ وصیّة ابن سبع سنین فی</w:t>
      </w:r>
    </w:p>
    <w:p>
      <w:pPr>
        <w:pStyle w:val="BookText"/>
        <w:rPr/>
      </w:pPr>
      <w:r>
        <w:rPr>
          <w:rFonts w:ascii="IRNazanin" w:hAnsi="IRNazanin" w:eastAsia="IRNazanin"/>
          <w:color w:val="111111"/>
          <w:sz w:val="28"/>
          <w:sz w:val="28"/>
          <w:szCs w:val="28"/>
          <w:rtl w:val="true"/>
          <w:lang w:bidi="fa-IR"/>
        </w:rPr>
        <w:t>الیسیر من ماله فی حقّ</w:t>
      </w:r>
      <w:r>
        <w:rPr>
          <w:rFonts w:eastAsia="IRNazanin" w:cs="IRNazanin"/>
          <w:color w:val="111111"/>
          <w:sz w:val="28"/>
          <w:szCs w:val="28"/>
          <w:rtl w:val="true"/>
          <w:lang w:bidi="fa-IR"/>
        </w:rPr>
        <w:t>»</w:t>
      </w:r>
      <w:r>
        <w:rPr>
          <w:rStyle w:val="FootnoteAnchor"/>
          <w:rtl w:val="true"/>
        </w:rPr>
        <w:footnoteReference w:id="2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علیه صحیحة أبی بصیر المتقدّمة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الغلام عشر سنین فأوصی بثلث ماله فی حقّ جازت وصیّته، فإذا کان ابن سبع سنین فأوصی من ماله بالیسیر فی حقّ جازت وصیّته</w:t>
      </w:r>
      <w:r>
        <w:rPr>
          <w:rFonts w:eastAsia="IRNazanin" w:cs="IRNazanin"/>
          <w:color w:val="111111"/>
          <w:sz w:val="28"/>
          <w:szCs w:val="28"/>
          <w:rtl w:val="true"/>
          <w:lang w:bidi="fa-IR"/>
        </w:rPr>
        <w:t>»</w:t>
      </w:r>
      <w:r>
        <w:rPr>
          <w:rStyle w:val="FootnoteAnchor"/>
          <w:rtl w:val="true"/>
        </w:rPr>
        <w:footnoteReference w:id="2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الفقهاء أعرضوا عن العمل بالجملة الثانیة منها؛ لتعارضها مع النصوص المتقدّمة التی تدلّ علی نفوذ وصیّة الصبیّ مقیّداً بأن یکون له عشر سنین و بمعروف فقط، فیقدّم ما هو المشهور روایةً و 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التوقّف فی المسألة کما یظهر من التذکرة و اللمعة و الدروس</w:t>
      </w:r>
      <w:r>
        <w:rPr>
          <w:rStyle w:val="FootnoteAnchor"/>
          <w:rtl w:val="true"/>
        </w:rPr>
        <w:footnoteReference w:id="2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المختصر النافع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وصیّة من بلغ عشراً فی البرّ تردّد، و المروی الجواز</w:t>
      </w:r>
      <w:r>
        <w:rPr>
          <w:rFonts w:eastAsia="IRNazanin" w:cs="IRNazanin"/>
          <w:color w:val="111111"/>
          <w:sz w:val="28"/>
          <w:szCs w:val="28"/>
          <w:rtl w:val="true"/>
          <w:lang w:bidi="fa-IR"/>
        </w:rPr>
        <w:t>»</w:t>
      </w:r>
      <w:r>
        <w:rPr>
          <w:rStyle w:val="FootnoteAnchor"/>
          <w:rtl w:val="true"/>
        </w:rPr>
        <w:footnoteReference w:id="2562"/>
      </w:r>
      <w:r>
        <w:rPr>
          <w:rFonts w:ascii="IRNazanin" w:hAnsi="IRNazanin" w:eastAsia="IRNazanin"/>
          <w:color w:val="111111"/>
          <w:sz w:val="28"/>
          <w:sz w:val="28"/>
          <w:szCs w:val="28"/>
          <w:rtl w:val="true"/>
          <w:lang w:bidi="fa-IR"/>
        </w:rPr>
        <w:t>، و قال فی مفتاح الکرامة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الشرائع متوقّف</w:t>
      </w:r>
      <w:r>
        <w:rPr>
          <w:rFonts w:eastAsia="IRNazanin" w:cs="IRNazanin"/>
          <w:color w:val="111111"/>
          <w:sz w:val="28"/>
          <w:szCs w:val="28"/>
          <w:rtl w:val="true"/>
          <w:lang w:bidi="fa-IR"/>
        </w:rPr>
        <w:t>»</w:t>
      </w:r>
      <w:r>
        <w:rPr>
          <w:rStyle w:val="FootnoteAnchor"/>
          <w:rtl w:val="true"/>
        </w:rPr>
        <w:footnoteReference w:id="2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تعلیقة السیّدین البروجردی و الخوئی علی 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تأمّل</w:t>
      </w:r>
      <w:r>
        <w:rPr>
          <w:rFonts w:eastAsia="IRNazanin" w:cs="IRNazanin"/>
          <w:color w:val="111111"/>
          <w:sz w:val="28"/>
          <w:szCs w:val="28"/>
          <w:rtl w:val="true"/>
          <w:lang w:bidi="fa-IR"/>
        </w:rPr>
        <w:t>»</w:t>
      </w:r>
      <w:r>
        <w:rPr>
          <w:rStyle w:val="FootnoteAnchor"/>
          <w:rtl w:val="true"/>
        </w:rPr>
        <w:footnoteReference w:id="2564"/>
      </w:r>
      <w:r>
        <w:rPr>
          <w:rFonts w:ascii="Amiri" w:hAnsi="Amiri" w:eastAsia="Amiri" w:cs="Amiri"/>
          <w:color w:val="111111"/>
          <w:sz w:val="28"/>
          <w:sz w:val="28"/>
          <w:szCs w:val="28"/>
          <w:rtl w:val="true"/>
          <w:lang w:bidi="ar-SA"/>
        </w:rPr>
        <w:t xml:space="preserve">، 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وصیّته للغرباء محلّ إشکال</w:t>
      </w:r>
      <w:r>
        <w:rPr>
          <w:rFonts w:eastAsia="Amiri" w:cs="Amiri" w:ascii="Amiri" w:hAnsi="Amiri"/>
          <w:color w:val="111111"/>
          <w:sz w:val="28"/>
          <w:szCs w:val="28"/>
          <w:rtl w:val="true"/>
          <w:lang w:bidi="ar-SA"/>
        </w:rPr>
        <w:t>»</w:t>
      </w:r>
      <w:r>
        <w:rPr>
          <w:rStyle w:val="FootnoteAnchor"/>
          <w:rtl w:val="true"/>
        </w:rPr>
        <w:footnoteReference w:id="2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منشأ التوقّف اختلاف الروایات بدعوی أنّه لا یمکن الجمع بینها، و قد تقدّم أنّه یمکن الجمع العرفی بینها بحمل المطلق علی المقیّد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وصیّة الصبیّ مع إجازة الولیّ، ذهب إلیه السیّد</w:t>
      </w:r>
      <w:bookmarkStart w:id="701" w:name="pg11757_135859"/>
    </w:p>
    <w:p>
      <w:pPr>
        <w:pStyle w:val="BookText"/>
        <w:rPr/>
      </w:pPr>
      <w:bookmarkEnd w:id="701"/>
      <w:r>
        <w:rPr>
          <w:rFonts w:ascii="IRNazanin" w:hAnsi="IRNazanin" w:eastAsia="IRNazanin"/>
          <w:color w:val="111111"/>
          <w:sz w:val="28"/>
          <w:sz w:val="28"/>
          <w:szCs w:val="28"/>
          <w:rtl w:val="true"/>
          <w:lang w:bidi="fa-IR"/>
        </w:rPr>
        <w:t>الخوانساری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إن قلنا بنفوذ تصرّفات الغیر البالغ بإجازة الولیّ فلا مانع من التصرّف بالوصیّة</w:t>
      </w:r>
      <w:r>
        <w:rPr>
          <w:rFonts w:eastAsia="IRNazanin" w:cs="IRNazanin"/>
          <w:color w:val="111111"/>
          <w:sz w:val="28"/>
          <w:szCs w:val="28"/>
          <w:rtl w:val="true"/>
          <w:lang w:bidi="fa-IR"/>
        </w:rPr>
        <w:t>»</w:t>
      </w:r>
      <w:r>
        <w:rPr>
          <w:rStyle w:val="FootnoteAnchor"/>
          <w:rtl w:val="true"/>
        </w:rPr>
        <w:footnoteReference w:id="2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فیما تقدّم</w:t>
      </w:r>
      <w:r>
        <w:rPr>
          <w:rStyle w:val="FootnoteAnchor"/>
          <w:rtl w:val="true"/>
        </w:rPr>
        <w:footnoteReference w:id="2567"/>
      </w:r>
      <w:r>
        <w:rPr>
          <w:rFonts w:ascii="IRNazanin" w:hAnsi="IRNazanin" w:eastAsia="IRNazanin"/>
          <w:color w:val="111111"/>
          <w:sz w:val="28"/>
          <w:sz w:val="28"/>
          <w:szCs w:val="28"/>
          <w:rtl w:val="true"/>
          <w:lang w:bidi="fa-IR"/>
        </w:rPr>
        <w:t>أنّه تصحّ تصرّفات الصبیّ مع إذن الولیّ إلاّ أنّه لا تنطبق الکبری فی المقام؛ لأنّ تصرّفه فی ملک نفسه مع إذن الولیّ صحیح، و الحال أنّه لا یملک بعد موته بل المالک هو الوارث، فوصیّة الصبیّ فی الحقیقة تصرّف فی أموال الغیر، و إجازة الولیّ لا تصحّحها،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الوصیّة فعلیّة و متعلّقها استقبالیّ فلا توجب تصرّفاً فی مال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یسهّل الخطب أنّه لا یحتاج إلی إذن الولیّ؛ لوجود النصّ الصریح بصحّة الوصیّة من الصبیّ فی وجوه البرّ و إن لم یکن مأذوناً</w:t>
      </w:r>
      <w:r>
        <w:rPr>
          <w:rFonts w:eastAsia="IRNazanin" w:cs="IRNazanin"/>
          <w:color w:val="111111"/>
          <w:sz w:val="28"/>
          <w:szCs w:val="28"/>
          <w:rtl w:val="true"/>
          <w:lang w:bidi="fa-IR"/>
        </w:rPr>
        <w:t>.</w:t>
      </w:r>
    </w:p>
    <w:p>
      <w:pPr>
        <w:pStyle w:val="Heading6"/>
        <w:numPr>
          <w:ilvl w:val="5"/>
          <w:numId w:val="1"/>
        </w:numPr>
        <w:rPr/>
      </w:pPr>
      <w:bookmarkStart w:id="702" w:name="__RefHeading___Toc9697035_73709187"/>
      <w:bookmarkStart w:id="703" w:name="_Toc261"/>
      <w:bookmarkEnd w:id="702"/>
      <w:r>
        <w:rPr>
          <w:rtl w:val="true"/>
        </w:rPr>
        <w:t>آراء أهل السنّة فی وصیّة الصبیّ‌</w:t>
      </w:r>
      <w:bookmarkEnd w:id="703"/>
    </w:p>
    <w:p>
      <w:pPr>
        <w:pStyle w:val="BookText"/>
        <w:rPr/>
      </w:pPr>
      <w:r>
        <w:rPr>
          <w:rFonts w:ascii="Amiri" w:hAnsi="Amiri" w:eastAsia="Amiri" w:cs="Amiri"/>
          <w:color w:val="111111"/>
          <w:sz w:val="28"/>
          <w:sz w:val="28"/>
          <w:szCs w:val="28"/>
          <w:rtl w:val="true"/>
          <w:lang w:bidi="ar-SA"/>
        </w:rPr>
        <w:t>اختلفوا فی صحّة وصیّة الصبیّ الممیّز بعد اتّفاقهم علی عدم صحّة وصیّة الصبیّ غیر الممیّز، و إلیک نصّ کلماتهم</w:t>
      </w:r>
      <w:r>
        <w:rPr>
          <w:rFonts w:eastAsia="Amiri" w:cs="Amiri" w:ascii="Amiri" w:hAnsi="Amiri"/>
          <w:color w:val="111111"/>
          <w:sz w:val="28"/>
          <w:szCs w:val="28"/>
          <w:rtl w:val="true"/>
          <w:lang w:bidi="ar-SA"/>
        </w:rPr>
        <w:t>:</w:t>
      </w:r>
    </w:p>
    <w:p>
      <w:pPr>
        <w:pStyle w:val="Heading6"/>
        <w:numPr>
          <w:ilvl w:val="5"/>
          <w:numId w:val="1"/>
        </w:numPr>
        <w:rPr/>
      </w:pPr>
      <w:bookmarkStart w:id="704" w:name="__RefHeading___Toc9697037_73709187"/>
      <w:bookmarkStart w:id="705" w:name="_Toc262"/>
      <w:bookmarkEnd w:id="704"/>
      <w:r>
        <w:rPr>
          <w:rtl w:val="true"/>
        </w:rPr>
        <w:t xml:space="preserve">أ </w:t>
      </w:r>
      <w:r>
        <w:rPr>
          <w:rtl w:val="true"/>
        </w:rPr>
        <w:t xml:space="preserve">- </w:t>
      </w:r>
      <w:r>
        <w:rPr>
          <w:rtl w:val="true"/>
        </w:rPr>
        <w:t>الحنفیّة</w:t>
      </w:r>
      <w:bookmarkEnd w:id="705"/>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قالوا بعدم صحّة وصیّة الصبیّ، جاء فی البدائع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بحث شرائط الأرکان فی الوصیّة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الذی یرجع إلی الموصی فأنواع،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من أهل التبرّع فی الوصیّة بالمال و ما یتعلّق به؛ لأنّ الوصیّة بذلک تبرّع بإیجابه بعد موته، فلا بدّ من أهلیّة التبرّع، فلا تصحّ من الصبیّ و المجنون؛ لأنّهما لیسا من</w:t>
      </w:r>
      <w:bookmarkStart w:id="706" w:name="pg11757_135860"/>
    </w:p>
    <w:p>
      <w:pPr>
        <w:pStyle w:val="BookText"/>
        <w:rPr/>
      </w:pPr>
      <w:bookmarkEnd w:id="706"/>
      <w:r>
        <w:rPr>
          <w:rFonts w:ascii="IRNazanin" w:hAnsi="IRNazanin" w:eastAsia="IRNazanin"/>
          <w:color w:val="111111"/>
          <w:sz w:val="28"/>
          <w:sz w:val="28"/>
          <w:szCs w:val="28"/>
          <w:rtl w:val="true"/>
          <w:lang w:bidi="fa-IR"/>
        </w:rPr>
        <w:t>أهل التبرّع، لکونه من التصرّفات الضارّة المحضة، إذ لا یقابله عوض دنیویّ</w:t>
      </w:r>
      <w:r>
        <w:rPr>
          <w:rFonts w:eastAsia="IRNazanin" w:cs="IRNazanin"/>
          <w:color w:val="111111"/>
          <w:sz w:val="28"/>
          <w:szCs w:val="28"/>
          <w:rtl w:val="true"/>
          <w:lang w:bidi="fa-IR"/>
        </w:rPr>
        <w:t>»</w:t>
      </w:r>
      <w:r>
        <w:rPr>
          <w:rStyle w:val="FootnoteAnchor"/>
          <w:rtl w:val="true"/>
        </w:rPr>
        <w:footnoteReference w:id="2568"/>
      </w:r>
      <w:r>
        <w:rPr>
          <w:rFonts w:ascii="IRNazanin" w:hAnsi="IRNazanin" w:eastAsia="IRNazanin"/>
          <w:color w:val="111111"/>
          <w:sz w:val="28"/>
          <w:sz w:val="28"/>
          <w:szCs w:val="28"/>
          <w:rtl w:val="true"/>
          <w:lang w:bidi="fa-IR"/>
        </w:rPr>
        <w:t>و قریب من هذا فی المبسوط، نعم تصحّ عندهم وصیّة الصبیّ الممیّز فی شیء واحد، و هو الوصیّة بتجهیزه و دفنه؛ لأنّه یثبت من غیر وصیّة</w:t>
      </w:r>
      <w:r>
        <w:rPr>
          <w:rStyle w:val="FootnoteAnchor"/>
          <w:rtl w:val="true"/>
        </w:rPr>
        <w:footnoteReference w:id="25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07" w:name="__RefHeading___Toc9697039_73709187"/>
      <w:bookmarkStart w:id="708" w:name="_Toc263"/>
      <w:bookmarkEnd w:id="707"/>
      <w:r>
        <w:rPr>
          <w:rtl w:val="true"/>
        </w:rPr>
        <w:t xml:space="preserve">ب </w:t>
      </w:r>
      <w:r>
        <w:rPr>
          <w:rtl w:val="true"/>
        </w:rPr>
        <w:t xml:space="preserve">- </w:t>
      </w:r>
      <w:r>
        <w:rPr>
          <w:rtl w:val="true"/>
        </w:rPr>
        <w:t>الحنابلة</w:t>
      </w:r>
      <w:bookmarkEnd w:id="708"/>
    </w:p>
    <w:p>
      <w:pPr>
        <w:pStyle w:val="BookText"/>
        <w:rPr/>
      </w:pPr>
      <w:r>
        <w:rPr>
          <w:rFonts w:ascii="IRNazanin" w:hAnsi="IRNazanin" w:eastAsia="IRNazanin"/>
          <w:color w:val="111111"/>
          <w:sz w:val="28"/>
          <w:sz w:val="28"/>
          <w:szCs w:val="28"/>
          <w:rtl w:val="true"/>
          <w:lang w:bidi="fa-IR"/>
        </w:rPr>
        <w:t>فإنّهم قالوا بصحّة وصیّة الصبیّ الممیّز إن کان له عشر سنین، و من له دون السبع فلا تصحّ، و ما بین السبع و العشر فعلی 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المغنی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جاوز العشر سنین فوصیّته جائزة إذا وافق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له دون السبع لا تصحّ وصیّته، و ما بین السبع و العشر فعلی روایتین، و قال ابن أبی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تصحّ وصیّة الغلام لدون العشر و لا الجاریة قولاً واحداً، و ما زاد علی العشر فتصحّ علی المنصوص، و فیه وجه آخر لا تصحّ حتّی یبلغ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أنّ صبیّاً من غسّان له عشر سنین أوصی لأخوال له، فرفع ذلک إلی عمر بن الخطّاب فأجاز وصیّته</w:t>
      </w:r>
      <w:r>
        <w:rPr>
          <w:rStyle w:val="FootnoteAnchor"/>
          <w:rtl w:val="true"/>
        </w:rPr>
        <w:footnoteReference w:id="2570"/>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لأنّه تصرّف تمحّض نفعاً للصبیّ فصحّ منه کالإسلام و الصلاة؛ و ذلک لأنّ الوصیّة صدقة یحصل ثوابها له بعد غناء عن ملکه و ماله، فلا یلحقه ضرر فی عاجل دنیاه و لا اخراه، بخلاف الهبة و العتق المنجّز، فإنّه یفوت من ماله ما یحتاج إلیه</w:t>
      </w:r>
      <w:r>
        <w:rPr>
          <w:rFonts w:eastAsia="IRNazanin" w:cs="IRNazanin"/>
          <w:color w:val="111111"/>
          <w:sz w:val="28"/>
          <w:szCs w:val="28"/>
          <w:rtl w:val="true"/>
          <w:lang w:bidi="fa-IR"/>
        </w:rPr>
        <w:t>»</w:t>
      </w:r>
      <w:r>
        <w:rPr>
          <w:rStyle w:val="FootnoteAnchor"/>
          <w:rtl w:val="true"/>
        </w:rPr>
        <w:footnoteReference w:id="2571"/>
      </w:r>
      <w:r>
        <w:rPr>
          <w:rFonts w:ascii="IRNazanin" w:hAnsi="IRNazanin" w:eastAsia="IRNazanin"/>
          <w:color w:val="111111"/>
          <w:sz w:val="28"/>
          <w:sz w:val="28"/>
          <w:szCs w:val="28"/>
          <w:rtl w:val="true"/>
          <w:lang w:bidi="fa-IR"/>
        </w:rPr>
        <w:t>، و قریب من هذا فی الإنصاف</w:t>
      </w:r>
      <w:r>
        <w:rPr>
          <w:rStyle w:val="FootnoteAnchor"/>
          <w:rtl w:val="true"/>
        </w:rPr>
        <w:footnoteReference w:id="2572"/>
      </w:r>
      <w:r>
        <w:rPr>
          <w:rFonts w:ascii="IRNazanin" w:hAnsi="IRNazanin" w:eastAsia="IRNazanin"/>
          <w:color w:val="111111"/>
          <w:sz w:val="28"/>
          <w:sz w:val="28"/>
          <w:szCs w:val="28"/>
          <w:rtl w:val="true"/>
          <w:lang w:bidi="fa-IR"/>
        </w:rPr>
        <w:t xml:space="preserve">و الفقه علی المذاهب الأربعة </w:t>
      </w:r>
      <w:r>
        <w:rPr>
          <w:rStyle w:val="FootnoteAnchor"/>
          <w:rtl w:val="true"/>
        </w:rPr>
        <w:footnoteReference w:id="2573"/>
      </w:r>
      <w:bookmarkStart w:id="709" w:name="pg11757_135861"/>
    </w:p>
    <w:p>
      <w:pPr>
        <w:pStyle w:val="BookText"/>
        <w:rPr/>
      </w:pPr>
      <w:bookmarkEnd w:id="709"/>
      <w:r>
        <w:rPr>
          <w:rFonts w:ascii="IRNazanin" w:hAnsi="IRNazanin" w:eastAsia="IRNazanin"/>
          <w:color w:val="111111"/>
          <w:sz w:val="28"/>
          <w:sz w:val="28"/>
          <w:szCs w:val="28"/>
          <w:rtl w:val="true"/>
          <w:lang w:bidi="fa-IR"/>
        </w:rPr>
        <w:t>و الفقه الإسلامی و أدلّته</w:t>
      </w:r>
      <w:r>
        <w:rPr>
          <w:rStyle w:val="FootnoteAnchor"/>
          <w:rtl w:val="true"/>
        </w:rPr>
        <w:footnoteReference w:id="25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10" w:name="__RefHeading___Toc9697041_73709187"/>
      <w:bookmarkStart w:id="711" w:name="_Toc264"/>
      <w:bookmarkEnd w:id="710"/>
      <w:r>
        <w:rPr>
          <w:rtl w:val="true"/>
        </w:rPr>
        <w:t xml:space="preserve">ج </w:t>
      </w:r>
      <w:r>
        <w:rPr>
          <w:rtl w:val="true"/>
        </w:rPr>
        <w:t xml:space="preserve">- </w:t>
      </w:r>
      <w:r>
        <w:rPr>
          <w:rtl w:val="true"/>
        </w:rPr>
        <w:t>المالکیّة</w:t>
      </w:r>
      <w:bookmarkEnd w:id="711"/>
    </w:p>
    <w:p>
      <w:pPr>
        <w:pStyle w:val="BookText"/>
        <w:rPr/>
      </w:pPr>
      <w:r>
        <w:rPr>
          <w:rFonts w:ascii="IRNazanin" w:hAnsi="IRNazanin" w:eastAsia="IRNazanin"/>
          <w:color w:val="111111"/>
          <w:sz w:val="28"/>
          <w:sz w:val="28"/>
          <w:szCs w:val="28"/>
          <w:rtl w:val="true"/>
          <w:lang w:bidi="fa-IR"/>
        </w:rPr>
        <w:t>فقد قالوا تصحّ وصیّة الصبیّ الممیّز إذا عقل وجه القرب و أصاب الوصیّة، بأن لا یکون فیها تخلیط و تبطل من المجنون و الصبیّ الذی لا یمیّز؛ لأنّهما مسلوبا العبارة</w:t>
      </w:r>
      <w:r>
        <w:rPr>
          <w:rStyle w:val="FootnoteAnchor"/>
          <w:rtl w:val="true"/>
        </w:rPr>
        <w:footnoteReference w:id="2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بدایة المجتهد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یصحّ عند مالک وصیّة السفیه و الصبیّ الذی یعقل القرب</w:t>
      </w:r>
      <w:r>
        <w:rPr>
          <w:rFonts w:eastAsia="IRNazanin" w:cs="IRNazanin"/>
          <w:color w:val="111111"/>
          <w:sz w:val="28"/>
          <w:szCs w:val="28"/>
          <w:rtl w:val="true"/>
          <w:lang w:bidi="fa-IR"/>
        </w:rPr>
        <w:t>»</w:t>
      </w:r>
      <w:r>
        <w:rPr>
          <w:rStyle w:val="FootnoteAnchor"/>
          <w:rtl w:val="true"/>
        </w:rPr>
        <w:footnoteReference w:id="2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مواهب الجلیل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تجوز وصیّة ابن عشر سنین و أقلّ ممّا یقاربها، و روی ابن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أبان بن عثمان أجاز وصیّة جاریة بنت ثمان سنین</w:t>
      </w:r>
      <w:r>
        <w:rPr>
          <w:rFonts w:eastAsia="IRNazanin" w:cs="IRNazanin"/>
          <w:color w:val="111111"/>
          <w:sz w:val="28"/>
          <w:szCs w:val="28"/>
          <w:rtl w:val="true"/>
          <w:lang w:bidi="fa-IR"/>
        </w:rPr>
        <w:t>»</w:t>
      </w:r>
      <w:r>
        <w:rPr>
          <w:rStyle w:val="FootnoteAnchor"/>
          <w:rtl w:val="true"/>
        </w:rPr>
        <w:footnoteReference w:id="2577"/>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مالک فی الموطّأ عن عبد اللّه بن أبی بکر بن حزم، عن أبیه، عن عمرو بن سُلَیم الزُّرقی، أخبره أنّه قیل لعمر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ههنا غلاماً یافعاً لم یحتلم من غسّان، و وارثه بالشام و هو ذو مال، و لیس له ههنا إلاّ ابنة عمّ له، 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فلیوص 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فأوصی لها بمال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بئر جُشَم، قال عمرو بن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فبیع ذلک المال بثلاثین ألف درهم، و ابنة عمّه التی أوصی لها هی امّ عمرو بن سُلیم الزُّرقی</w:t>
      </w:r>
      <w:r>
        <w:rPr>
          <w:rStyle w:val="FootnoteAnchor"/>
          <w:rtl w:val="true"/>
        </w:rPr>
        <w:footnoteReference w:id="2578"/>
      </w:r>
      <w:r>
        <w:rPr>
          <w:rFonts w:eastAsia="Times New Roman" w:cs="Times New Roman" w:ascii="Times New Roman" w:hAnsi="Times New Roman"/>
          <w:color w:val="111111"/>
          <w:sz w:val="28"/>
          <w:szCs w:val="28"/>
          <w:rtl w:val="true"/>
          <w:lang w:val="en-US" w:bidi="en-US"/>
        </w:rPr>
        <w:t>.</w:t>
      </w:r>
      <w:bookmarkStart w:id="712" w:name="pg11757_135862"/>
    </w:p>
    <w:p>
      <w:pPr>
        <w:pStyle w:val="Heading6"/>
        <w:numPr>
          <w:ilvl w:val="5"/>
          <w:numId w:val="1"/>
        </w:numPr>
        <w:rPr/>
      </w:pPr>
      <w:bookmarkStart w:id="713" w:name="__RefHeading___Toc9697043_73709187"/>
      <w:bookmarkStart w:id="714" w:name="_Toc265"/>
      <w:bookmarkEnd w:id="712"/>
      <w:bookmarkEnd w:id="713"/>
      <w:r>
        <w:rPr>
          <w:rtl w:val="true"/>
        </w:rPr>
        <w:t xml:space="preserve">د </w:t>
      </w:r>
      <w:r>
        <w:rPr>
          <w:rtl w:val="true"/>
        </w:rPr>
        <w:t xml:space="preserve">- </w:t>
      </w:r>
      <w:r>
        <w:rPr>
          <w:rtl w:val="true"/>
        </w:rPr>
        <w:t>الشافعیّة</w:t>
      </w:r>
      <w:bookmarkEnd w:id="714"/>
    </w:p>
    <w:p>
      <w:pPr>
        <w:pStyle w:val="BookText"/>
        <w:rPr/>
      </w:pPr>
      <w:r>
        <w:rPr>
          <w:rFonts w:ascii="Amiri" w:hAnsi="Amiri" w:eastAsia="Amiri" w:cs="Amiri"/>
          <w:color w:val="111111"/>
          <w:sz w:val="28"/>
          <w:sz w:val="28"/>
          <w:szCs w:val="28"/>
          <w:rtl w:val="true"/>
          <w:lang w:bidi="ar-SA"/>
        </w:rPr>
        <w:t>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صحّة وصیّة الصبیّ الممیّز قولان</w:t>
      </w:r>
      <w:r>
        <w:rPr>
          <w:rStyle w:val="FootnoteAnchor"/>
          <w:rtl w:val="true"/>
        </w:rPr>
        <w:footnoteReference w:id="2579"/>
      </w:r>
      <w:r>
        <w:rPr>
          <w:rFonts w:ascii="IRNazanin" w:hAnsi="IRNazanin" w:eastAsia="IRNazanin"/>
          <w:color w:val="111111"/>
          <w:sz w:val="28"/>
          <w:sz w:val="28"/>
          <w:szCs w:val="28"/>
          <w:rtl w:val="true"/>
          <w:lang w:bidi="fa-IR"/>
        </w:rPr>
        <w:t>، جاء فی الحاوی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الصبیّ فإن کان طفلاً غیر ممیّز فوصیّته باطلة، و إن کان مراهقاً ففی جواز وصیّته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و به قال أبو حنیفة، و اختاره المزنیّ؛ لارتفاع القلم عنه کالمجنون، و لأنّ الوصیّة عقد فأشبهت سائر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قال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وصیّته جائزة؛ لروایة عمرو بن سُلیم الزرقی</w:t>
      </w:r>
      <w:r>
        <w:rPr>
          <w:rStyle w:val="FootnoteAnchor"/>
          <w:rtl w:val="true"/>
        </w:rPr>
        <w:footnoteReference w:id="2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المعنی الذی لأجله منعت عقوده هو المعنی الذی امضیت وصیّته؛ لأنّ الحظّ له فی منع العقود، لأنّه لا یتعجّل بها نفعاً، و لا یقدر علی استدراکها إذا بلغ، و الحظّ له فی إمضاء الوصیّة، و لأنّه إن مات فله ثوابها، و ذلک أحظّ له من ترکه علی ورثته، و إن عاش و بلغ قدر علی استدراکها و الرجوع فیها</w:t>
      </w:r>
      <w:r>
        <w:rPr>
          <w:rFonts w:eastAsia="IRNazanin" w:cs="IRNazanin"/>
          <w:color w:val="111111"/>
          <w:sz w:val="28"/>
          <w:szCs w:val="28"/>
          <w:rtl w:val="true"/>
          <w:lang w:bidi="fa-IR"/>
        </w:rPr>
        <w:t>»</w:t>
      </w:r>
      <w:r>
        <w:rPr>
          <w:rStyle w:val="FootnoteAnchor"/>
          <w:rtl w:val="true"/>
        </w:rPr>
        <w:footnoteReference w:id="25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المجموع</w:t>
      </w:r>
      <w:r>
        <w:rPr>
          <w:rStyle w:val="FootnoteAnchor"/>
          <w:rtl w:val="true"/>
        </w:rPr>
        <w:footnoteReference w:id="2582"/>
      </w:r>
      <w:r>
        <w:rPr>
          <w:rFonts w:ascii="IRNazanin" w:hAnsi="IRNazanin" w:eastAsia="IRNazanin"/>
          <w:color w:val="111111"/>
          <w:sz w:val="28"/>
          <w:sz w:val="28"/>
          <w:szCs w:val="28"/>
          <w:rtl w:val="true"/>
          <w:lang w:bidi="fa-IR"/>
        </w:rPr>
        <w:t>و الوجیز</w:t>
      </w:r>
      <w:r>
        <w:rPr>
          <w:rStyle w:val="FootnoteAnchor"/>
          <w:rtl w:val="true"/>
        </w:rPr>
        <w:footnoteReference w:id="2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روضة الطالبین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تصحّ وصیّة الصبیّ الممیّز و تدبیره علی الأظهر عند الأکثرین کهبته و إعتاقه؛ إذ لا عبارة له</w:t>
      </w:r>
      <w:r>
        <w:rPr>
          <w:rFonts w:eastAsia="IRNazanin" w:cs="IRNazanin"/>
          <w:color w:val="111111"/>
          <w:sz w:val="28"/>
          <w:szCs w:val="28"/>
          <w:rtl w:val="true"/>
          <w:lang w:bidi="fa-IR"/>
        </w:rPr>
        <w:t>»</w:t>
      </w:r>
      <w:r>
        <w:rPr>
          <w:rStyle w:val="FootnoteAnchor"/>
          <w:rtl w:val="true"/>
        </w:rPr>
        <w:footnoteReference w:id="2584"/>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البیان علّل القول بالصحّة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إنّما منع من بیع ماله وهبته خوفاً من إضاعته، و بالوصیّة لا یضیع ماله؛ لأنّه إن عاش فالمال باق علی ملکه، و إن مات فله حاجة إلی الثواب، و الثواب یحصل له بالوصیّة</w:t>
      </w:r>
      <w:r>
        <w:rPr>
          <w:rFonts w:eastAsia="IRNazanin" w:cs="IRNazanin"/>
          <w:color w:val="111111"/>
          <w:sz w:val="28"/>
          <w:szCs w:val="28"/>
          <w:rtl w:val="true"/>
          <w:lang w:bidi="fa-IR"/>
        </w:rPr>
        <w:t>»</w:t>
      </w:r>
      <w:r>
        <w:rPr>
          <w:rStyle w:val="FootnoteAnchor"/>
          <w:rtl w:val="true"/>
        </w:rPr>
        <w:footnoteReference w:id="2585"/>
      </w:r>
      <w:r>
        <w:rPr>
          <w:rFonts w:eastAsia="Times New Roman" w:cs="Times New Roman" w:ascii="Times New Roman" w:hAnsi="Times New Roman"/>
          <w:color w:val="111111"/>
          <w:sz w:val="28"/>
          <w:szCs w:val="28"/>
          <w:rtl w:val="true"/>
          <w:lang w:val="en-US" w:bidi="en-US"/>
        </w:rPr>
        <w:t>.</w:t>
      </w:r>
      <w:bookmarkStart w:id="715" w:name="pg11757_135863"/>
    </w:p>
    <w:p>
      <w:pPr>
        <w:pStyle w:val="Heading4"/>
        <w:numPr>
          <w:ilvl w:val="3"/>
          <w:numId w:val="1"/>
        </w:numPr>
        <w:rPr/>
      </w:pPr>
      <w:bookmarkStart w:id="716" w:name="__RefHeading___Toc9697045_73709187"/>
      <w:bookmarkStart w:id="717" w:name="_Toc266"/>
      <w:bookmarkEnd w:id="715"/>
      <w:bookmarkEnd w:id="716"/>
      <w:r>
        <w:rPr>
          <w:rtl w:val="true"/>
        </w:rPr>
        <w:t>المبحث الثانی</w:t>
      </w:r>
      <w:r>
        <w:rPr>
          <w:rtl w:val="true"/>
        </w:rPr>
        <w:t xml:space="preserve">: </w:t>
      </w:r>
      <w:r>
        <w:rPr>
          <w:rtl w:val="true"/>
        </w:rPr>
        <w:t>وصایة الصبیّ‌</w:t>
      </w:r>
      <w:bookmarkEnd w:id="717"/>
    </w:p>
    <w:p>
      <w:pPr>
        <w:pStyle w:val="Heading5"/>
        <w:numPr>
          <w:ilvl w:val="4"/>
          <w:numId w:val="1"/>
        </w:numPr>
        <w:rPr/>
      </w:pPr>
      <w:bookmarkStart w:id="718" w:name="__RefHeading___Toc9697047_73709187"/>
      <w:bookmarkStart w:id="719" w:name="_Toc267"/>
      <w:bookmarkEnd w:id="718"/>
      <w:r>
        <w:rPr>
          <w:rtl w:val="true"/>
        </w:rPr>
        <w:t>اشارة</w:t>
      </w:r>
      <w:bookmarkEnd w:id="719"/>
    </w:p>
    <w:p>
      <w:pPr>
        <w:pStyle w:val="BookText"/>
        <w:rPr/>
      </w:pPr>
      <w:r>
        <w:rPr>
          <w:rFonts w:ascii="IRNazanin" w:hAnsi="IRNazanin" w:eastAsia="IRNazanin"/>
          <w:color w:val="111111"/>
          <w:sz w:val="28"/>
          <w:sz w:val="28"/>
          <w:szCs w:val="28"/>
          <w:rtl w:val="true"/>
          <w:lang w:bidi="fa-IR"/>
        </w:rPr>
        <w:t>و فیها جهات من البحث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وصایة الصبیّ منفرداً و بالاستقلال، فهل یصحّ تصرّف الصبیّ فی مورد الوصیّة بإذن ولیّه أم لا؟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وصایته معلّقاً علی بلوغه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اعتبار البلوغ فی الوصیّ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وصایة الصبیّ منضمّاً إلی البالغ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الکلام فیها ضمن المطالب التالیة</w:t>
      </w:r>
      <w:r>
        <w:rPr>
          <w:rFonts w:eastAsia="IRNazanin" w:cs="IRNazanin"/>
          <w:color w:val="111111"/>
          <w:sz w:val="28"/>
          <w:szCs w:val="28"/>
          <w:rtl w:val="true"/>
          <w:lang w:bidi="fa-IR"/>
        </w:rPr>
        <w:t>:</w:t>
      </w:r>
    </w:p>
    <w:p>
      <w:pPr>
        <w:pStyle w:val="Heading5"/>
        <w:numPr>
          <w:ilvl w:val="4"/>
          <w:numId w:val="1"/>
        </w:numPr>
        <w:rPr/>
      </w:pPr>
      <w:bookmarkStart w:id="720" w:name="__RefHeading___Toc9697049_73709187"/>
      <w:bookmarkStart w:id="721" w:name="_Toc268"/>
      <w:bookmarkEnd w:id="720"/>
      <w:r>
        <w:rPr>
          <w:rtl w:val="true"/>
        </w:rPr>
        <w:t>الأوّل</w:t>
      </w:r>
      <w:r>
        <w:rPr>
          <w:rtl w:val="true"/>
        </w:rPr>
        <w:t xml:space="preserve">: </w:t>
      </w:r>
      <w:r>
        <w:rPr>
          <w:rtl w:val="true"/>
        </w:rPr>
        <w:t>وصایة الصبیّ منفرداً</w:t>
      </w:r>
      <w:bookmarkEnd w:id="721"/>
    </w:p>
    <w:p>
      <w:pPr>
        <w:pStyle w:val="Heading6"/>
        <w:numPr>
          <w:ilvl w:val="5"/>
          <w:numId w:val="1"/>
        </w:numPr>
        <w:rPr/>
      </w:pPr>
      <w:bookmarkStart w:id="722" w:name="__RefHeading___Toc9697051_73709187"/>
      <w:bookmarkStart w:id="723" w:name="_Toc269"/>
      <w:bookmarkEnd w:id="722"/>
      <w:r>
        <w:rPr>
          <w:rtl w:val="true"/>
        </w:rPr>
        <w:t>اشارة</w:t>
      </w:r>
      <w:bookmarkEnd w:id="723"/>
    </w:p>
    <w:p>
      <w:pPr>
        <w:pStyle w:val="BookText"/>
        <w:rPr/>
      </w:pPr>
      <w:r>
        <w:rPr>
          <w:rFonts w:ascii="IRNazanin" w:hAnsi="IRNazanin" w:eastAsia="IRNazanin"/>
          <w:color w:val="111111"/>
          <w:sz w:val="28"/>
          <w:sz w:val="28"/>
          <w:szCs w:val="28"/>
          <w:rtl w:val="true"/>
          <w:lang w:bidi="fa-IR"/>
        </w:rPr>
        <w:t>و فیها قولان</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تصحّ، و هو ما ذهب إلیه المشهور، قال الشیخ فی المبسوط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تصحّ الوصیّة إلاّ إلی من جمع صفات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 العقل، و الإسلام، و العدالة، و الحریّة، و متی اختلّ شیء منها بطلت الوصیّة</w:t>
      </w:r>
      <w:r>
        <w:rPr>
          <w:rFonts w:eastAsia="IRNazanin" w:cs="IRNazanin"/>
          <w:color w:val="111111"/>
          <w:sz w:val="28"/>
          <w:szCs w:val="28"/>
          <w:rtl w:val="true"/>
          <w:lang w:bidi="fa-IR"/>
        </w:rPr>
        <w:t>»</w:t>
      </w:r>
      <w:r>
        <w:rPr>
          <w:rStyle w:val="FootnoteAnchor"/>
          <w:rtl w:val="true"/>
        </w:rPr>
        <w:footnoteReference w:id="2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السرائر</w:t>
      </w:r>
      <w:r>
        <w:rPr>
          <w:rStyle w:val="FootnoteAnchor"/>
          <w:rtl w:val="true"/>
        </w:rPr>
        <w:footnoteReference w:id="2587"/>
      </w:r>
      <w:r>
        <w:rPr>
          <w:rFonts w:ascii="IRNazanin" w:hAnsi="IRNazanin" w:eastAsia="IRNazanin"/>
          <w:color w:val="111111"/>
          <w:sz w:val="28"/>
          <w:sz w:val="28"/>
          <w:szCs w:val="28"/>
          <w:rtl w:val="true"/>
          <w:lang w:bidi="fa-IR"/>
        </w:rPr>
        <w:t>، و یظهر ذلک من المقنعة</w:t>
      </w:r>
      <w:r>
        <w:rPr>
          <w:rStyle w:val="FootnoteAnchor"/>
          <w:rtl w:val="true"/>
        </w:rPr>
        <w:footnoteReference w:id="2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تصحّ الوصیّة إلی الصبیّ منفرداً</w:t>
      </w:r>
      <w:r>
        <w:rPr>
          <w:rFonts w:eastAsia="Amiri" w:cs="Amiri" w:ascii="Amiri" w:hAnsi="Amiri"/>
          <w:color w:val="111111"/>
          <w:sz w:val="28"/>
          <w:szCs w:val="28"/>
          <w:rtl w:val="true"/>
          <w:lang w:bidi="ar-SA"/>
        </w:rPr>
        <w:t>»</w:t>
      </w:r>
      <w:r>
        <w:rPr>
          <w:rStyle w:val="FootnoteAnchor"/>
          <w:rtl w:val="true"/>
        </w:rPr>
        <w:footnoteReference w:id="2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التذکرة و المختصر و الإرشاد و التحریر</w:t>
      </w:r>
      <w:r>
        <w:rPr>
          <w:rStyle w:val="FootnoteAnchor"/>
          <w:rtl w:val="true"/>
        </w:rPr>
        <w:footnoteReference w:id="2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شروطه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فلا یصحّ التفویض إلی الطفل منفرداً، سواء کان ممیّزاً أو لا</w:t>
      </w:r>
      <w:r>
        <w:rPr>
          <w:rFonts w:eastAsia="IRNazanin" w:cs="IRNazanin"/>
          <w:color w:val="111111"/>
          <w:sz w:val="28"/>
          <w:szCs w:val="28"/>
          <w:rtl w:val="true"/>
          <w:lang w:bidi="fa-IR"/>
        </w:rPr>
        <w:t>»</w:t>
      </w:r>
      <w:r>
        <w:rPr>
          <w:rStyle w:val="FootnoteAnchor"/>
          <w:rtl w:val="true"/>
        </w:rPr>
        <w:footnoteReference w:id="2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الدروس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إن کان منفرداً، فلا تصحّ الوصیّة إلی الصبیّ حتّی ینضمّ إلی کامل</w:t>
      </w:r>
      <w:r>
        <w:rPr>
          <w:rFonts w:eastAsia="IRNazanin" w:cs="IRNazanin"/>
          <w:color w:val="111111"/>
          <w:sz w:val="28"/>
          <w:szCs w:val="28"/>
          <w:rtl w:val="true"/>
          <w:lang w:bidi="fa-IR"/>
        </w:rPr>
        <w:t>»</w:t>
      </w:r>
      <w:r>
        <w:rPr>
          <w:rStyle w:val="FootnoteAnchor"/>
          <w:rtl w:val="true"/>
        </w:rPr>
        <w:footnoteReference w:id="2592"/>
      </w:r>
      <w:r>
        <w:rPr>
          <w:rFonts w:ascii="IRNazanin" w:hAnsi="IRNazanin" w:eastAsia="IRNazanin"/>
          <w:color w:val="111111"/>
          <w:sz w:val="28"/>
          <w:sz w:val="28"/>
          <w:szCs w:val="28"/>
          <w:rtl w:val="true"/>
          <w:lang w:bidi="fa-IR"/>
        </w:rPr>
        <w:t>، و اختاره فی المسالک</w:t>
      </w:r>
      <w:r>
        <w:rPr>
          <w:rStyle w:val="FootnoteAnchor"/>
          <w:rtl w:val="true"/>
        </w:rPr>
        <w:footnoteReference w:id="2593"/>
      </w:r>
      <w:r>
        <w:rPr>
          <w:rFonts w:ascii="Amiri" w:hAnsi="Amiri" w:eastAsia="Amiri" w:cs="Amiri"/>
          <w:color w:val="111111"/>
          <w:sz w:val="28"/>
          <w:sz w:val="28"/>
          <w:szCs w:val="28"/>
          <w:rtl w:val="true"/>
          <w:lang w:bidi="ar-SA"/>
        </w:rPr>
        <w:t>و الروضة</w:t>
      </w:r>
      <w:r>
        <w:rPr>
          <w:rStyle w:val="FootnoteAnchor"/>
          <w:rtl w:val="true"/>
        </w:rPr>
        <w:footnoteReference w:id="2594"/>
      </w:r>
      <w:r>
        <w:rPr>
          <w:rFonts w:ascii="IRNazanin" w:hAnsi="IRNazanin" w:eastAsia="IRNazanin"/>
          <w:color w:val="111111"/>
          <w:sz w:val="28"/>
          <w:sz w:val="28"/>
          <w:szCs w:val="28"/>
          <w:rtl w:val="true"/>
          <w:lang w:bidi="fa-IR"/>
        </w:rPr>
        <w:t>و جامع المقاصد</w:t>
      </w:r>
      <w:r>
        <w:rPr>
          <w:rStyle w:val="FootnoteAnchor"/>
          <w:rtl w:val="true"/>
        </w:rPr>
        <w:footnoteReference w:id="2595"/>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أجده فیه</w:t>
      </w:r>
      <w:r>
        <w:rPr>
          <w:rFonts w:eastAsia="IRNazanin" w:cs="IRNazanin"/>
          <w:color w:val="111111"/>
          <w:sz w:val="28"/>
          <w:szCs w:val="28"/>
          <w:rtl w:val="true"/>
          <w:lang w:bidi="fa-IR"/>
        </w:rPr>
        <w:t>»</w:t>
      </w:r>
      <w:r>
        <w:rPr>
          <w:rStyle w:val="FootnoteAnchor"/>
          <w:rtl w:val="true"/>
        </w:rPr>
        <w:footnoteReference w:id="2596"/>
      </w:r>
      <w:r>
        <w:rPr>
          <w:rFonts w:ascii="IRNazanin" w:hAnsi="IRNazanin" w:eastAsia="IRNazanin"/>
          <w:color w:val="111111"/>
          <w:sz w:val="28"/>
          <w:sz w:val="28"/>
          <w:szCs w:val="28"/>
          <w:rtl w:val="true"/>
          <w:lang w:bidi="fa-IR"/>
        </w:rPr>
        <w:t>، و صرّح به بعض أعلام العصر</w:t>
      </w:r>
      <w:r>
        <w:rPr>
          <w:rStyle w:val="FootnoteAnchor"/>
          <w:rtl w:val="true"/>
        </w:rPr>
        <w:footnoteReference w:id="2597"/>
      </w:r>
      <w:r>
        <w:rPr>
          <w:rFonts w:eastAsia="Times New Roman" w:cs="Times New Roman" w:ascii="Times New Roman" w:hAnsi="Times New Roman"/>
          <w:color w:val="111111"/>
          <w:sz w:val="28"/>
          <w:szCs w:val="28"/>
          <w:rtl w:val="true"/>
          <w:lang w:val="en-US" w:bidi="en-US"/>
        </w:rPr>
        <w:t>.</w:t>
      </w:r>
      <w:bookmarkStart w:id="724" w:name="pg11757_135865"/>
    </w:p>
    <w:p>
      <w:pPr>
        <w:pStyle w:val="Heading6"/>
        <w:numPr>
          <w:ilvl w:val="5"/>
          <w:numId w:val="1"/>
        </w:numPr>
        <w:rPr/>
      </w:pPr>
      <w:bookmarkStart w:id="725" w:name="__RefHeading___Toc9697053_73709187"/>
      <w:bookmarkStart w:id="726" w:name="_Toc270"/>
      <w:bookmarkEnd w:id="724"/>
      <w:bookmarkEnd w:id="725"/>
      <w:r>
        <w:rPr>
          <w:rtl w:val="true"/>
        </w:rPr>
        <w:t>أدلّة عدم جواز وصایة الصبیّ منفرداً</w:t>
      </w:r>
      <w:bookmarkEnd w:id="72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القلم رفع عن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الصبیّ حتّی یحتلم</w:t>
      </w:r>
      <w:r>
        <w:rPr>
          <w:rFonts w:eastAsia="IRNazanin" w:cs="IRNazanin"/>
          <w:color w:val="111111"/>
          <w:sz w:val="28"/>
          <w:szCs w:val="28"/>
          <w:rtl w:val="true"/>
          <w:lang w:bidi="fa-IR"/>
        </w:rPr>
        <w:t>»</w:t>
      </w:r>
      <w:r>
        <w:rPr>
          <w:rStyle w:val="FootnoteAnchor"/>
          <w:rtl w:val="true"/>
        </w:rPr>
        <w:footnoteReference w:id="2598"/>
      </w:r>
      <w:r>
        <w:rPr>
          <w:rFonts w:ascii="IRNazanin" w:hAnsi="IRNazanin" w:eastAsia="IRNazanin"/>
          <w:color w:val="111111"/>
          <w:sz w:val="28"/>
          <w:sz w:val="28"/>
          <w:szCs w:val="28"/>
          <w:rtl w:val="true"/>
          <w:lang w:bidi="fa-IR"/>
        </w:rPr>
        <w:t>، و فی بعضها حتّی یبلغ، و إذا کان کذلک لم یکن لکلامه حکم، و من کان کذلک لا یجوز أن یکون وصیّاً</w:t>
      </w:r>
      <w:r>
        <w:rPr>
          <w:rFonts w:eastAsia="IRNazanin" w:cs="IRNazanin"/>
          <w:color w:val="111111"/>
          <w:sz w:val="28"/>
          <w:szCs w:val="28"/>
          <w:rtl w:val="true"/>
          <w:lang w:bidi="fa-IR"/>
        </w:rPr>
        <w:t>»</w:t>
      </w:r>
      <w:r>
        <w:rPr>
          <w:rStyle w:val="FootnoteAnchor"/>
          <w:rtl w:val="true"/>
        </w:rPr>
        <w:footnoteReference w:id="2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لا یملک التصرّف لنفسه، فکیف لغیره؟ و لأنّ فی الاستنابة بعد الموت معنی الأمانة و معنی الوکالة</w:t>
      </w:r>
      <w:r>
        <w:rPr>
          <w:rFonts w:eastAsia="IRNazanin" w:cs="IRNazanin"/>
          <w:color w:val="111111"/>
          <w:sz w:val="28"/>
          <w:szCs w:val="28"/>
          <w:rtl w:val="true"/>
          <w:lang w:bidi="fa-IR"/>
        </w:rPr>
        <w:t>»</w:t>
      </w:r>
      <w:r>
        <w:rPr>
          <w:rStyle w:val="FootnoteAnchor"/>
          <w:rtl w:val="true"/>
        </w:rPr>
        <w:footnoteReference w:id="2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جامع المقاصد</w:t>
      </w:r>
      <w:r>
        <w:rPr>
          <w:rStyle w:val="FootnoteAnchor"/>
          <w:rtl w:val="true"/>
        </w:rPr>
        <w:footnoteReference w:id="2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السرائر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مولّی علیه فی نفسه، فلا یجوز أن یکون وصیّاً لغیره</w:t>
      </w:r>
      <w:r>
        <w:rPr>
          <w:rFonts w:eastAsia="IRNazanin" w:cs="IRNazanin"/>
          <w:color w:val="111111"/>
          <w:sz w:val="28"/>
          <w:szCs w:val="28"/>
          <w:rtl w:val="true"/>
          <w:lang w:bidi="fa-IR"/>
        </w:rPr>
        <w:t>»</w:t>
      </w:r>
      <w:r>
        <w:rPr>
          <w:rStyle w:val="FootnoteAnchor"/>
          <w:rtl w:val="true"/>
        </w:rPr>
        <w:footnoteReference w:id="2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کما ادّعاه فی الغنیة</w:t>
      </w:r>
      <w:r>
        <w:rPr>
          <w:rStyle w:val="FootnoteAnchor"/>
          <w:rtl w:val="true"/>
        </w:rPr>
        <w:footnoteReference w:id="2603"/>
      </w:r>
      <w:r>
        <w:rPr>
          <w:rFonts w:ascii="IRNazanin" w:hAnsi="IRNazanin" w:eastAsia="IRNazanin"/>
          <w:color w:val="111111"/>
          <w:sz w:val="28"/>
          <w:sz w:val="28"/>
          <w:szCs w:val="28"/>
          <w:rtl w:val="true"/>
          <w:lang w:bidi="fa-IR"/>
        </w:rPr>
        <w:t>و مهذّب الأحکام</w:t>
      </w:r>
      <w:r>
        <w:rPr>
          <w:rStyle w:val="FootnoteAnchor"/>
          <w:rtl w:val="true"/>
        </w:rPr>
        <w:footnoteReference w:id="2604"/>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تقدّم فی بیع الصبیّ و بحث جواز مباشرته للعقد</w:t>
      </w:r>
      <w:r>
        <w:rPr>
          <w:rStyle w:val="FootnoteAnchor"/>
          <w:rtl w:val="true"/>
        </w:rPr>
        <w:footnoteReference w:id="2605"/>
      </w:r>
      <w:r>
        <w:rPr>
          <w:rFonts w:ascii="IRNazanin" w:hAnsi="IRNazanin" w:eastAsia="IRNazanin"/>
          <w:color w:val="111111"/>
          <w:sz w:val="28"/>
          <w:sz w:val="28"/>
          <w:szCs w:val="28"/>
          <w:rtl w:val="true"/>
          <w:lang w:bidi="fa-IR"/>
        </w:rPr>
        <w:t>أنّ المستفاد من الأدلّة هو کون الصبیّ ممنوعاً من التصرّف فی أمواله، و أمّا کونه مسلوب العبارة و الفعل مطلقاً فلیس علیه دلیل، و المقصود من رفع القلم هو رفع التکالیف الإلزامیّة، و هو لا ینافی جواز وصایة الصبیّ مع کونه ممنوعاً من التصرّف حال الصباوة، کما تجوز وصایته منضمّاً إلی البالغ، و أمّا الإجماع ففیه</w:t>
      </w:r>
    </w:p>
    <w:p>
      <w:pPr>
        <w:pStyle w:val="BookText"/>
        <w:rPr/>
      </w:pPr>
      <w:r>
        <w:rPr>
          <w:rFonts w:ascii="IRNazanin" w:hAnsi="IRNazanin" w:eastAsia="IRNazanin"/>
          <w:color w:val="111111"/>
          <w:sz w:val="28"/>
          <w:sz w:val="28"/>
          <w:szCs w:val="28"/>
          <w:rtl w:val="true"/>
          <w:lang w:bidi="fa-IR"/>
        </w:rPr>
        <w:t>منع صغرویّاً؛ لتصریح بعض الفقهاء ببطلان وصایته إذا تصرّف فی حال الصباوة</w:t>
      </w:r>
      <w:r>
        <w:rPr>
          <w:rStyle w:val="FootnoteAnchor"/>
          <w:rtl w:val="true"/>
        </w:rPr>
        <w:footnoteReference w:id="2606"/>
      </w:r>
      <w:r>
        <w:rPr>
          <w:rFonts w:ascii="IRNazanin" w:hAnsi="IRNazanin" w:eastAsia="IRNazanin"/>
          <w:color w:val="111111"/>
          <w:sz w:val="28"/>
          <w:sz w:val="28"/>
          <w:szCs w:val="28"/>
          <w:rtl w:val="true"/>
          <w:lang w:bidi="fa-IR"/>
        </w:rPr>
        <w:t>لا مطلقاً، و کبرویّاً؛ لأنّه مدرکیّ، و لا أقلّ یحتمل ذلک، و سیأتی مزید تحقیق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وصایة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یستفاد من کلام بعض الفقهاء أنّه یصحّ جعل الصبیّ وصیّاً منفرداً، و لکن یتوقّف صحّة تصرّفه علی بلوغه و رشده، و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من یصحّ أن یوصی إلیه من اجتمع فیه خمس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البلوغ إذا أوصی بإنفاذ الوصیّة فی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یستفاد منه أنّ نفس الوصیّة إلی الصبیّ صحیحة، و الشاهد علی ذلک قوله بعد سطور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کان کلاهما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الوصیّین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بالغین،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بلغا أنفذا الوصیّة، فإن لم یحتمل الأمر التأخیر نصب الحاکم أمیناً یقوم بالأمر حتّی یبلغا</w:t>
      </w:r>
      <w:r>
        <w:rPr>
          <w:rFonts w:eastAsia="IRNazanin" w:cs="IRNazanin"/>
          <w:color w:val="111111"/>
          <w:sz w:val="28"/>
          <w:szCs w:val="28"/>
          <w:rtl w:val="true"/>
          <w:lang w:bidi="fa-IR"/>
        </w:rPr>
        <w:t>»</w:t>
      </w:r>
      <w:r>
        <w:rPr>
          <w:rStyle w:val="FootnoteAnchor"/>
          <w:rtl w:val="true"/>
        </w:rPr>
        <w:footnoteReference w:id="2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الجامع للشرائع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أوصی إلی صبیّ تولّی أمره الحاکم حتّی یبلغ رشیداً</w:t>
      </w:r>
      <w:r>
        <w:rPr>
          <w:rFonts w:eastAsia="IRNazanin" w:cs="IRNazanin"/>
          <w:color w:val="111111"/>
          <w:sz w:val="28"/>
          <w:szCs w:val="28"/>
          <w:rtl w:val="true"/>
          <w:lang w:bidi="fa-IR"/>
        </w:rPr>
        <w:t>»</w:t>
      </w:r>
      <w:r>
        <w:rPr>
          <w:rStyle w:val="FootnoteAnchor"/>
          <w:rtl w:val="true"/>
        </w:rPr>
        <w:footnoteReference w:id="2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هذا الکلام أنّ وصایة الصبیّ صحیحة و تتوقّف صحّة تصرّفه علی بلوغه و رشده</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یصحّ التفویض إلی الطفل منفرداً، سواء کان ممیّزاً أو لا</w:t>
      </w:r>
      <w:r>
        <w:rPr>
          <w:rFonts w:eastAsia="IRNazanin" w:cs="IRNazanin"/>
          <w:color w:val="111111"/>
          <w:sz w:val="28"/>
          <w:szCs w:val="28"/>
          <w:rtl w:val="true"/>
          <w:lang w:bidi="fa-IR"/>
        </w:rPr>
        <w:t>»</w:t>
      </w:r>
      <w:r>
        <w:rPr>
          <w:rStyle w:val="FootnoteAnchor"/>
          <w:rtl w:val="true"/>
        </w:rPr>
        <w:footnoteReference w:id="2609"/>
      </w:r>
      <w:r>
        <w:rPr>
          <w:rFonts w:ascii="IRNazanin" w:hAnsi="IRNazanin" w:eastAsia="IRNazanin"/>
          <w:color w:val="111111"/>
          <w:sz w:val="28"/>
          <w:sz w:val="28"/>
          <w:szCs w:val="28"/>
          <w:rtl w:val="true"/>
          <w:lang w:bidi="fa-IR"/>
        </w:rPr>
        <w:t>، و المقصود من التفویض الوصایة و التصرّف فی امور الوصیّة کلیهما، و أمّا صرف وصایته فلیس فیها منع، و فی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تصحّ إلی صبیّ بحیث</w:t>
      </w:r>
      <w:bookmarkStart w:id="727" w:name="pg11757_135867"/>
    </w:p>
    <w:p>
      <w:pPr>
        <w:pStyle w:val="BookText"/>
        <w:rPr/>
      </w:pPr>
      <w:bookmarkEnd w:id="727"/>
      <w:r>
        <w:rPr>
          <w:rFonts w:ascii="Amiri" w:hAnsi="Amiri" w:eastAsia="Amiri" w:cs="Amiri"/>
          <w:color w:val="111111"/>
          <w:sz w:val="28"/>
          <w:sz w:val="28"/>
          <w:szCs w:val="28"/>
          <w:rtl w:val="true"/>
          <w:lang w:bidi="ar-SA"/>
        </w:rPr>
        <w:t>یتصرّف حال صباه مطلقاً</w:t>
      </w:r>
      <w:r>
        <w:rPr>
          <w:rFonts w:eastAsia="Amiri" w:cs="Amiri" w:ascii="Amiri" w:hAnsi="Amiri"/>
          <w:color w:val="111111"/>
          <w:sz w:val="28"/>
          <w:szCs w:val="28"/>
          <w:rtl w:val="true"/>
          <w:lang w:bidi="ar-SA"/>
        </w:rPr>
        <w:t>»</w:t>
      </w:r>
      <w:r>
        <w:rPr>
          <w:rStyle w:val="FootnoteAnchor"/>
          <w:rtl w:val="true"/>
        </w:rPr>
        <w:footnoteReference w:id="2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الأصل جواز نصب الصبیّ وصیّاً إذا علّق ذلک علی بلوغه</w:t>
      </w:r>
      <w:r>
        <w:rPr>
          <w:rFonts w:eastAsia="IRNazanin" w:cs="IRNazanin"/>
          <w:color w:val="111111"/>
          <w:sz w:val="28"/>
          <w:szCs w:val="28"/>
          <w:rtl w:val="true"/>
          <w:lang w:bidi="fa-IR"/>
        </w:rPr>
        <w:t>»</w:t>
      </w:r>
      <w:r>
        <w:rPr>
          <w:rStyle w:val="FootnoteAnchor"/>
          <w:rtl w:val="true"/>
        </w:rPr>
        <w:footnoteReference w:id="2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تصحّ الوصایة إلی الصبیّ منفرداً إذا أراد منه التصرّف فی حال صباه مستقلّاً، و لکنّه لا یخلو عن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أراد أن یکون تصرّفه بعد البلوغ أو مع إذن الولیّ فالأظهر صحّة الوصیّة</w:t>
      </w:r>
      <w:r>
        <w:rPr>
          <w:rFonts w:eastAsia="IRNazanin" w:cs="IRNazanin"/>
          <w:color w:val="111111"/>
          <w:sz w:val="28"/>
          <w:szCs w:val="28"/>
          <w:rtl w:val="true"/>
          <w:lang w:bidi="fa-IR"/>
        </w:rPr>
        <w:t>»</w:t>
      </w:r>
      <w:r>
        <w:rPr>
          <w:rStyle w:val="FootnoteAnchor"/>
          <w:rtl w:val="true"/>
        </w:rPr>
        <w:footnoteReference w:id="2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جامع المدارک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کلام الماتن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تصحّ إلی الصبیّ منضمّاً إلی کامل لا منفرداً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فالظاهر أنّ المراد الاحتراز عن وصایة الصبیّ و المجنون؛ لعدم التکلیف، فمع قطع النظر عن التسلّم عندهم یشکل اشتراطه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ما دلّ علی عدم نفوذ تصرّفات الصبیّ یکون ناظراً إلی عدم استقلاله، و أمّا مع إذن الولیّ فلا</w:t>
      </w:r>
      <w:r>
        <w:rPr>
          <w:rFonts w:eastAsia="IRNazanin" w:cs="IRNazanin"/>
          <w:color w:val="111111"/>
          <w:sz w:val="28"/>
          <w:szCs w:val="28"/>
          <w:rtl w:val="true"/>
          <w:lang w:bidi="fa-IR"/>
        </w:rPr>
        <w:t>»</w:t>
      </w:r>
      <w:r>
        <w:rPr>
          <w:rStyle w:val="FootnoteAnchor"/>
          <w:rtl w:val="true"/>
        </w:rPr>
        <w:footnoteReference w:id="26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8" w:name="__RefHeading___Toc9697055_73709187"/>
      <w:bookmarkStart w:id="729" w:name="_Toc271"/>
      <w:bookmarkEnd w:id="728"/>
      <w:r>
        <w:rPr>
          <w:rtl w:val="true"/>
        </w:rPr>
        <w:t>الأدلّة علی صحّة وصایة الصبیّ منفرداً</w:t>
      </w:r>
      <w:bookmarkEnd w:id="729"/>
    </w:p>
    <w:p>
      <w:pPr>
        <w:pStyle w:val="BookText"/>
        <w:rPr/>
      </w:pPr>
      <w:r>
        <w:rPr>
          <w:rFonts w:ascii="IRNazanin" w:hAnsi="IRNazanin" w:eastAsia="IRNazanin"/>
          <w:color w:val="111111"/>
          <w:sz w:val="28"/>
          <w:sz w:val="28"/>
          <w:szCs w:val="28"/>
          <w:rtl w:val="true"/>
          <w:lang w:bidi="fa-IR"/>
        </w:rPr>
        <w:t>یمکن أن یستدلّ للحکم المذکور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أدلّة الوصیّة، کما صرّح به فی جامع المدارک</w:t>
      </w:r>
      <w:r>
        <w:rPr>
          <w:rStyle w:val="FootnoteAnchor"/>
          <w:rtl w:val="true"/>
        </w:rPr>
        <w:footnoteReference w:id="2614"/>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أنّه تصحّ وصایة الصبیّ منضمّاً إلی البالغ بلا خلاف فی ذلک، و أنّه یصحّ أن یکون أحد طرفی العقد، فکذا تصحّ منفرداً لوحدة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الوصیّة من العقود فلا بدّ فیها من الإیجاب و القبول، و لا یتعقّل أن یکون الصبیّ طرفاً للقبول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قبول هذا المبنی یقبلها بعد بلوغه، و لا دلیل علی لزوم قبوله فوراً، بل قد ثبت فی محلّه أنّ الوصیّة و إن کانت من العقود و لکن تفترق عن غیرها بجواز تأخیر القبول عن الإیجاب، قال فی الدروس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یجوز القبول متأخّراً عن الإیجاب</w:t>
      </w:r>
      <w:r>
        <w:rPr>
          <w:rFonts w:eastAsia="IRNazanin" w:cs="IRNazanin"/>
          <w:color w:val="111111"/>
          <w:sz w:val="28"/>
          <w:szCs w:val="28"/>
          <w:rtl w:val="true"/>
          <w:lang w:bidi="fa-IR"/>
        </w:rPr>
        <w:t>»</w:t>
      </w:r>
      <w:r>
        <w:rPr>
          <w:rStyle w:val="FootnoteAnchor"/>
          <w:rtl w:val="true"/>
        </w:rPr>
        <w:footnoteReference w:id="2615"/>
      </w:r>
      <w:r>
        <w:rPr>
          <w:rFonts w:ascii="IRNazanin" w:hAnsi="IRNazanin" w:eastAsia="IRNazanin"/>
          <w:color w:val="111111"/>
          <w:sz w:val="28"/>
          <w:sz w:val="28"/>
          <w:szCs w:val="28"/>
          <w:rtl w:val="true"/>
          <w:lang w:bidi="fa-IR"/>
        </w:rPr>
        <w:t>، و کذا فی الغنیة</w:t>
      </w:r>
      <w:r>
        <w:rPr>
          <w:rStyle w:val="FootnoteAnchor"/>
          <w:rtl w:val="true"/>
        </w:rPr>
        <w:footnoteReference w:id="2616"/>
      </w:r>
      <w:r>
        <w:rPr>
          <w:rFonts w:ascii="IRNazanin" w:hAnsi="IRNazanin" w:eastAsia="IRNazanin"/>
          <w:color w:val="111111"/>
          <w:sz w:val="28"/>
          <w:sz w:val="28"/>
          <w:szCs w:val="28"/>
          <w:rtl w:val="true"/>
          <w:lang w:bidi="fa-IR"/>
        </w:rPr>
        <w:t>، و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موضع وفاق</w:t>
      </w:r>
      <w:r>
        <w:rPr>
          <w:rFonts w:eastAsia="IRNazanin" w:cs="IRNazanin"/>
          <w:color w:val="111111"/>
          <w:sz w:val="28"/>
          <w:szCs w:val="28"/>
          <w:rtl w:val="true"/>
          <w:lang w:bidi="fa-IR"/>
        </w:rPr>
        <w:t>»</w:t>
      </w:r>
      <w:r>
        <w:rPr>
          <w:rStyle w:val="FootnoteAnchor"/>
          <w:rtl w:val="true"/>
        </w:rPr>
        <w:footnoteReference w:id="2617"/>
      </w:r>
      <w:r>
        <w:rPr>
          <w:rFonts w:ascii="IRNazanin" w:hAnsi="IRNazanin" w:eastAsia="IRNazanin"/>
          <w:color w:val="111111"/>
          <w:sz w:val="28"/>
          <w:sz w:val="28"/>
          <w:szCs w:val="28"/>
          <w:rtl w:val="true"/>
          <w:lang w:bidi="fa-IR"/>
        </w:rPr>
        <w:t>، و فی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بعد وفاة الموصی فلا إشکال و لا خلاف فی اعتبار القبول</w:t>
      </w:r>
      <w:r>
        <w:rPr>
          <w:rFonts w:eastAsia="IRNazanin" w:cs="IRNazanin"/>
          <w:color w:val="111111"/>
          <w:sz w:val="28"/>
          <w:szCs w:val="28"/>
          <w:rtl w:val="true"/>
          <w:lang w:bidi="fa-IR"/>
        </w:rPr>
        <w:t>»</w:t>
      </w:r>
      <w:r>
        <w:rPr>
          <w:rStyle w:val="FootnoteAnchor"/>
          <w:rtl w:val="true"/>
        </w:rPr>
        <w:footnoteReference w:id="2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العروة</w:t>
      </w:r>
      <w:r>
        <w:rPr>
          <w:rStyle w:val="FootnoteAnchor"/>
          <w:rtl w:val="true"/>
        </w:rPr>
        <w:footnoteReference w:id="2619"/>
      </w:r>
      <w:r>
        <w:rPr>
          <w:rFonts w:ascii="IRNazanin" w:hAnsi="IRNazanin" w:eastAsia="IRNazanin"/>
          <w:color w:val="111111"/>
          <w:sz w:val="28"/>
          <w:sz w:val="28"/>
          <w:szCs w:val="28"/>
          <w:rtl w:val="true"/>
          <w:lang w:bidi="fa-IR"/>
        </w:rPr>
        <w:t>و المستمسک</w:t>
      </w:r>
      <w:r>
        <w:rPr>
          <w:rStyle w:val="FootnoteAnchor"/>
          <w:rtl w:val="true"/>
        </w:rPr>
        <w:footnoteReference w:id="2620"/>
      </w:r>
      <w:r>
        <w:rPr>
          <w:rFonts w:ascii="IRNazanin" w:hAnsi="IRNazanin" w:eastAsia="IRNazanin"/>
          <w:color w:val="111111"/>
          <w:sz w:val="28"/>
          <w:sz w:val="28"/>
          <w:szCs w:val="28"/>
          <w:rtl w:val="true"/>
          <w:lang w:bidi="fa-IR"/>
        </w:rPr>
        <w:t>، و مبانی العروة</w:t>
      </w:r>
      <w:r>
        <w:rPr>
          <w:rStyle w:val="FootnoteAnchor"/>
          <w:rtl w:val="true"/>
        </w:rPr>
        <w:footnoteReference w:id="2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بین وقوع القبول فی حیاة الموصی أو بعد موته، من دون فرق فی الأوّل بین صورة الاتّصال بالوصیّة أو الانفصال عنها، کما أنّه لا فرق فی الثانی بین صورتی الاتّصال و التأخّر</w:t>
      </w:r>
      <w:r>
        <w:rPr>
          <w:rFonts w:eastAsia="IRNazanin" w:cs="IRNazanin"/>
          <w:color w:val="111111"/>
          <w:sz w:val="28"/>
          <w:szCs w:val="28"/>
          <w:rtl w:val="true"/>
          <w:lang w:bidi="fa-IR"/>
        </w:rPr>
        <w:t>»</w:t>
      </w:r>
      <w:r>
        <w:rPr>
          <w:rStyle w:val="FootnoteAnchor"/>
          <w:rtl w:val="true"/>
        </w:rPr>
        <w:footnoteReference w:id="2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یستفاد ذلک من الروایات التی استدلّوا بها علی صحّة وصیّة الصبیّ منضمّاً إلی البالغ، و هی العمدة، فقد روی المشایخ الثلاثة فی الصحیح عن محمّد بن الحسن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محمّد الحسن بن علیّ علیهما السلام</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 أوصی إلی ولده و فیهم کبار قد أدرکوا و فیهم صغار، أ یجوز للکبار أن</w:t>
      </w:r>
    </w:p>
    <w:p>
      <w:pPr>
        <w:pStyle w:val="BookText"/>
        <w:rPr/>
      </w:pPr>
      <w:r>
        <w:rPr>
          <w:rFonts w:ascii="IRNazanin" w:hAnsi="IRNazanin" w:eastAsia="IRNazanin"/>
          <w:color w:val="111111"/>
          <w:sz w:val="28"/>
          <w:sz w:val="28"/>
          <w:szCs w:val="28"/>
          <w:rtl w:val="true"/>
          <w:lang w:bidi="fa-IR"/>
        </w:rPr>
        <w:t xml:space="preserve">ینفذوا الوصیّة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وصیّة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یقضوا دینه لمن 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صحّح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المیّت بشهود عدول قبل أن یدرک الصغار؟ فوقّع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علی الأکابر من الولد أن یقضوا دین أبیهم و لا یحبسوه بذلک</w:t>
      </w:r>
      <w:r>
        <w:rPr>
          <w:rFonts w:eastAsia="IRNazanin" w:cs="IRNazanin"/>
          <w:color w:val="111111"/>
          <w:sz w:val="28"/>
          <w:szCs w:val="28"/>
          <w:rtl w:val="true"/>
          <w:lang w:bidi="fa-IR"/>
        </w:rPr>
        <w:t>»</w:t>
      </w:r>
      <w:r>
        <w:rPr>
          <w:rStyle w:val="FootnoteAnchor"/>
          <w:rtl w:val="true"/>
        </w:rPr>
        <w:footnoteReference w:id="2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یستفاد منها أنّ صحّة الوصیّة إلی الصبیّ کأنّه مفروغ عنه بین الأصحاب، و سئل الراوی عن جواز تصرّف الکبار قبل بلوغ الصغار و لم یردعه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ما هو المسلّم عندهم اعتبار البلوغ فی جواز التصرّف، و أمّا صرف الوصایة إلی الصبیّ و إن کان منفرداً فلا مانع منه، و الظاهر أنّ مقصودهم من عدم جواز وصایة الصبیّ منفرداً، هو ذلک و إن لم یصرّح به فی أکثر کلماتهم، بل ظاهرهم خلاف ذلک، و لکن یستفاد هذا عمّا استدلّوا به، کقولهم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یتعقّل ثبوت السلطنة لغیر الممیّز من الصبیان علی الممیّز منهم</w:t>
      </w:r>
      <w:r>
        <w:rPr>
          <w:rFonts w:eastAsia="IRNazanin" w:cs="IRNazanin"/>
          <w:color w:val="111111"/>
          <w:sz w:val="28"/>
          <w:szCs w:val="28"/>
          <w:rtl w:val="true"/>
          <w:lang w:bidi="fa-IR"/>
        </w:rPr>
        <w:t>»</w:t>
      </w:r>
      <w:r>
        <w:rPr>
          <w:rStyle w:val="FootnoteAnchor"/>
          <w:rtl w:val="true"/>
        </w:rPr>
        <w:footnoteReference w:id="2624"/>
      </w:r>
      <w:r>
        <w:rPr>
          <w:rFonts w:ascii="IRNazanin" w:hAnsi="IRNazanin" w:eastAsia="IRNazanin"/>
          <w:color w:val="111111"/>
          <w:sz w:val="28"/>
          <w:sz w:val="28"/>
          <w:szCs w:val="28"/>
          <w:rtl w:val="true"/>
          <w:lang w:bidi="fa-IR"/>
        </w:rPr>
        <w:t>، 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لا یملک التصرّف لنفسه، فلغیره أولی</w:t>
      </w:r>
      <w:r>
        <w:rPr>
          <w:rFonts w:eastAsia="IRNazanin" w:cs="IRNazanin"/>
          <w:color w:val="111111"/>
          <w:sz w:val="28"/>
          <w:szCs w:val="28"/>
          <w:rtl w:val="true"/>
          <w:lang w:bidi="fa-IR"/>
        </w:rPr>
        <w:t>»</w:t>
      </w:r>
      <w:r>
        <w:rPr>
          <w:rStyle w:val="FootnoteAnchor"/>
          <w:rtl w:val="true"/>
        </w:rPr>
        <w:footnoteReference w:id="2625"/>
      </w:r>
      <w:r>
        <w:rPr>
          <w:rFonts w:ascii="IRNazanin" w:hAnsi="IRNazanin" w:eastAsia="IRNazanin"/>
          <w:color w:val="111111"/>
          <w:sz w:val="28"/>
          <w:sz w:val="28"/>
          <w:szCs w:val="28"/>
          <w:rtl w:val="true"/>
          <w:lang w:bidi="fa-IR"/>
        </w:rPr>
        <w:t>، و لعلّه لذلک قیّد بعضهم البطلان بالتصرّف فی حال الصباوة لا مطلقاً، کما تقدّم عن الحدائق</w:t>
      </w:r>
      <w:r>
        <w:rPr>
          <w:rStyle w:val="FootnoteAnchor"/>
          <w:rtl w:val="true"/>
        </w:rPr>
        <w:footnoteReference w:id="2626"/>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یستفاد هذا أیضاً من کلماتهم فی بحث وقت اعتبار البلوغ، علی تقدیر اشتراطه فی الوصیّ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المعتبر اجتماعها عند الوفاة، حتّی لو أوصی إلی من لیس بأهل فاتّفق کماله عند الوفاة صحّت الوصیّة؛ لأنّ المقصود منها التصرّف بعد الموت، فیعتبر اجتماع الشروط حینئذٍ؛</w:t>
      </w:r>
      <w:bookmarkStart w:id="730" w:name="pg11757_135870"/>
    </w:p>
    <w:p>
      <w:pPr>
        <w:pStyle w:val="BookText"/>
        <w:rPr/>
      </w:pPr>
      <w:bookmarkEnd w:id="730"/>
      <w:r>
        <w:rPr>
          <w:rFonts w:ascii="IRNazanin" w:hAnsi="IRNazanin" w:eastAsia="IRNazanin"/>
          <w:color w:val="111111"/>
          <w:sz w:val="28"/>
          <w:sz w:val="28"/>
          <w:szCs w:val="28"/>
          <w:rtl w:val="true"/>
          <w:lang w:bidi="fa-IR"/>
        </w:rPr>
        <w:t>لأنّه محلّ الولایة و لا حاجة إلی وجودها قبل ذلک، لانتفاء الفائدة</w:t>
      </w:r>
      <w:r>
        <w:rPr>
          <w:rFonts w:eastAsia="IRNazanin" w:cs="IRNazanin"/>
          <w:color w:val="111111"/>
          <w:sz w:val="28"/>
          <w:szCs w:val="28"/>
          <w:rtl w:val="true"/>
          <w:lang w:bidi="fa-IR"/>
        </w:rPr>
        <w:t>»</w:t>
      </w:r>
      <w:r>
        <w:rPr>
          <w:rStyle w:val="FootnoteAnchor"/>
          <w:rtl w:val="true"/>
        </w:rPr>
        <w:footnoteReference w:id="2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کلّ حال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بطلان وصایة الصبیّ مقیّد بالتصرّف فی حال الصباوة، أمّا صرف الوصایة إلیه فلا یوجد علی بطلانه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لو أوصی إلیه و بلغ حین موت الموصی أو بعده تصحّ وصایته، و یجوز له التصرّف بعد البلوغ، کما هو المصرّح به فی کلمات بعضهم و یستفاد من ظاهر آخرین</w:t>
      </w:r>
      <w:r>
        <w:rPr>
          <w:rFonts w:eastAsia="IRNazanin" w:cs="IRNazanin"/>
          <w:color w:val="111111"/>
          <w:sz w:val="28"/>
          <w:szCs w:val="28"/>
          <w:rtl w:val="true"/>
          <w:lang w:bidi="fa-IR"/>
        </w:rPr>
        <w:t>.</w:t>
      </w:r>
    </w:p>
    <w:p>
      <w:pPr>
        <w:pStyle w:val="Heading6"/>
        <w:numPr>
          <w:ilvl w:val="5"/>
          <w:numId w:val="1"/>
        </w:numPr>
        <w:rPr/>
      </w:pPr>
      <w:bookmarkStart w:id="731" w:name="__RefHeading___Toc9697057_73709187"/>
      <w:bookmarkStart w:id="732" w:name="_Toc272"/>
      <w:bookmarkEnd w:id="731"/>
      <w:r>
        <w:rPr>
          <w:rtl w:val="true"/>
        </w:rPr>
        <w:t>جواز تصرّف الصبیّ مع إذن الولیّ‌</w:t>
      </w:r>
      <w:bookmarkEnd w:id="732"/>
    </w:p>
    <w:p>
      <w:pPr>
        <w:pStyle w:val="BookText"/>
        <w:rPr/>
      </w:pPr>
      <w:r>
        <w:rPr>
          <w:rFonts w:ascii="IRNazanin" w:hAnsi="IRNazanin" w:eastAsia="IRNazanin"/>
          <w:color w:val="111111"/>
          <w:sz w:val="28"/>
          <w:sz w:val="28"/>
          <w:szCs w:val="28"/>
          <w:rtl w:val="true"/>
          <w:lang w:bidi="fa-IR"/>
        </w:rPr>
        <w:t>الظاهر أنّه لا إشکال فی أن یتصرّف الصبیّ الممیّز فی امور الوصایة مع إذن ولیّه أو الحاکم الشرعی، کما صرّح به فی جامع المدارک</w:t>
      </w:r>
      <w:r>
        <w:rPr>
          <w:rStyle w:val="FootnoteAnchor"/>
          <w:rtl w:val="true"/>
        </w:rPr>
        <w:footnoteReference w:id="2628"/>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السیّد الخوئی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لو أراد أن یکون تصرّفه بعد البلوغ أو مع إذن الولیّ فالأظهر صحّة الوصیّة</w:t>
      </w:r>
      <w:r>
        <w:rPr>
          <w:rFonts w:eastAsia="IRNazanin" w:cs="IRNazanin"/>
          <w:color w:val="111111"/>
          <w:sz w:val="28"/>
          <w:szCs w:val="28"/>
          <w:rtl w:val="true"/>
          <w:lang w:bidi="fa-IR"/>
        </w:rPr>
        <w:t>»</w:t>
      </w:r>
      <w:r>
        <w:rPr>
          <w:rStyle w:val="FootnoteAnchor"/>
          <w:rtl w:val="true"/>
        </w:rPr>
        <w:footnoteReference w:id="2629"/>
      </w:r>
      <w:r>
        <w:rPr>
          <w:rFonts w:ascii="IRNazanin" w:hAnsi="IRNazanin" w:eastAsia="IRNazanin"/>
          <w:color w:val="111111"/>
          <w:sz w:val="28"/>
          <w:sz w:val="28"/>
          <w:szCs w:val="28"/>
          <w:rtl w:val="true"/>
          <w:lang w:bidi="fa-IR"/>
        </w:rPr>
        <w:t>، و به قال أعلام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الوحید الخراسانی</w:t>
      </w:r>
      <w:r>
        <w:rPr>
          <w:rStyle w:val="FootnoteAnchor"/>
          <w:rtl w:val="true"/>
        </w:rPr>
        <w:footnoteReference w:id="2630"/>
      </w:r>
      <w:r>
        <w:rPr>
          <w:rFonts w:ascii="IRNazanin" w:hAnsi="IRNazanin" w:eastAsia="IRNazanin"/>
          <w:color w:val="111111"/>
          <w:sz w:val="28"/>
          <w:sz w:val="28"/>
          <w:szCs w:val="28"/>
          <w:rtl w:val="true"/>
          <w:lang w:bidi="fa-IR"/>
        </w:rPr>
        <w:t>و التبریزی</w:t>
      </w:r>
      <w:r>
        <w:rPr>
          <w:rStyle w:val="FootnoteAnchor"/>
          <w:rtl w:val="true"/>
        </w:rPr>
        <w:footnoteReference w:id="2631"/>
      </w:r>
      <w:r>
        <w:rPr>
          <w:rFonts w:ascii="IRNazanin" w:hAnsi="IRNazanin" w:eastAsia="IRNazanin"/>
          <w:color w:val="111111"/>
          <w:sz w:val="28"/>
          <w:sz w:val="28"/>
          <w:szCs w:val="28"/>
          <w:rtl w:val="true"/>
          <w:lang w:bidi="fa-IR"/>
        </w:rPr>
        <w:t>و السیستانی</w:t>
      </w:r>
      <w:r>
        <w:rPr>
          <w:rStyle w:val="FootnoteAnchor"/>
          <w:rtl w:val="true"/>
        </w:rPr>
        <w:footnoteReference w:id="2632"/>
      </w:r>
      <w:r>
        <w:rPr>
          <w:rFonts w:ascii="IRNazanin" w:hAnsi="IRNazanin" w:eastAsia="IRNazanin"/>
          <w:color w:val="111111"/>
          <w:sz w:val="28"/>
          <w:sz w:val="28"/>
          <w:szCs w:val="28"/>
          <w:rtl w:val="true"/>
          <w:lang w:bidi="fa-IR"/>
        </w:rPr>
        <w:t xml:space="preserve">، لأنّ ما دلّ علی عدم نفوذ تصرّفات الصبیّ یکون ناظراً إلی عدم استقلاله، و أمّا مع إذن الولیّ أو الحاکم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کان المتصرّف هو الولیّ و عدّ الصبیّ واسطة فی ذلک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منه، کما أشار إلیه فی جامع المدارک</w:t>
      </w:r>
      <w:r>
        <w:rPr>
          <w:rStyle w:val="FootnoteAnchor"/>
          <w:rtl w:val="true"/>
        </w:rPr>
        <w:footnoteReference w:id="2633"/>
      </w:r>
      <w:r>
        <w:rPr>
          <w:rFonts w:ascii="IRNazanin" w:hAnsi="IRNazanin" w:eastAsia="IRNazanin"/>
          <w:color w:val="111111"/>
          <w:sz w:val="28"/>
          <w:sz w:val="28"/>
          <w:szCs w:val="28"/>
          <w:rtl w:val="true"/>
          <w:lang w:bidi="fa-IR"/>
        </w:rPr>
        <w:t>، و لکن مع ذلک کلّه حیث لم یرد فیه نصّ، و المشهور علی خلافه، فالأحوط ترک تصرّف الصبیّ و لو مع إذن ولیّه</w:t>
      </w:r>
      <w:r>
        <w:rPr>
          <w:rFonts w:eastAsia="IRNazanin" w:cs="IRNazanin"/>
          <w:color w:val="111111"/>
          <w:sz w:val="28"/>
          <w:szCs w:val="28"/>
          <w:rtl w:val="true"/>
          <w:lang w:bidi="fa-IR"/>
        </w:rPr>
        <w:t>.</w:t>
      </w:r>
      <w:bookmarkStart w:id="733" w:name="pg11757_135871"/>
    </w:p>
    <w:p>
      <w:pPr>
        <w:pStyle w:val="Heading6"/>
        <w:numPr>
          <w:ilvl w:val="5"/>
          <w:numId w:val="1"/>
        </w:numPr>
        <w:rPr/>
      </w:pPr>
      <w:bookmarkStart w:id="734" w:name="__RefHeading___Toc9697059_73709187"/>
      <w:bookmarkStart w:id="735" w:name="_Toc273"/>
      <w:bookmarkEnd w:id="733"/>
      <w:bookmarkEnd w:id="734"/>
      <w:r>
        <w:rPr>
          <w:rtl w:val="true"/>
        </w:rPr>
        <w:t>وصایة الصبیّ عند أهل السنّة</w:t>
      </w:r>
      <w:bookmarkEnd w:id="735"/>
    </w:p>
    <w:p>
      <w:pPr>
        <w:pStyle w:val="BookText"/>
        <w:rPr/>
      </w:pPr>
      <w:r>
        <w:rPr>
          <w:rFonts w:ascii="IRNazanin" w:hAnsi="IRNazanin" w:eastAsia="IRNazanin"/>
          <w:color w:val="111111"/>
          <w:sz w:val="28"/>
          <w:sz w:val="28"/>
          <w:szCs w:val="28"/>
          <w:rtl w:val="true"/>
          <w:lang w:bidi="fa-IR"/>
        </w:rPr>
        <w:t>ذهب الشافعیّة و المالکیّة و الحنفیّة إلی عدم صحّة الوصیّة إلی الصبیّ، جاء فی المجموع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تجوز الوصیّة إلاّ إلی بالغ، عاقل، حرّ، عدل، فأمّا الصبیّ و المجنون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تجوز الوصیّة إلیهم؛ لأنّه لا حظّ للمیّت و لا للطفل فی نظر هؤلاء</w:t>
      </w:r>
      <w:r>
        <w:rPr>
          <w:rFonts w:eastAsia="IRNazanin" w:cs="IRNazanin"/>
          <w:color w:val="111111"/>
          <w:sz w:val="28"/>
          <w:szCs w:val="28"/>
          <w:rtl w:val="true"/>
          <w:lang w:bidi="fa-IR"/>
        </w:rPr>
        <w:t>»</w:t>
      </w:r>
      <w:r>
        <w:rPr>
          <w:rStyle w:val="FootnoteAnchor"/>
          <w:rtl w:val="true"/>
        </w:rPr>
        <w:footnoteReference w:id="2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روضة الطالبین</w:t>
      </w:r>
      <w:r>
        <w:rPr>
          <w:rStyle w:val="FootnoteAnchor"/>
          <w:rtl w:val="true"/>
        </w:rPr>
        <w:footnoteReference w:id="2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مغنی المحتاج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شرط الوصیّ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الموصی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أی بلوغ و عقل؛ لأنّ غیره مولّی علیه، فکیف یلی أمر غیره</w:t>
      </w:r>
      <w:r>
        <w:rPr>
          <w:rFonts w:eastAsia="IRNazanin" w:cs="IRNazanin"/>
          <w:color w:val="111111"/>
          <w:sz w:val="28"/>
          <w:szCs w:val="28"/>
          <w:rtl w:val="true"/>
          <w:lang w:bidi="fa-IR"/>
        </w:rPr>
        <w:t>»</w:t>
      </w:r>
      <w:r>
        <w:rPr>
          <w:rStyle w:val="FootnoteAnchor"/>
          <w:rtl w:val="true"/>
        </w:rPr>
        <w:footnoteReference w:id="2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عقد الجواهر الثمینة</w:t>
      </w:r>
      <w:r>
        <w:rPr>
          <w:rStyle w:val="FootnoteAnchor"/>
          <w:rtl w:val="true"/>
        </w:rPr>
        <w:footnoteReference w:id="2637"/>
      </w:r>
      <w:r>
        <w:rPr>
          <w:rFonts w:ascii="IRNazanin" w:hAnsi="IRNazanin" w:eastAsia="IRNazanin"/>
          <w:color w:val="111111"/>
          <w:sz w:val="28"/>
          <w:sz w:val="28"/>
          <w:szCs w:val="28"/>
          <w:rtl w:val="true"/>
          <w:lang w:bidi="fa-IR"/>
        </w:rPr>
        <w:t>و کشّاف القناع</w:t>
      </w:r>
      <w:r>
        <w:rPr>
          <w:rStyle w:val="FootnoteAnchor"/>
          <w:rtl w:val="true"/>
        </w:rPr>
        <w:footnoteReference w:id="2638"/>
      </w:r>
      <w:r>
        <w:rPr>
          <w:rFonts w:ascii="IRNazanin" w:hAnsi="IRNazanin" w:eastAsia="IRNazanin"/>
          <w:color w:val="111111"/>
          <w:sz w:val="28"/>
          <w:sz w:val="28"/>
          <w:szCs w:val="28"/>
          <w:rtl w:val="true"/>
          <w:lang w:bidi="fa-IR"/>
        </w:rPr>
        <w:t>و الذخیرة</w:t>
      </w:r>
      <w:r>
        <w:rPr>
          <w:rStyle w:val="FootnoteAnchor"/>
          <w:rtl w:val="true"/>
        </w:rPr>
        <w:footnoteReference w:id="2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استدلّ له فی المغنی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لیس من أهل الشهادة و الإقرار، و لا یصحّ تصرّفه إلاّ بإذن، فلم یکن من أهل الولایة بطریق أولی، و لأنّه مولّی علیه فلا یکون والیاً،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مذهب الشافعیّ، و هو الصحیح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المذهب صحّة الوصیّة إلیه؛ لأنّ أحمد قد نصّ علی صحّة وکالته، و علی هذا یعتبر أن یکون قد جاوز العشر</w:t>
      </w:r>
      <w:r>
        <w:rPr>
          <w:rFonts w:eastAsia="IRNazanin" w:cs="IRNazanin"/>
          <w:color w:val="111111"/>
          <w:sz w:val="28"/>
          <w:szCs w:val="28"/>
          <w:rtl w:val="true"/>
          <w:lang w:bidi="fa-IR"/>
        </w:rPr>
        <w:t>»</w:t>
      </w:r>
      <w:r>
        <w:rPr>
          <w:rStyle w:val="FootnoteAnchor"/>
          <w:rtl w:val="true"/>
        </w:rPr>
        <w:footnoteReference w:id="2640"/>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الحنابلة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وجهان، جاء فی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الوصیّة إلی الصبیّ</w:t>
      </w:r>
      <w:bookmarkStart w:id="736" w:name="pg11757_135872"/>
    </w:p>
    <w:p>
      <w:pPr>
        <w:pStyle w:val="BookText"/>
        <w:rPr/>
      </w:pPr>
      <w:bookmarkEnd w:id="736"/>
      <w:r>
        <w:rPr>
          <w:rFonts w:ascii="IRNazanin" w:hAnsi="IRNazanin" w:eastAsia="IRNazanin"/>
          <w:color w:val="111111"/>
          <w:sz w:val="28"/>
          <w:sz w:val="28"/>
          <w:szCs w:val="28"/>
          <w:rtl w:val="true"/>
          <w:lang w:bidi="fa-IR"/>
        </w:rPr>
        <w:t>العاقل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 لأنّه یصحّ توکیله، فأشبه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لأنّه لیس من أهل الشهادة، فلا یکون ولیّاً کالفاسق</w:t>
      </w:r>
      <w:r>
        <w:rPr>
          <w:rFonts w:eastAsia="IRNazanin" w:cs="IRNazanin"/>
          <w:color w:val="111111"/>
          <w:sz w:val="28"/>
          <w:szCs w:val="28"/>
          <w:rtl w:val="true"/>
          <w:lang w:bidi="fa-IR"/>
        </w:rPr>
        <w:t>»</w:t>
      </w:r>
      <w:r>
        <w:rPr>
          <w:rStyle w:val="FootnoteAnchor"/>
          <w:rtl w:val="true"/>
        </w:rPr>
        <w:footnoteReference w:id="2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کلام الماتن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مراهقاً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قطع المصنّف هنا بصحّة الوصیّة إلی المراهق، و هو إحدی الروایتین، قال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المذهب صحّة الوصیّة إلی الممیّز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تقیید المصنّف بالمراهق أنّها لا تصحّ إلی ممیّز قبل أن یراهق، و هو ظاهر کلامه فی الهدایة و غیرهما، و هو صحیح، و هو المذهب و علیه أکثر الأصحاب</w:t>
      </w:r>
      <w:r>
        <w:rPr>
          <w:rFonts w:eastAsia="IRNazanin" w:cs="IRNazanin"/>
          <w:color w:val="111111"/>
          <w:sz w:val="28"/>
          <w:szCs w:val="28"/>
          <w:rtl w:val="true"/>
          <w:lang w:bidi="fa-IR"/>
        </w:rPr>
        <w:t>»</w:t>
      </w:r>
      <w:r>
        <w:rPr>
          <w:rStyle w:val="FootnoteAnchor"/>
          <w:rtl w:val="true"/>
        </w:rPr>
        <w:footnoteReference w:id="26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7" w:name="__RefHeading___Toc9697061_73709187"/>
      <w:bookmarkStart w:id="738" w:name="_Toc274"/>
      <w:bookmarkEnd w:id="737"/>
      <w:r>
        <w:rPr>
          <w:rtl w:val="true"/>
        </w:rPr>
        <w:t>المطلب الثانی</w:t>
      </w:r>
      <w:r>
        <w:rPr>
          <w:rtl w:val="true"/>
        </w:rPr>
        <w:t xml:space="preserve">: </w:t>
      </w:r>
      <w:r>
        <w:rPr>
          <w:rtl w:val="true"/>
        </w:rPr>
        <w:t>تعلیق الوصایة علی البلوغ</w:t>
      </w:r>
      <w:bookmarkEnd w:id="738"/>
    </w:p>
    <w:p>
      <w:pPr>
        <w:pStyle w:val="Heading6"/>
        <w:numPr>
          <w:ilvl w:val="5"/>
          <w:numId w:val="1"/>
        </w:numPr>
        <w:rPr/>
      </w:pPr>
      <w:bookmarkStart w:id="739" w:name="__RefHeading___Toc9697063_73709187"/>
      <w:bookmarkStart w:id="740" w:name="_Toc275"/>
      <w:bookmarkEnd w:id="739"/>
      <w:r>
        <w:rPr>
          <w:rtl w:val="true"/>
        </w:rPr>
        <w:t>اشارة</w:t>
      </w:r>
      <w:bookmarkEnd w:id="740"/>
    </w:p>
    <w:p>
      <w:pPr>
        <w:pStyle w:val="BookText"/>
        <w:rPr/>
      </w:pPr>
      <w:r>
        <w:rPr>
          <w:rFonts w:ascii="IRNazanin" w:hAnsi="IRNazanin" w:eastAsia="IRNazanin"/>
          <w:color w:val="111111"/>
          <w:sz w:val="28"/>
          <w:sz w:val="28"/>
          <w:szCs w:val="28"/>
          <w:rtl w:val="true"/>
          <w:lang w:bidi="fa-IR"/>
        </w:rPr>
        <w:t>هل یجوز جعل الوصایة للصبیّ معلّقة علی بلوغه، کما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أوصیت إلی زید، فإن بلغ ولدی فهو وصیّی، أو جعل الصبیّ وصیّاً و شرط فی تصرّفه بلوغه؟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یصحّ، قال العلّامة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أوصیت إلی زید، فإن مات فقد أوصیت إلی عمرو، صحَّ و یکون کلّ منهما وصیّاً إلاّ أنّ عمراً وصیّ بعد زیدٍ،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أوصیت إلیک، فإن کبر ابنی فهو وصیّی</w:t>
      </w:r>
      <w:r>
        <w:rPr>
          <w:rFonts w:eastAsia="IRNazanin" w:cs="IRNazanin"/>
          <w:color w:val="111111"/>
          <w:sz w:val="28"/>
          <w:szCs w:val="28"/>
          <w:rtl w:val="true"/>
          <w:lang w:bidi="fa-IR"/>
        </w:rPr>
        <w:t>»</w:t>
      </w:r>
      <w:r>
        <w:rPr>
          <w:rStyle w:val="FootnoteAnchor"/>
          <w:rtl w:val="true"/>
        </w:rPr>
        <w:footnoteReference w:id="2643"/>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یجوز جعل وصیّین علی الترتیب،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أوصیت إلی زید، فإن مات فإلی عمرو، أو إن بلغ ولدی رشیداً فإلیه</w:t>
      </w:r>
      <w:r>
        <w:rPr>
          <w:rFonts w:eastAsia="IRNazanin" w:cs="IRNazanin"/>
          <w:color w:val="111111"/>
          <w:sz w:val="28"/>
          <w:szCs w:val="28"/>
          <w:rtl w:val="true"/>
          <w:lang w:bidi="fa-IR"/>
        </w:rPr>
        <w:t>»</w:t>
      </w:r>
      <w:r>
        <w:rPr>
          <w:rStyle w:val="FootnoteAnchor"/>
          <w:rtl w:val="true"/>
        </w:rPr>
        <w:footnoteReference w:id="2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جامع</w:t>
      </w:r>
    </w:p>
    <w:p>
      <w:pPr>
        <w:pStyle w:val="BookText"/>
        <w:rPr/>
      </w:pPr>
      <w:r>
        <w:rPr>
          <w:rFonts w:ascii="IRNazanin" w:hAnsi="IRNazanin" w:eastAsia="IRNazanin"/>
          <w:color w:val="111111"/>
          <w:sz w:val="28"/>
          <w:sz w:val="28"/>
          <w:szCs w:val="28"/>
          <w:rtl w:val="true"/>
          <w:lang w:bidi="fa-IR"/>
        </w:rPr>
        <w:t>المقاصد و الجواهر</w:t>
      </w:r>
      <w:r>
        <w:rPr>
          <w:rStyle w:val="FootnoteAnchor"/>
          <w:rtl w:val="true"/>
        </w:rPr>
        <w:footnoteReference w:id="2645"/>
      </w:r>
      <w:r>
        <w:rPr>
          <w:rFonts w:ascii="IRNazanin" w:hAnsi="IRNazanin" w:eastAsia="IRNazanin"/>
          <w:color w:val="111111"/>
          <w:sz w:val="28"/>
          <w:sz w:val="28"/>
          <w:szCs w:val="28"/>
          <w:rtl w:val="true"/>
          <w:lang w:bidi="fa-IR"/>
        </w:rPr>
        <w:t>، و به قال أعلام العصر</w:t>
      </w:r>
      <w:r>
        <w:rPr>
          <w:rStyle w:val="FootnoteAnchor"/>
          <w:rtl w:val="true"/>
        </w:rPr>
        <w:footnoteReference w:id="2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 لذلک باُمور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العموم و إطلاقات باب الوصیّة تشملها، و تعلیق تصرّف الصبیّ إلی ما بعد البلوغ لا یوجب منعاً فی ذلک، کما أشار إلیه فی الجواهر</w:t>
      </w:r>
      <w:r>
        <w:rPr>
          <w:rStyle w:val="FootnoteAnchor"/>
          <w:rtl w:val="true"/>
        </w:rPr>
        <w:footnoteReference w:id="2647"/>
      </w:r>
      <w:r>
        <w:rPr>
          <w:rFonts w:ascii="Amiri" w:hAnsi="Amiri" w:eastAsia="Amiri" w:cs="Amiri"/>
          <w:color w:val="111111"/>
          <w:sz w:val="28"/>
          <w:sz w:val="28"/>
          <w:szCs w:val="28"/>
          <w:rtl w:val="true"/>
          <w:lang w:bidi="ar-SA"/>
        </w:rPr>
        <w:t>و المهذّب</w:t>
      </w:r>
      <w:r>
        <w:rPr>
          <w:rStyle w:val="FootnoteAnchor"/>
          <w:rtl w:val="true"/>
        </w:rPr>
        <w:footnoteReference w:id="2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کما فی الجواهر</w:t>
      </w:r>
      <w:r>
        <w:rPr>
          <w:rStyle w:val="FootnoteAnchor"/>
          <w:rtl w:val="true"/>
        </w:rPr>
        <w:footnoteReference w:id="2649"/>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المشایخ الثلاثة عن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اقرئک وصیّة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حقاً أو سفطاً فأخرج منه کتاباً فقرأه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هذا ما أوصت به فاطمة بنت محمّد صلی الله علیه و آله إلی علیّ بن أبی طالب علیه السلام فإن مضی علیّ فإلی الحسن، فإن مضی الحسن فإلی الحسین، فإن مضی الحسین فإلی الأکبر من ولدی</w:t>
      </w:r>
      <w:r>
        <w:rPr>
          <w:rFonts w:eastAsia="IRNazanin" w:cs="IRNazanin"/>
          <w:color w:val="111111"/>
          <w:sz w:val="28"/>
          <w:szCs w:val="28"/>
          <w:rtl w:val="true"/>
          <w:lang w:bidi="fa-IR"/>
        </w:rPr>
        <w:t>»</w:t>
      </w:r>
      <w:r>
        <w:rPr>
          <w:rStyle w:val="FootnoteAnchor"/>
          <w:rtl w:val="true"/>
        </w:rPr>
        <w:footnoteReference w:id="2650"/>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بها فی جامع المقاصد</w:t>
      </w:r>
      <w:r>
        <w:rPr>
          <w:rStyle w:val="FootnoteAnchor"/>
          <w:rtl w:val="true"/>
        </w:rPr>
        <w:footnoteReference w:id="2651"/>
      </w:r>
      <w:r>
        <w:rPr>
          <w:rFonts w:ascii="IRNazanin" w:hAnsi="IRNazanin" w:eastAsia="IRNazanin"/>
          <w:color w:val="111111"/>
          <w:sz w:val="28"/>
          <w:sz w:val="28"/>
          <w:szCs w:val="28"/>
          <w:rtl w:val="true"/>
          <w:lang w:bidi="fa-IR"/>
        </w:rPr>
        <w:t>و الجواهر</w:t>
      </w:r>
      <w:r>
        <w:rPr>
          <w:rStyle w:val="FootnoteAnchor"/>
          <w:rtl w:val="true"/>
        </w:rPr>
        <w:footnoteReference w:id="2652"/>
      </w:r>
      <w:r>
        <w:rPr>
          <w:rFonts w:ascii="IRNazanin" w:hAnsi="IRNazanin" w:eastAsia="IRNazanin"/>
          <w:color w:val="111111"/>
          <w:sz w:val="28"/>
          <w:sz w:val="28"/>
          <w:szCs w:val="28"/>
          <w:rtl w:val="true"/>
          <w:lang w:bidi="fa-IR"/>
        </w:rPr>
        <w:t>، إلاّ أنّه لیس فیها تعلیق علی البلوغ، بل علی مضیّ علیّ علیه السلام، و بینهما فرق</w:t>
      </w:r>
      <w:r>
        <w:rPr>
          <w:rFonts w:eastAsia="IRNazanin" w:cs="IRNazanin"/>
          <w:color w:val="111111"/>
          <w:sz w:val="28"/>
          <w:szCs w:val="28"/>
          <w:rtl w:val="true"/>
          <w:lang w:bidi="fa-IR"/>
        </w:rPr>
        <w:t>.</w:t>
      </w:r>
      <w:bookmarkStart w:id="741" w:name="pg11757_135874"/>
    </w:p>
    <w:p>
      <w:pPr>
        <w:pStyle w:val="BookText"/>
        <w:rPr/>
      </w:pPr>
      <w:bookmarkEnd w:id="741"/>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الوصایة قریبة من التأمیر، و قد روی أنّ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بن حارثة أمیر الناس، فإن قتل زید فجعفر بن أبی طالب، فإن اصیب جعفر فعبد اللّه بن رواحة</w:t>
      </w:r>
      <w:r>
        <w:rPr>
          <w:rFonts w:eastAsia="IRNazanin" w:cs="IRNazanin"/>
          <w:color w:val="111111"/>
          <w:sz w:val="28"/>
          <w:szCs w:val="28"/>
          <w:rtl w:val="true"/>
          <w:lang w:bidi="fa-IR"/>
        </w:rPr>
        <w:t>»</w:t>
      </w:r>
      <w:r>
        <w:rPr>
          <w:rStyle w:val="FootnoteAnchor"/>
          <w:rtl w:val="true"/>
        </w:rPr>
        <w:footnoteReference w:id="2653"/>
      </w:r>
      <w:r>
        <w:rPr>
          <w:rFonts w:ascii="IRNazanin" w:hAnsi="IRNazanin" w:eastAsia="IRNazanin"/>
          <w:color w:val="111111"/>
          <w:sz w:val="28"/>
          <w:sz w:val="28"/>
          <w:szCs w:val="28"/>
          <w:rtl w:val="true"/>
          <w:lang w:bidi="fa-IR"/>
        </w:rPr>
        <w:t>، کما فی جامع المقاصد</w:t>
      </w:r>
      <w:r>
        <w:rPr>
          <w:rStyle w:val="FootnoteAnchor"/>
          <w:rtl w:val="true"/>
        </w:rPr>
        <w:footnoteReference w:id="2654"/>
      </w:r>
      <w:r>
        <w:rPr>
          <w:rFonts w:ascii="IRNazanin" w:hAnsi="IRNazanin" w:eastAsia="IRNazanin"/>
          <w:color w:val="111111"/>
          <w:sz w:val="28"/>
          <w:sz w:val="28"/>
          <w:szCs w:val="28"/>
          <w:rtl w:val="true"/>
          <w:lang w:bidi="fa-IR"/>
        </w:rPr>
        <w:t>، فکما لا یقدح التعلیق فی الإمارة فکذا فی الوصایة، و لذلک جازت الوصیّة إلی المجنون الأدواری، و جاز الإیصاء إلی زید فإن مات فإلی عمرو و إلی ولده إن بلغ رشیداً، کما فی الجواهر،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ظهر لک عدم الفرق بین الممیّز و غیره فی المسألة، و لا بین البالغ خمس سنین</w:t>
      </w:r>
      <w:r>
        <w:rPr>
          <w:rStyle w:val="FootnoteAnchor"/>
          <w:rtl w:val="true"/>
        </w:rPr>
        <w:footnoteReference w:id="2655"/>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تفصیل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کلام الماتن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أوصیت إلی زید، فإن کبر ابنی أو تاب عن فسقه أو اشتغل بالعلم فهو وصیّی</w:t>
      </w:r>
      <w:r>
        <w:rPr>
          <w:rStyle w:val="FootnoteAnchor"/>
          <w:rtl w:val="true"/>
        </w:rPr>
        <w:footnoteReference w:id="2656"/>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یصحّ فی الجمیع، و لا مجال لاحتمال البطلان فی بعضها بعد کون الأمر بید الموصی من الجهات المختلفة فی الکیفیّة و الکمّیة</w:t>
      </w:r>
      <w:r>
        <w:rPr>
          <w:rFonts w:eastAsia="IRNazanin" w:cs="IRNazanin"/>
          <w:color w:val="111111"/>
          <w:sz w:val="28"/>
          <w:szCs w:val="28"/>
          <w:rtl w:val="true"/>
          <w:lang w:bidi="fa-IR"/>
        </w:rPr>
        <w:t>»</w:t>
      </w:r>
      <w:r>
        <w:rPr>
          <w:rStyle w:val="FootnoteAnchor"/>
          <w:rtl w:val="true"/>
        </w:rPr>
        <w:footnoteReference w:id="26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42" w:name="__RefHeading___Toc9697065_73709187"/>
      <w:bookmarkStart w:id="743" w:name="_Toc276"/>
      <w:bookmarkEnd w:id="742"/>
      <w:r>
        <w:rPr>
          <w:rtl w:val="true"/>
        </w:rPr>
        <w:t>القول الثانی</w:t>
      </w:r>
      <w:r>
        <w:rPr>
          <w:rtl w:val="true"/>
        </w:rPr>
        <w:t xml:space="preserve">: </w:t>
      </w:r>
      <w:r>
        <w:rPr>
          <w:rtl w:val="true"/>
        </w:rPr>
        <w:t>أنّه لا یصحّ‌</w:t>
      </w:r>
      <w:bookmarkEnd w:id="743"/>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صحّة الوصیّة إلی الصبیّ منضمّاً علی خلاف الأصل؛ لأنّه لیس من أهل الولایة، و لکن جاز ذلک للنصّ، فلا یلزم مثله فی الوصیّة إلیه مستقلّاً و إن شرط فی تصرّفه البلوغ و کان ذلک فی معنی المنضمّ؛ وقوفاً فیما خالف الأصل علی مورده</w:t>
      </w:r>
      <w:r>
        <w:rPr>
          <w:rFonts w:eastAsia="IRNazanin" w:cs="IRNazanin"/>
          <w:color w:val="111111"/>
          <w:sz w:val="28"/>
          <w:szCs w:val="28"/>
          <w:rtl w:val="true"/>
          <w:lang w:bidi="fa-IR"/>
        </w:rPr>
        <w:t>»</w:t>
      </w:r>
      <w:r>
        <w:rPr>
          <w:rStyle w:val="FootnoteAnchor"/>
          <w:rtl w:val="true"/>
        </w:rPr>
        <w:footnoteReference w:id="2658"/>
      </w:r>
      <w:r>
        <w:rPr>
          <w:rFonts w:eastAsia="Times New Roman" w:cs="Times New Roman" w:ascii="Times New Roman" w:hAnsi="Times New Roman"/>
          <w:color w:val="111111"/>
          <w:sz w:val="28"/>
          <w:szCs w:val="28"/>
          <w:rtl w:val="true"/>
          <w:lang w:val="en-US" w:bidi="en-US"/>
        </w:rPr>
        <w:t>.</w:t>
      </w:r>
      <w:bookmarkStart w:id="744" w:name="pg11757_135875"/>
    </w:p>
    <w:p>
      <w:pPr>
        <w:pStyle w:val="BookText"/>
        <w:rPr/>
      </w:pPr>
      <w:bookmarkEnd w:id="744"/>
      <w:r>
        <w:rPr>
          <w:rFonts w:ascii="IRNazanin" w:hAnsi="IRNazanin" w:eastAsia="IRNazanin"/>
          <w:color w:val="111111"/>
          <w:sz w:val="28"/>
          <w:sz w:val="28"/>
          <w:szCs w:val="28"/>
          <w:rtl w:val="true"/>
          <w:lang w:bidi="fa-IR"/>
        </w:rPr>
        <w:t xml:space="preserve">و فی 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کلام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منفرداً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یدلّ علی المنع عن الوصیّة إلیه مستقلّاً و إن شرط فی تصرّفه البلوغ، و کان ذلک فی معنی الضمّ</w:t>
      </w:r>
      <w:r>
        <w:rPr>
          <w:rFonts w:eastAsia="IRNazanin" w:cs="IRNazanin"/>
          <w:color w:val="111111"/>
          <w:sz w:val="28"/>
          <w:szCs w:val="28"/>
          <w:rtl w:val="true"/>
          <w:lang w:bidi="fa-IR"/>
        </w:rPr>
        <w:t>»</w:t>
      </w:r>
      <w:r>
        <w:rPr>
          <w:rStyle w:val="FootnoteAnchor"/>
          <w:rtl w:val="true"/>
        </w:rPr>
        <w:footnoteReference w:id="2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الأهلیّة معتبرة فی وقت نفوذ الوصیّة لا مطلقاً، و الأصل جواز نصب الصبیّ وصیّاً إذا علّق ذلک علی بلوغه رشیداً؛ ضرورة کونه الموافق للعمومات، کما فی الجواهر</w:t>
      </w:r>
      <w:r>
        <w:rPr>
          <w:rStyle w:val="FootnoteAnchor"/>
          <w:rtl w:val="true"/>
        </w:rPr>
        <w:footnoteReference w:id="2660"/>
      </w:r>
      <w:r>
        <w:rPr>
          <w:rFonts w:ascii="IRNazanin" w:hAnsi="IRNazanin" w:eastAsia="IRNazanin"/>
          <w:color w:val="111111"/>
          <w:sz w:val="28"/>
          <w:sz w:val="28"/>
          <w:szCs w:val="28"/>
          <w:rtl w:val="true"/>
          <w:lang w:bidi="fa-IR"/>
        </w:rPr>
        <w:t>، و دلّت علی الجواز أیضاً النصوص الخاصّة کما تقدّم</w:t>
      </w:r>
      <w:r>
        <w:rPr>
          <w:rFonts w:eastAsia="IRNazanin" w:cs="IRNazanin"/>
          <w:color w:val="111111"/>
          <w:sz w:val="28"/>
          <w:szCs w:val="28"/>
          <w:rtl w:val="true"/>
          <w:lang w:bidi="fa-IR"/>
        </w:rPr>
        <w:t>.</w:t>
      </w:r>
    </w:p>
    <w:p>
      <w:pPr>
        <w:pStyle w:val="Heading6"/>
        <w:numPr>
          <w:ilvl w:val="5"/>
          <w:numId w:val="1"/>
        </w:numPr>
        <w:rPr/>
      </w:pPr>
      <w:bookmarkStart w:id="745" w:name="__RefHeading___Toc9697067_73709187"/>
      <w:bookmarkStart w:id="746" w:name="_Toc277"/>
      <w:bookmarkEnd w:id="745"/>
      <w:r>
        <w:rPr>
          <w:rtl w:val="true"/>
        </w:rPr>
        <w:t>تعلیق وصایة الصبیّ علی بلوغه عند أهل السنّة</w:t>
      </w:r>
      <w:bookmarkEnd w:id="746"/>
    </w:p>
    <w:p>
      <w:pPr>
        <w:pStyle w:val="BookText"/>
        <w:rPr/>
      </w:pPr>
      <w:r>
        <w:rPr>
          <w:rFonts w:ascii="IRNazanin" w:hAnsi="IRNazanin" w:eastAsia="IRNazanin"/>
          <w:color w:val="111111"/>
          <w:sz w:val="28"/>
          <w:sz w:val="28"/>
          <w:szCs w:val="28"/>
          <w:rtl w:val="true"/>
          <w:lang w:bidi="fa-IR"/>
        </w:rPr>
        <w:t>اتّفقت المذاهب الأربعة علی الحکم المذکور و إن اختلفت تعبیراتهم؛ و إلیک نصّ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مغنی المحتاج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أوصیت إلیک إلی بلوغ ابنی فلان أو إلی قدوم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بلغ ابنی أو قدم زید فهو الوصیّ، جاز هذا الإیصاء</w:t>
      </w:r>
      <w:r>
        <w:rPr>
          <w:rFonts w:eastAsia="IRNazanin" w:cs="IRNazanin"/>
          <w:color w:val="111111"/>
          <w:sz w:val="28"/>
          <w:szCs w:val="28"/>
          <w:rtl w:val="true"/>
          <w:lang w:bidi="fa-IR"/>
        </w:rPr>
        <w:t>»</w:t>
      </w:r>
      <w:r>
        <w:rPr>
          <w:rStyle w:val="FootnoteAnchor"/>
          <w:rtl w:val="true"/>
        </w:rPr>
        <w:footnoteReference w:id="2661"/>
      </w:r>
      <w:r>
        <w:rPr>
          <w:rFonts w:ascii="IRNazanin" w:hAnsi="IRNazanin" w:eastAsia="IRNazanin"/>
          <w:color w:val="111111"/>
          <w:sz w:val="28"/>
          <w:sz w:val="28"/>
          <w:szCs w:val="28"/>
          <w:rtl w:val="true"/>
          <w:lang w:bidi="fa-IR"/>
        </w:rPr>
        <w:t>، و کذا فی الوجیز</w:t>
      </w:r>
      <w:r>
        <w:rPr>
          <w:rStyle w:val="FootnoteAnchor"/>
          <w:rtl w:val="true"/>
        </w:rPr>
        <w:footnoteReference w:id="2662"/>
      </w:r>
      <w:r>
        <w:rPr>
          <w:rFonts w:ascii="IRNazanin" w:hAnsi="IRNazanin" w:eastAsia="IRNazanin"/>
          <w:color w:val="111111"/>
          <w:sz w:val="28"/>
          <w:sz w:val="28"/>
          <w:szCs w:val="28"/>
          <w:rtl w:val="true"/>
          <w:lang w:bidi="fa-IR"/>
        </w:rPr>
        <w:t>و منهاج الطالبین</w:t>
      </w:r>
      <w:r>
        <w:rPr>
          <w:rStyle w:val="FootnoteAnchor"/>
          <w:rtl w:val="true"/>
        </w:rPr>
        <w:footnoteReference w:id="2663"/>
      </w:r>
      <w:r>
        <w:rPr>
          <w:rFonts w:ascii="IRNazanin" w:hAnsi="IRNazanin" w:eastAsia="IRNazanin"/>
          <w:color w:val="111111"/>
          <w:sz w:val="28"/>
          <w:sz w:val="28"/>
          <w:szCs w:val="28"/>
          <w:rtl w:val="true"/>
          <w:lang w:bidi="fa-IR"/>
        </w:rPr>
        <w:t>، و فی روضة الطالبین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قطع الجمهور</w:t>
      </w:r>
      <w:r>
        <w:rPr>
          <w:rFonts w:eastAsia="IRNazanin" w:cs="IRNazanin"/>
          <w:color w:val="111111"/>
          <w:sz w:val="28"/>
          <w:szCs w:val="28"/>
          <w:rtl w:val="true"/>
          <w:lang w:bidi="fa-IR"/>
        </w:rPr>
        <w:t>»</w:t>
      </w:r>
      <w:r>
        <w:rPr>
          <w:rStyle w:val="FootnoteAnchor"/>
          <w:rtl w:val="true"/>
        </w:rPr>
        <w:footnoteReference w:id="2664"/>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علّله فی الکافی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إذن فی التصرّف فجاز مؤقتاً کالتوکیل</w:t>
      </w:r>
      <w:r>
        <w:rPr>
          <w:rFonts w:eastAsia="IRNazanin" w:cs="IRNazanin"/>
          <w:color w:val="111111"/>
          <w:sz w:val="28"/>
          <w:szCs w:val="28"/>
          <w:rtl w:val="true"/>
          <w:lang w:bidi="fa-IR"/>
        </w:rPr>
        <w:t>»</w:t>
      </w:r>
      <w:r>
        <w:rPr>
          <w:rStyle w:val="FootnoteAnchor"/>
          <w:rtl w:val="true"/>
        </w:rPr>
        <w:footnoteReference w:id="2665"/>
      </w:r>
      <w:r>
        <w:rPr>
          <w:rFonts w:ascii="IRNazanin" w:hAnsi="IRNazanin" w:eastAsia="IRNazanin"/>
          <w:color w:val="111111"/>
          <w:sz w:val="28"/>
          <w:sz w:val="28"/>
          <w:szCs w:val="28"/>
          <w:rtl w:val="true"/>
          <w:lang w:bidi="fa-IR"/>
        </w:rPr>
        <w:t>،</w:t>
      </w:r>
      <w:bookmarkStart w:id="747" w:name="pg11757_135876"/>
    </w:p>
    <w:p>
      <w:pPr>
        <w:pStyle w:val="BookText"/>
        <w:rPr/>
      </w:pPr>
      <w:bookmarkEnd w:id="747"/>
      <w:r>
        <w:rPr>
          <w:rFonts w:ascii="IRNazanin" w:hAnsi="IRNazanin" w:eastAsia="IRNazanin"/>
          <w:color w:val="111111"/>
          <w:sz w:val="28"/>
          <w:sz w:val="28"/>
          <w:szCs w:val="28"/>
          <w:rtl w:val="true"/>
          <w:lang w:bidi="fa-IR"/>
        </w:rPr>
        <w:t>و فی الوسیط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تفویض بعد الموت</w:t>
      </w:r>
      <w:r>
        <w:rPr>
          <w:rFonts w:eastAsia="IRNazanin" w:cs="IRNazanin"/>
          <w:color w:val="111111"/>
          <w:sz w:val="28"/>
          <w:szCs w:val="28"/>
          <w:rtl w:val="true"/>
          <w:lang w:bidi="fa-IR"/>
        </w:rPr>
        <w:t>»</w:t>
      </w:r>
      <w:r>
        <w:rPr>
          <w:rStyle w:val="FootnoteAnchor"/>
          <w:rtl w:val="true"/>
        </w:rPr>
        <w:footnoteReference w:id="2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کشّاف القناع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تصحّ وصیّة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الذی ینتظر أهلیّته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یجعله وصیّاً بعد بلوغه أو بعد حضوره من غیبته، و 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أوصیت إلیک فإذا بلغ ابنی فهو وصیّی صحّ ذلک، فإذا بلغ ابنه صار وصیّه، و مثله فی الصحّة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أوصیت إلیک، فإذا تاب ابنی من فسقه أو صحّ من مرضه أو اشتغل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الوصیّة فی الصور کلّها، و یصیر المذکور وصیّاً عند وجود الشرط؛ للخبر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أمیرکم زید، فإن قتل زید فجعفر، فإن قتل جعفر فعبد اللّه بن رواحة</w:t>
      </w:r>
      <w:r>
        <w:rPr>
          <w:rFonts w:eastAsia="IRNazanin" w:cs="IRNazanin"/>
          <w:color w:val="111111"/>
          <w:sz w:val="28"/>
          <w:szCs w:val="28"/>
          <w:rtl w:val="true"/>
          <w:lang w:bidi="fa-IR"/>
        </w:rPr>
        <w:t>»</w:t>
      </w:r>
      <w:r>
        <w:rPr>
          <w:rStyle w:val="FootnoteAnchor"/>
          <w:rtl w:val="true"/>
        </w:rPr>
        <w:footnoteReference w:id="2667"/>
      </w:r>
      <w:r>
        <w:rPr>
          <w:rFonts w:ascii="IRNazanin" w:hAnsi="IRNazanin" w:eastAsia="IRNazanin"/>
          <w:color w:val="111111"/>
          <w:sz w:val="28"/>
          <w:sz w:val="28"/>
          <w:szCs w:val="28"/>
          <w:rtl w:val="true"/>
          <w:lang w:bidi="fa-IR"/>
        </w:rPr>
        <w:t>، و الوصیّة کالتأمیر</w:t>
      </w:r>
      <w:r>
        <w:rPr>
          <w:rFonts w:eastAsia="IRNazanin" w:cs="IRNazanin"/>
          <w:color w:val="111111"/>
          <w:sz w:val="28"/>
          <w:szCs w:val="28"/>
          <w:rtl w:val="true"/>
          <w:lang w:bidi="fa-IR"/>
        </w:rPr>
        <w:t>»</w:t>
      </w:r>
      <w:r>
        <w:rPr>
          <w:rStyle w:val="FootnoteAnchor"/>
          <w:rtl w:val="true"/>
        </w:rPr>
        <w:footnoteReference w:id="2668"/>
      </w:r>
      <w:r>
        <w:rPr>
          <w:rFonts w:ascii="IRNazanin" w:hAnsi="IRNazanin" w:eastAsia="IRNazanin"/>
          <w:color w:val="111111"/>
          <w:sz w:val="28"/>
          <w:sz w:val="28"/>
          <w:szCs w:val="28"/>
          <w:rtl w:val="true"/>
          <w:lang w:bidi="fa-IR"/>
        </w:rPr>
        <w:t>، و کذا فی المغنی</w:t>
      </w:r>
      <w:r>
        <w:rPr>
          <w:rStyle w:val="FootnoteAnchor"/>
          <w:rtl w:val="true"/>
        </w:rPr>
        <w:footnoteReference w:id="2669"/>
      </w:r>
      <w:r>
        <w:rPr>
          <w:rFonts w:ascii="IRNazanin" w:hAnsi="IRNazanin" w:eastAsia="IRNazanin"/>
          <w:color w:val="111111"/>
          <w:sz w:val="28"/>
          <w:sz w:val="28"/>
          <w:szCs w:val="28"/>
          <w:rtl w:val="true"/>
          <w:lang w:bidi="fa-IR"/>
        </w:rPr>
        <w:t>و الشرح الکبیر</w:t>
      </w:r>
      <w:r>
        <w:rPr>
          <w:rStyle w:val="FootnoteAnchor"/>
          <w:rtl w:val="true"/>
        </w:rPr>
        <w:footnoteReference w:id="2670"/>
      </w:r>
      <w:r>
        <w:rPr>
          <w:rFonts w:ascii="IRNazanin" w:hAnsi="IRNazanin" w:eastAsia="IRNazanin"/>
          <w:color w:val="111111"/>
          <w:sz w:val="28"/>
          <w:sz w:val="28"/>
          <w:szCs w:val="28"/>
          <w:rtl w:val="true"/>
          <w:lang w:bidi="fa-IR"/>
        </w:rPr>
        <w:t>، و یظهر هذا أیضاً من مواهب الجلیل فی فقه المالکی</w:t>
      </w:r>
      <w:r>
        <w:rPr>
          <w:rStyle w:val="FootnoteAnchor"/>
          <w:rtl w:val="true"/>
        </w:rPr>
        <w:footnoteReference w:id="26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8" w:name="__RefHeading___Toc9697069_73709187"/>
      <w:bookmarkStart w:id="749" w:name="_Toc278"/>
      <w:bookmarkEnd w:id="748"/>
      <w:r>
        <w:rPr>
          <w:rtl w:val="true"/>
        </w:rPr>
        <w:t>المطلب الثالث</w:t>
      </w:r>
      <w:r>
        <w:rPr>
          <w:rtl w:val="true"/>
        </w:rPr>
        <w:t xml:space="preserve">: </w:t>
      </w:r>
      <w:r>
        <w:rPr>
          <w:rtl w:val="true"/>
        </w:rPr>
        <w:t>وقت اعتبار البلوغ فی الوصیّ‌</w:t>
      </w:r>
      <w:bookmarkEnd w:id="749"/>
    </w:p>
    <w:p>
      <w:pPr>
        <w:pStyle w:val="Heading6"/>
        <w:numPr>
          <w:ilvl w:val="5"/>
          <w:numId w:val="1"/>
        </w:numPr>
        <w:rPr/>
      </w:pPr>
      <w:bookmarkStart w:id="750" w:name="__RefHeading___Toc9697071_73709187"/>
      <w:bookmarkStart w:id="751" w:name="_Toc279"/>
      <w:bookmarkEnd w:id="750"/>
      <w:r>
        <w:rPr>
          <w:rtl w:val="true"/>
        </w:rPr>
        <w:t>اشارة</w:t>
      </w:r>
      <w:bookmarkEnd w:id="751"/>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تقدیر اعتبار البلوغ و کذا الشروط المعتبرة الاُخری؛ من العقل و الإسلام و العدالة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قول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الحرّیة فی الوصیّ، هل یعتبر وجودها عند الوصیّة، أو عند الموت، أو عند الوصیّة و الموت کلیهما، أو من</w:t>
      </w:r>
    </w:p>
    <w:p>
      <w:pPr>
        <w:pStyle w:val="BookText"/>
        <w:rPr/>
      </w:pPr>
      <w:r>
        <w:rPr>
          <w:rFonts w:ascii="IRNazanin" w:hAnsi="IRNazanin" w:eastAsia="IRNazanin"/>
          <w:color w:val="111111"/>
          <w:sz w:val="28"/>
          <w:sz w:val="28"/>
          <w:szCs w:val="28"/>
          <w:rtl w:val="true"/>
          <w:lang w:bidi="fa-IR"/>
        </w:rPr>
        <w:t>حین الوصیّة إلی أن یموت؟ اختلف الأصحاب فی ذلک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اعتبارها حال الوصیّة بمعنی وجودها قبل الوصیّة و لو بآن ما بمقتضی شرطیّتها، فإنّ الشرط یعتبر تقدّمه علی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الصفات المراعاة فی الوصیّ تعتبر حال الوصیّة،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 الوفاة، فلو أوصی إلی صبیّ فبلغ ثمّ مات الوصیّ صحّت الوصیّة، و کذا الکلام فی الحرّیة و العقل، و الأوّل أشبه</w:t>
      </w:r>
      <w:r>
        <w:rPr>
          <w:rFonts w:eastAsia="IRNazanin" w:cs="IRNazanin"/>
          <w:color w:val="111111"/>
          <w:sz w:val="28"/>
          <w:szCs w:val="28"/>
          <w:rtl w:val="true"/>
          <w:lang w:bidi="fa-IR"/>
        </w:rPr>
        <w:t>»</w:t>
      </w:r>
      <w:r>
        <w:rPr>
          <w:rStyle w:val="FootnoteAnchor"/>
          <w:rtl w:val="true"/>
        </w:rPr>
        <w:footnoteReference w:id="26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إرشاد الأذهان</w:t>
      </w:r>
      <w:r>
        <w:rPr>
          <w:rStyle w:val="FootnoteAnchor"/>
          <w:rtl w:val="true"/>
        </w:rPr>
        <w:footnoteReference w:id="2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استقربه فی القواعد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تعتبر الشروط حالة الوصیّة أو الوفاة؟ خلاف أقربه الأوّل، فلو أوصی إلی طفل أو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فالأقرب البطلان</w:t>
      </w:r>
      <w:r>
        <w:rPr>
          <w:rFonts w:eastAsia="IRNazanin" w:cs="IRNazanin"/>
          <w:color w:val="111111"/>
          <w:sz w:val="28"/>
          <w:szCs w:val="28"/>
          <w:rtl w:val="true"/>
          <w:lang w:bidi="fa-IR"/>
        </w:rPr>
        <w:t>»</w:t>
      </w:r>
      <w:r>
        <w:rPr>
          <w:rStyle w:val="FootnoteAnchor"/>
          <w:rtl w:val="true"/>
        </w:rPr>
        <w:footnoteReference w:id="2674"/>
      </w:r>
      <w:r>
        <w:rPr>
          <w:rFonts w:ascii="IRNazanin" w:hAnsi="IRNazanin" w:eastAsia="IRNazanin"/>
          <w:color w:val="111111"/>
          <w:sz w:val="28"/>
          <w:sz w:val="28"/>
          <w:szCs w:val="28"/>
          <w:rtl w:val="true"/>
          <w:lang w:bidi="fa-IR"/>
        </w:rPr>
        <w:t>، و اختاره فی اللمعة</w:t>
      </w:r>
      <w:r>
        <w:rPr>
          <w:rStyle w:val="FootnoteAnchor"/>
          <w:rtl w:val="true"/>
        </w:rPr>
        <w:footnoteReference w:id="2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فی التذکرة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لأنّها شروط العقد فتعتبر حال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لا بدّ من اعتبارها عند الوصایة لأنّها حالة التفویض</w:t>
      </w:r>
      <w:r>
        <w:rPr>
          <w:rFonts w:eastAsia="IRNazanin" w:cs="IRNazanin"/>
          <w:color w:val="111111"/>
          <w:sz w:val="28"/>
          <w:szCs w:val="28"/>
          <w:rtl w:val="true"/>
          <w:lang w:bidi="fa-IR"/>
        </w:rPr>
        <w:t>»</w:t>
      </w:r>
      <w:r>
        <w:rPr>
          <w:rStyle w:val="FootnoteAnchor"/>
          <w:rtl w:val="true"/>
        </w:rPr>
        <w:footnoteReference w:id="2676"/>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هذه المذکورات شرائط صحّة الوصیّة، فإذا لم تکن حالة إنشائها موجودة لم یکن العقد صحیحاً؛ لأنّ عدم الشرط یوجب عدم المشروط کما فی شرائط سائر العقود؛ و لأنّه فی وقت الوصیّة ممنوع من التفویض إلی من لیس بالصفات، و النهی فی المعاملات إذا توجّه إلی رکن العقد دلّ علی الفساد، و لأنّه یجب فی الوصیّ أن یکون بحیث لو مات الموصی کان نافذ التصرّف مشتملاً علی صفات الوصایة، و هو هنا منتف، لأنّ الموصی لو</w:t>
      </w:r>
    </w:p>
    <w:p>
      <w:pPr>
        <w:pStyle w:val="BookText"/>
        <w:rPr/>
      </w:pPr>
      <w:r>
        <w:rPr>
          <w:rFonts w:ascii="IRNazanin" w:hAnsi="IRNazanin" w:eastAsia="IRNazanin"/>
          <w:color w:val="111111"/>
          <w:sz w:val="28"/>
          <w:sz w:val="28"/>
          <w:szCs w:val="28"/>
          <w:rtl w:val="true"/>
          <w:lang w:bidi="fa-IR"/>
        </w:rPr>
        <w:t>مات فی هذه الحال لم یکن الوصیّ أهلاً لها</w:t>
      </w:r>
      <w:r>
        <w:rPr>
          <w:rFonts w:eastAsia="IRNazanin" w:cs="IRNazanin"/>
          <w:color w:val="111111"/>
          <w:sz w:val="28"/>
          <w:szCs w:val="28"/>
          <w:rtl w:val="true"/>
          <w:lang w:bidi="fa-IR"/>
        </w:rPr>
        <w:t>»</w:t>
      </w:r>
      <w:r>
        <w:rPr>
          <w:rStyle w:val="FootnoteAnchor"/>
          <w:rtl w:val="true"/>
        </w:rPr>
        <w:footnoteReference w:id="2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مصادرة؛ إذ کون هذه الشروط شرطاً للنصب حال إنشائه أوّل البحث، و هکذا کونه منهیّاً وقت ذلک عن النصب، کما فی الجواهر</w:t>
      </w:r>
      <w:r>
        <w:rPr>
          <w:rStyle w:val="FootnoteAnchor"/>
          <w:rtl w:val="true"/>
        </w:rPr>
        <w:footnoteReference w:id="2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أورد فی المسالک علی الأخیر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یکتفی بوجودها حالة الموت یحصل علی مذهبه المطلوب، فإنّ الموصی إذا فرض موته بعد الوصایة بلا فصل قبل أن یتّصف الوصیّ بالصفات، لا یکون نافذ التصرّف، من حیث إنّ الموصی قد مات، و هو غیر جامع لها، و ذلک کاف فی البطلان</w:t>
      </w:r>
      <w:r>
        <w:rPr>
          <w:rFonts w:eastAsia="IRNazanin" w:cs="IRNazanin"/>
          <w:color w:val="111111"/>
          <w:sz w:val="28"/>
          <w:szCs w:val="28"/>
          <w:rtl w:val="true"/>
          <w:lang w:bidi="fa-IR"/>
        </w:rPr>
        <w:t>»</w:t>
      </w:r>
      <w:r>
        <w:rPr>
          <w:rStyle w:val="FootnoteAnchor"/>
          <w:rtl w:val="true"/>
        </w:rPr>
        <w:footnoteReference w:id="2679"/>
      </w:r>
      <w:r>
        <w:rPr>
          <w:rFonts w:ascii="IRNazanin" w:hAnsi="IRNazanin" w:eastAsia="IRNazanin"/>
          <w:color w:val="111111"/>
          <w:sz w:val="28"/>
          <w:sz w:val="28"/>
          <w:szCs w:val="28"/>
          <w:rtl w:val="true"/>
          <w:lang w:bidi="fa-IR"/>
        </w:rPr>
        <w:t>، و سیأتی فی ذلک زیادة 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المعتبر اجتماعها حین الوفاة، فلو أوصی إلی صبیّ فبلغ ثمّ مات الموصی بعد البلوغ صحّت الوصیّة، قال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فی أنّ هذه الشرائط تعتبر حالة موت الموصی</w:t>
      </w:r>
      <w:r>
        <w:rPr>
          <w:rFonts w:eastAsia="IRNazanin" w:cs="IRNazanin"/>
          <w:color w:val="111111"/>
          <w:sz w:val="28"/>
          <w:szCs w:val="28"/>
          <w:rtl w:val="true"/>
          <w:lang w:bidi="fa-IR"/>
        </w:rPr>
        <w:t>»</w:t>
      </w:r>
      <w:r>
        <w:rPr>
          <w:rStyle w:val="FootnoteAnchor"/>
          <w:rtl w:val="true"/>
        </w:rPr>
        <w:footnoteReference w:id="2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إیضاح الفوائد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الحقّ عندی اشتراطها من حین الوفاة مدّة بقائها</w:t>
      </w:r>
      <w:r>
        <w:rPr>
          <w:rFonts w:eastAsia="IRNazanin" w:cs="IRNazanin"/>
          <w:color w:val="111111"/>
          <w:sz w:val="28"/>
          <w:szCs w:val="28"/>
          <w:rtl w:val="true"/>
          <w:lang w:bidi="fa-IR"/>
        </w:rPr>
        <w:t>»</w:t>
      </w:r>
      <w:r>
        <w:rPr>
          <w:rStyle w:val="FootnoteAnchor"/>
          <w:rtl w:val="true"/>
        </w:rPr>
        <w:footnoteReference w:id="2681"/>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ادّعی الإجماع أیضاً فی غایة المرام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الوصیّة إنّما تلزم بالموت و یثبت للوصیّ النظر و التصرّف فی تلک الحالة، فالشرائط معتبرة حینئذٍ؛ لأنّ قبل ذلک لا تصرّف و لا ولایة، فلا فائدة فی اعتبار الشرائط قبله</w:t>
      </w:r>
      <w:r>
        <w:rPr>
          <w:rFonts w:eastAsia="IRNazanin" w:cs="IRNazanin"/>
          <w:color w:val="111111"/>
          <w:sz w:val="28"/>
          <w:szCs w:val="28"/>
          <w:rtl w:val="true"/>
          <w:lang w:bidi="fa-IR"/>
        </w:rPr>
        <w:t>»</w:t>
      </w:r>
      <w:r>
        <w:rPr>
          <w:rStyle w:val="FootnoteAnchor"/>
          <w:rtl w:val="true"/>
        </w:rPr>
        <w:footnoteReference w:id="2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 الثانی</w:t>
      </w:r>
      <w:r>
        <w:rPr>
          <w:rStyle w:val="FootnoteAnchor"/>
          <w:rtl w:val="true"/>
        </w:rPr>
        <w:footnoteReference w:id="2683"/>
      </w:r>
      <w:r>
        <w:rPr>
          <w:rFonts w:ascii="IRNazanin" w:hAnsi="IRNazanin" w:eastAsia="IRNazanin"/>
          <w:color w:val="111111"/>
          <w:sz w:val="28"/>
          <w:sz w:val="28"/>
          <w:szCs w:val="28"/>
          <w:rtl w:val="true"/>
          <w:lang w:bidi="fa-IR"/>
        </w:rPr>
        <w:t>الموافق لمقتضی عمومات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تخصیصها علی ما تیقّن من شرطیّة هذه الأشیاء فی الوصیّ، بمعنی المتلبّس بالولایة، و أوّل آنات تلبّسه بذلک مع الإطلاق من حین الوفاة، فتعتبر الشرائط ذلک الوقت؛ إذ هو قبل ذلک لیس بوصیّ بمعنی تحقّق الولایة، بل أقصاه وقوع العبارة التی تقتضی نصبه حین الوفاة إذا جمع غیرها من الشرائط ذلک الوقت، ففقدها قبل تلبّسه بالولایة غیر ضائر</w:t>
      </w:r>
      <w:r>
        <w:rPr>
          <w:rFonts w:eastAsia="IRNazanin" w:cs="IRNazanin"/>
          <w:color w:val="111111"/>
          <w:sz w:val="28"/>
          <w:szCs w:val="28"/>
          <w:rtl w:val="true"/>
          <w:lang w:bidi="fa-IR"/>
        </w:rPr>
        <w:t>»</w:t>
      </w:r>
      <w:r>
        <w:rPr>
          <w:rStyle w:val="FootnoteAnchor"/>
          <w:rtl w:val="true"/>
        </w:rPr>
        <w:footnoteReference w:id="2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الشرائط فی الحالین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وقت الوصیّة و عند الوفاة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مختار الشیخ،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قال یعتبر فی الحالین معاً، حین الموت و حین الوصیّة فی الطرفین معاً؛ لأنّ حال الوفاة حال ثبوت التصرّف، و حال الوصیّة حال القبول، فوجب اعتبار الشروط فیهما، و هذا هو الأقوی</w:t>
      </w:r>
      <w:r>
        <w:rPr>
          <w:rFonts w:eastAsia="IRNazanin" w:cs="IRNazanin"/>
          <w:color w:val="111111"/>
          <w:sz w:val="28"/>
          <w:szCs w:val="28"/>
          <w:rtl w:val="true"/>
          <w:lang w:bidi="fa-IR"/>
        </w:rPr>
        <w:t>»</w:t>
      </w:r>
      <w:r>
        <w:rPr>
          <w:rStyle w:val="FootnoteAnchor"/>
          <w:rtl w:val="true"/>
        </w:rPr>
        <w:footnoteReference w:id="2685"/>
      </w:r>
      <w:r>
        <w:rPr>
          <w:rFonts w:ascii="IRNazanin" w:hAnsi="IRNazanin" w:eastAsia="IRNazanin"/>
          <w:color w:val="111111"/>
          <w:sz w:val="28"/>
          <w:sz w:val="28"/>
          <w:szCs w:val="28"/>
          <w:rtl w:val="true"/>
          <w:lang w:bidi="fa-IR"/>
        </w:rPr>
        <w:t>، و تبعه ابن إدریس</w:t>
      </w:r>
      <w:r>
        <w:rPr>
          <w:rStyle w:val="FootnoteAnchor"/>
          <w:rtl w:val="true"/>
        </w:rPr>
        <w:footnoteReference w:id="2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الشرائط من حین الوصیّة إلی حین الوفاة، نسبه الشیخ إلی بعض الناس،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الناس من قال یعتبر فی عموم الأحوال، من حین الوصیّة إلی حین الوفاة</w:t>
      </w:r>
      <w:r>
        <w:rPr>
          <w:rFonts w:eastAsia="IRNazanin" w:cs="IRNazanin"/>
          <w:color w:val="111111"/>
          <w:sz w:val="28"/>
          <w:szCs w:val="28"/>
          <w:rtl w:val="true"/>
          <w:lang w:bidi="fa-IR"/>
        </w:rPr>
        <w:t>»</w:t>
      </w:r>
      <w:r>
        <w:rPr>
          <w:rStyle w:val="FootnoteAnchor"/>
          <w:rtl w:val="true"/>
        </w:rPr>
        <w:footnoteReference w:id="2687"/>
      </w:r>
      <w:r>
        <w:rPr>
          <w:rFonts w:ascii="IRNazanin" w:hAnsi="IRNazanin" w:eastAsia="IRNazanin"/>
          <w:color w:val="111111"/>
          <w:sz w:val="28"/>
          <w:sz w:val="28"/>
          <w:szCs w:val="28"/>
          <w:rtl w:val="true"/>
          <w:lang w:bidi="fa-IR"/>
        </w:rPr>
        <w:t>، و اختاره فی الدروس</w:t>
      </w:r>
      <w:r>
        <w:rPr>
          <w:rStyle w:val="FootnoteAnchor"/>
          <w:rtl w:val="true"/>
        </w:rPr>
        <w:footnoteReference w:id="2688"/>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أولی و استدلّ علیه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حین الوصیّة فلما تقدّم</w:t>
      </w:r>
    </w:p>
    <w:p>
      <w:pPr>
        <w:pStyle w:val="BookText"/>
        <w:rPr/>
      </w:pPr>
      <w:r>
        <w:rPr>
          <w:rFonts w:ascii="IRNazanin" w:hAnsi="IRNazanin" w:eastAsia="IRNazanin"/>
          <w:color w:val="111111"/>
          <w:sz w:val="28"/>
          <w:sz w:val="28"/>
          <w:szCs w:val="28"/>
          <w:rtl w:val="true"/>
          <w:lang w:bidi="fa-IR"/>
        </w:rPr>
        <w:t>فی توجیه القول الأوّل، و أمّا استمرارها إلی حین الوفاة فلأنّ الوصایة من العقود الجائزة، فمتی عرض اختلال أحد شرائطها بطلت کنظائرها؛ و لأنّ المعتبر فی کلّ شرط حصوله فی جمیع أوقات المشروط‌</w:t>
      </w:r>
      <w:r>
        <w:rPr>
          <w:rStyle w:val="FootnoteAnchor"/>
          <w:rtl w:val="true"/>
        </w:rPr>
        <w:footnoteReference w:id="2689"/>
      </w:r>
      <w:r>
        <w:rPr>
          <w:rFonts w:ascii="IRNazanin" w:hAnsi="IRNazanin" w:eastAsia="IRNazanin"/>
          <w:color w:val="111111"/>
          <w:sz w:val="28"/>
          <w:sz w:val="28"/>
          <w:szCs w:val="28"/>
          <w:rtl w:val="true"/>
          <w:lang w:bidi="fa-IR"/>
        </w:rPr>
        <w:t>، فمتی اختلّ فی أثناء الفعل وجب فوات المشروط إلّا ما استثنی فی قلیل من الموارد بدلیل خارج، 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یستثنی منه شیء؛ لأنّ ما خرج عن ذلک یدّعی أنّ الفعل المحکوم بصحّته عند فوات الشرط لیس مشروطاً به مطلقاً، بل فی بعض الأحوال دون بعض</w:t>
      </w:r>
      <w:r>
        <w:rPr>
          <w:rFonts w:eastAsia="IRNazanin" w:cs="IRNazanin"/>
          <w:color w:val="111111"/>
          <w:sz w:val="28"/>
          <w:szCs w:val="28"/>
          <w:rtl w:val="true"/>
          <w:lang w:bidi="fa-IR"/>
        </w:rPr>
        <w:t>»</w:t>
      </w:r>
      <w:r>
        <w:rPr>
          <w:rStyle w:val="FootnoteAnchor"/>
          <w:rtl w:val="true"/>
        </w:rPr>
        <w:footnoteReference w:id="2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المعتبر وجود الشرائط من حال الوصیّة إلی أن ینتهی متعلّقها، بأن یبلغ الطفل و یخرج الوصایا و یقضی الدیون و غیر ذلک؛ لأنّ اشتراط هذه الاُمور یقتضی فوات مشروطها متی فات بعضها فی کلّ وقت، فلو فرض فوات بعضها بعد الوصیّة قبل انتهاء الولایة بطلت، و هو اختیار الشهید الثانی فی المسالک</w:t>
      </w:r>
      <w:r>
        <w:rPr>
          <w:rStyle w:val="FootnoteAnchor"/>
          <w:rtl w:val="true"/>
        </w:rPr>
        <w:footnoteReference w:id="2691"/>
      </w:r>
      <w:r>
        <w:rPr>
          <w:rFonts w:ascii="IRNazanin" w:hAnsi="IRNazanin" w:eastAsia="IRNazanin"/>
          <w:color w:val="111111"/>
          <w:sz w:val="28"/>
          <w:sz w:val="28"/>
          <w:szCs w:val="28"/>
          <w:rtl w:val="true"/>
          <w:lang w:bidi="fa-IR"/>
        </w:rPr>
        <w:t>و حاشیة الإرشاد</w:t>
      </w:r>
      <w:r>
        <w:rPr>
          <w:rStyle w:val="FootnoteAnchor"/>
          <w:rtl w:val="true"/>
        </w:rPr>
        <w:footnoteReference w:id="2692"/>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هذه الأقوال کلّها علی أنّ الوصیّة عقد، فیجب أن یراعی فیه ما یراعی فی سائر العقود، و الظاهر أنّ کونها عقداً و إن کان هو المشهور فی کلامهم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ظاهرهم الاتّفاق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لم یقم علیه دلیل ترکن النفس إلیه، بل ربما ظهر من الأخبار خلافه؛ لأنّ غایة ما یستفاد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الوصیّة بالنسبة إلی الموصی له لا تخرج عن العطیّة، و بالنسبة إلی الوصایة لا تخرج عن</w:t>
      </w:r>
    </w:p>
    <w:p>
      <w:pPr>
        <w:pStyle w:val="BookText"/>
        <w:rPr/>
      </w:pPr>
      <w:r>
        <w:rPr>
          <w:rFonts w:ascii="IRNazanin" w:hAnsi="IRNazanin" w:eastAsia="IRNazanin"/>
          <w:color w:val="111111"/>
          <w:sz w:val="28"/>
          <w:sz w:val="28"/>
          <w:szCs w:val="28"/>
          <w:rtl w:val="true"/>
          <w:lang w:bidi="fa-IR"/>
        </w:rPr>
        <w:t>الإذن و الاستنابة، و لا عقد هنا بالکلّیّة، کما فی الحدائق</w:t>
      </w:r>
      <w:r>
        <w:rPr>
          <w:rStyle w:val="FootnoteAnchor"/>
          <w:rtl w:val="true"/>
        </w:rPr>
        <w:footnoteReference w:id="2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الظاهر أنّه لا مجال للالتزام بکون الوصیّة من العقود، و 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العقد إنّما هو عبارة عن ضمّ التزام إلی التزام و ربط أحدهما بالآخر، کما هو الحال فی عقد حبل بحبل آخر، و هو غیر متحقّق فی المقام؛ إذ لا یبقی التزام للموصی بعد وفاته کی ینضمّ إلیه التزام الموصی له، فإنّ المیّت لا التزام له، و من هنا فلو اعتبر القبول فیها فلا بدّ من جعله شرطاً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کشفاً أو نقلاً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محالة؛ لاستحالة القول بکون الوصیّة عقداً، فتکون من الإیقاعات، کما فی مبانی العروة</w:t>
      </w:r>
      <w:r>
        <w:rPr>
          <w:rStyle w:val="FootnoteAnchor"/>
          <w:rtl w:val="true"/>
        </w:rPr>
        <w:footnoteReference w:id="2694"/>
      </w:r>
      <w:r>
        <w:rPr>
          <w:rFonts w:ascii="IRNazanin" w:hAnsi="IRNazanin" w:eastAsia="IRNazanin"/>
          <w:color w:val="111111"/>
          <w:sz w:val="28"/>
          <w:sz w:val="28"/>
          <w:szCs w:val="28"/>
          <w:rtl w:val="true"/>
          <w:lang w:bidi="fa-IR"/>
        </w:rPr>
        <w:t>، و فی العروة و المستمسک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علیه 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الإیقاع الصریح</w:t>
      </w:r>
      <w:r>
        <w:rPr>
          <w:rFonts w:eastAsia="IRNazanin" w:cs="IRNazanin"/>
          <w:color w:val="111111"/>
          <w:sz w:val="28"/>
          <w:szCs w:val="28"/>
          <w:rtl w:val="true"/>
          <w:lang w:bidi="fa-IR"/>
        </w:rPr>
        <w:t>»</w:t>
      </w:r>
      <w:r>
        <w:rPr>
          <w:rStyle w:val="FootnoteAnchor"/>
          <w:rtl w:val="true"/>
        </w:rPr>
        <w:footnoteReference w:id="2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أنّه علی فرض کون الوصیّة من العقود فلا دلیل علی لزوم القبول فیها فوراً، بل تفترق من غیرها بجواز تأخیر القبول عن الإیجاب و لو بأن یکون بعد وفاة الموصی، کما فی الحدائق</w:t>
      </w:r>
      <w:r>
        <w:rPr>
          <w:rStyle w:val="FootnoteAnchor"/>
          <w:rtl w:val="true"/>
        </w:rPr>
        <w:footnoteReference w:id="2696"/>
      </w:r>
      <w:r>
        <w:rPr>
          <w:rFonts w:ascii="IRNazanin" w:hAnsi="IRNazanin" w:eastAsia="IRNazanin"/>
          <w:color w:val="111111"/>
          <w:sz w:val="28"/>
          <w:sz w:val="28"/>
          <w:szCs w:val="28"/>
          <w:rtl w:val="true"/>
          <w:lang w:bidi="fa-IR"/>
        </w:rPr>
        <w:t>و الدروس</w:t>
      </w:r>
      <w:r>
        <w:rPr>
          <w:rStyle w:val="FootnoteAnchor"/>
          <w:rtl w:val="true"/>
        </w:rPr>
        <w:footnoteReference w:id="2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موضع وفاق</w:t>
      </w:r>
      <w:r>
        <w:rPr>
          <w:rFonts w:eastAsia="IRNazanin" w:cs="IRNazanin"/>
          <w:color w:val="111111"/>
          <w:sz w:val="28"/>
          <w:szCs w:val="28"/>
          <w:rtl w:val="true"/>
          <w:lang w:bidi="fa-IR"/>
        </w:rPr>
        <w:t>»</w:t>
      </w:r>
      <w:r>
        <w:rPr>
          <w:rStyle w:val="FootnoteAnchor"/>
          <w:rtl w:val="true"/>
        </w:rPr>
        <w:footnoteReference w:id="26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تفصیل الشریعة</w:t>
      </w:r>
      <w:r>
        <w:rPr>
          <w:rStyle w:val="FootnoteAnchor"/>
          <w:rtl w:val="true"/>
        </w:rPr>
        <w:footnoteReference w:id="2699"/>
      </w:r>
      <w:r>
        <w:rPr>
          <w:rFonts w:ascii="IRNazanin" w:hAnsi="IRNazanin" w:eastAsia="IRNazanin"/>
          <w:color w:val="111111"/>
          <w:sz w:val="28"/>
          <w:sz w:val="28"/>
          <w:szCs w:val="28"/>
          <w:rtl w:val="true"/>
          <w:lang w:bidi="fa-IR"/>
        </w:rPr>
        <w:t>و غیرها</w:t>
      </w:r>
      <w:r>
        <w:rPr>
          <w:rStyle w:val="FootnoteAnchor"/>
          <w:rtl w:val="true"/>
        </w:rPr>
        <w:footnoteReference w:id="2700"/>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إشکال فی أن یکون جواب الصبیّ بعد بلوغه، و قد تقدّم أنّ وصایته صحیحة و إن توقّف تصرّفه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تنجیز ولایته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بلوغه</w:t>
      </w:r>
      <w:r>
        <w:rPr>
          <w:rFonts w:eastAsia="IRNazanin" w:cs="IRNazanin"/>
          <w:color w:val="111111"/>
          <w:sz w:val="28"/>
          <w:szCs w:val="28"/>
          <w:rtl w:val="true"/>
          <w:lang w:bidi="fa-IR"/>
        </w:rPr>
        <w:t>.</w:t>
      </w:r>
      <w:bookmarkStart w:id="752" w:name="pg11757_135882"/>
    </w:p>
    <w:p>
      <w:pPr>
        <w:pStyle w:val="BookText"/>
        <w:rPr/>
      </w:pPr>
      <w:bookmarkEnd w:id="752"/>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الأقوی اعتبار البلوغ و کذا الشروط الاُخری وقت تصرّف الوصیّ، و أمّا قبله فلا دلیل علی لزومه، فلو مات الموصی و لم یتحقّق البلوغ للصبیّ لم تکن الوصیّة باطلة، بل یتولّی الحاکم الاُمور الضروریّة فیها حتّی یبلغ الصبیّ، فإذا بلغ و تحقّقت شرطیّة نفوذ الوصیّة یتولّاها هو بنفسه، و سیأتی قریباً أنّ قاطبة الفقهاء صرّحوا بذلک فی وصایة الصبیّ منضمّاً إلی الکبیر</w:t>
      </w:r>
      <w:r>
        <w:rPr>
          <w:rFonts w:eastAsia="IRNazanin" w:cs="IRNazanin"/>
          <w:color w:val="111111"/>
          <w:sz w:val="28"/>
          <w:szCs w:val="28"/>
          <w:rtl w:val="true"/>
          <w:lang w:bidi="fa-IR"/>
        </w:rPr>
        <w:t>.</w:t>
      </w:r>
    </w:p>
    <w:p>
      <w:pPr>
        <w:pStyle w:val="Heading6"/>
        <w:numPr>
          <w:ilvl w:val="5"/>
          <w:numId w:val="1"/>
        </w:numPr>
        <w:rPr/>
      </w:pPr>
      <w:bookmarkStart w:id="753" w:name="__RefHeading___Toc9697073_73709187"/>
      <w:bookmarkStart w:id="754" w:name="_Toc280"/>
      <w:bookmarkEnd w:id="753"/>
      <w:r>
        <w:rPr>
          <w:rtl w:val="true"/>
        </w:rPr>
        <w:t>وقت اعتبار البلوغ فی الوصیّ عند أهل السنّة</w:t>
      </w:r>
      <w:bookmarkEnd w:id="754"/>
    </w:p>
    <w:p>
      <w:pPr>
        <w:pStyle w:val="BookText"/>
        <w:rPr/>
      </w:pPr>
      <w:r>
        <w:rPr>
          <w:rFonts w:ascii="IRNazanin" w:hAnsi="IRNazanin" w:eastAsia="IRNazanin"/>
          <w:color w:val="111111"/>
          <w:sz w:val="28"/>
          <w:sz w:val="28"/>
          <w:szCs w:val="28"/>
          <w:rtl w:val="true"/>
          <w:lang w:bidi="fa-IR"/>
        </w:rPr>
        <w:t>ذکروا وجوهاً متعدّدة فی الوقت الذی تعتبر فیه الشروط التی تصلح بها الوصیّة من البلوغ و غیره، و هی کالآتی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وجود هذه الشروط حال العقد فقط، و هذا أحد الوجهین للحنابلة، بل نسبه المرداوی إلی مذهب الحنابلة</w:t>
      </w:r>
      <w:r>
        <w:rPr>
          <w:rStyle w:val="FootnoteAnchor"/>
          <w:rtl w:val="true"/>
        </w:rPr>
        <w:footnoteReference w:id="2701"/>
      </w:r>
      <w:r>
        <w:rPr>
          <w:rFonts w:ascii="IRNazanin" w:hAnsi="IRNazanin" w:eastAsia="IRNazanin"/>
          <w:color w:val="111111"/>
          <w:sz w:val="28"/>
          <w:sz w:val="28"/>
          <w:szCs w:val="28"/>
          <w:rtl w:val="true"/>
          <w:lang w:bidi="fa-IR"/>
        </w:rPr>
        <w:t>، جاء فی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تعتبر هذه الشروط حال العقد فی أحد الوجهین؛ لأنّها شروط للعقد، فاعتبرت حال وجوده کسائر العقود</w:t>
      </w:r>
      <w:r>
        <w:rPr>
          <w:rFonts w:eastAsia="IRNazanin" w:cs="IRNazanin"/>
          <w:color w:val="111111"/>
          <w:sz w:val="28"/>
          <w:szCs w:val="28"/>
          <w:rtl w:val="true"/>
          <w:lang w:bidi="fa-IR"/>
        </w:rPr>
        <w:t>»</w:t>
      </w:r>
      <w:r>
        <w:rPr>
          <w:rStyle w:val="FootnoteAnchor"/>
          <w:rtl w:val="true"/>
        </w:rPr>
        <w:footnoteReference w:id="27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المغنی</w:t>
      </w:r>
      <w:r>
        <w:rPr>
          <w:rStyle w:val="FootnoteAnchor"/>
          <w:rtl w:val="true"/>
        </w:rPr>
        <w:footnoteReference w:id="2703"/>
      </w:r>
      <w:r>
        <w:rPr>
          <w:rFonts w:ascii="IRNazanin" w:hAnsi="IRNazanin" w:eastAsia="IRNazanin"/>
          <w:color w:val="111111"/>
          <w:sz w:val="28"/>
          <w:sz w:val="28"/>
          <w:szCs w:val="28"/>
          <w:rtl w:val="true"/>
          <w:lang w:bidi="fa-IR"/>
        </w:rPr>
        <w:t>و الشرح الکبیر</w:t>
      </w:r>
      <w:r>
        <w:rPr>
          <w:rStyle w:val="FootnoteAnchor"/>
          <w:rtl w:val="true"/>
        </w:rPr>
        <w:footnoteReference w:id="2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هذا یستفاد من کلام أبی حنیفة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بلغ الصبیّ قبل أن یخرجه القاضی من الوصایة لا یکون وصیّاً</w:t>
      </w:r>
      <w:r>
        <w:rPr>
          <w:rFonts w:eastAsia="IRNazanin" w:cs="IRNazanin"/>
          <w:color w:val="111111"/>
          <w:sz w:val="28"/>
          <w:szCs w:val="28"/>
          <w:rtl w:val="true"/>
          <w:lang w:bidi="fa-IR"/>
        </w:rPr>
        <w:t>»</w:t>
      </w:r>
      <w:r>
        <w:rPr>
          <w:rStyle w:val="FootnoteAnchor"/>
          <w:rtl w:val="true"/>
        </w:rPr>
        <w:footnoteReference w:id="2705"/>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وجودها عند الوفاة فقط، و هو قول بعض أصحاب الشافعی، و أحد الوجهین عند الحنابلة، قال النووی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ما اعتبر من</w:t>
      </w:r>
    </w:p>
    <w:p>
      <w:pPr>
        <w:pStyle w:val="BookText"/>
        <w:rPr/>
      </w:pPr>
      <w:r>
        <w:rPr>
          <w:rFonts w:ascii="IRNazanin" w:hAnsi="IRNazanin" w:eastAsia="IRNazanin"/>
          <w:color w:val="111111"/>
          <w:sz w:val="28"/>
          <w:sz w:val="28"/>
          <w:szCs w:val="28"/>
          <w:rtl w:val="true"/>
          <w:lang w:bidi="fa-IR"/>
        </w:rPr>
        <w:t>الشروط ففی وقت اعتباره ثلاثة أوجه، أصحّها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حاله عند الموت</w:t>
      </w:r>
      <w:r>
        <w:rPr>
          <w:rFonts w:eastAsia="IRNazanin" w:cs="IRNazanin"/>
          <w:color w:val="111111"/>
          <w:sz w:val="28"/>
          <w:szCs w:val="28"/>
          <w:rtl w:val="true"/>
          <w:lang w:bidi="fa-IR"/>
        </w:rPr>
        <w:t>»</w:t>
      </w:r>
      <w:r>
        <w:rPr>
          <w:rStyle w:val="FootnoteAnchor"/>
          <w:rtl w:val="true"/>
        </w:rPr>
        <w:footnoteReference w:id="2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إعانة الطالبین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تعتبر الشروط المذکورة عند الموت، لا عند الإیصاء و لا بینهما؛ لأنّه وقت التسلّط علی القبول حتّی لو أوصی لمن خلا عن الشروط أو بعضها کصبیّ و رقیق ثمّ استکملها عند الموت صحّ</w:t>
      </w:r>
      <w:r>
        <w:rPr>
          <w:rFonts w:eastAsia="IRNazanin" w:cs="IRNazanin"/>
          <w:color w:val="111111"/>
          <w:sz w:val="28"/>
          <w:szCs w:val="28"/>
          <w:rtl w:val="true"/>
          <w:lang w:bidi="fa-IR"/>
        </w:rPr>
        <w:t>»</w:t>
      </w:r>
      <w:r>
        <w:rPr>
          <w:rStyle w:val="FootnoteAnchor"/>
          <w:rtl w:val="true"/>
        </w:rPr>
        <w:footnoteReference w:id="27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مغنی المحتاج</w:t>
      </w:r>
      <w:r>
        <w:rPr>
          <w:rStyle w:val="FootnoteAnchor"/>
          <w:rtl w:val="true"/>
        </w:rPr>
        <w:footnoteReference w:id="2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فی المجموع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التّصرف بعد الموت، فاعتبرت الشروط عنده، کما تعتبر عدالة الشهود عند الأداء أو الحکم دون التحمّل</w:t>
      </w:r>
      <w:r>
        <w:rPr>
          <w:rFonts w:eastAsia="IRNazanin" w:cs="IRNazanin"/>
          <w:color w:val="111111"/>
          <w:sz w:val="28"/>
          <w:szCs w:val="28"/>
          <w:rtl w:val="true"/>
          <w:lang w:bidi="fa-IR"/>
        </w:rPr>
        <w:t>»</w:t>
      </w:r>
      <w:r>
        <w:rPr>
          <w:rStyle w:val="FootnoteAnchor"/>
          <w:rtl w:val="true"/>
        </w:rPr>
        <w:footnoteReference w:id="27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الکافی</w:t>
      </w:r>
      <w:r>
        <w:rPr>
          <w:rStyle w:val="FootnoteAnchor"/>
          <w:rtl w:val="true"/>
        </w:rPr>
        <w:footnoteReference w:id="2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کشّاف القناع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یعتبر وجود هذه الصفات عند موت الموصی؛ لأنّه الوقت الذی یملک الموصی إلیه التصرّف فیه بالإیصاء، فإن تغیّرت هذه الصفات بعد الوصیّة ثمّ عادت قبل الموت عاد الموصی إلیه إلی عمله؛ لعدم المانع و إن زالت هذه الصفات بعد الموت انعزل؛ لوجود المنافی</w:t>
      </w:r>
      <w:r>
        <w:rPr>
          <w:rFonts w:eastAsia="IRNazanin" w:cs="IRNazanin"/>
          <w:color w:val="111111"/>
          <w:sz w:val="28"/>
          <w:szCs w:val="28"/>
          <w:rtl w:val="true"/>
          <w:lang w:bidi="fa-IR"/>
        </w:rPr>
        <w:t>»</w:t>
      </w:r>
      <w:r>
        <w:rPr>
          <w:rStyle w:val="FootnoteAnchor"/>
          <w:rtl w:val="true"/>
        </w:rPr>
        <w:footnoteReference w:id="2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یستفاد منه أنّه إن وصّی إلی صبیّ فبلغ قبل الوفاة صحّت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وجود هذه الشروط عند العقد و عند الموت و لا یعتبر فیما بینهما، و هو أحد أقوال الشافعیّة و الحنابلة</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یشترط وجود هذه الصفات عند الموت و الوصیّة و فیما</w:t>
      </w:r>
      <w:bookmarkStart w:id="755" w:name="pg11757_135884"/>
    </w:p>
    <w:p>
      <w:pPr>
        <w:pStyle w:val="BookText"/>
        <w:rPr/>
      </w:pPr>
      <w:bookmarkEnd w:id="755"/>
      <w:r>
        <w:rPr>
          <w:rFonts w:ascii="IRNazanin" w:hAnsi="IRNazanin" w:eastAsia="IRNazanin"/>
          <w:color w:val="111111"/>
          <w:sz w:val="28"/>
          <w:sz w:val="28"/>
          <w:szCs w:val="28"/>
          <w:rtl w:val="true"/>
          <w:lang w:bidi="fa-IR"/>
        </w:rPr>
        <w:t>بینهما، و هو أیضاً أحد أقوال الشافعیّة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یعتبر وجود هذه الشروط فی الوصیّ حال العقد و الموت فی أحد الوجهین، و فی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حال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بعض أصحاب الشافعی</w:t>
      </w:r>
      <w:r>
        <w:rPr>
          <w:rFonts w:eastAsia="IRNazanin" w:cs="IRNazanin"/>
          <w:color w:val="111111"/>
          <w:sz w:val="28"/>
          <w:szCs w:val="28"/>
          <w:rtl w:val="true"/>
          <w:lang w:bidi="fa-IR"/>
        </w:rPr>
        <w:t>»</w:t>
      </w:r>
      <w:r>
        <w:rPr>
          <w:rStyle w:val="FootnoteAnchor"/>
          <w:rtl w:val="true"/>
        </w:rPr>
        <w:footnoteReference w:id="2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المجموع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حال العقد حال الإیجاب و حال الموت حال التصرّف فاعتبر فیهما، و منهم من قال تعتبر فی حال الوصیّة و فیما بعدها؛ لأنّ کلّ وقت من ذلک یجوز أن یستحقّ فیه التصرّف بأن یموت، فاعتبرت الشروط فی الجمیع</w:t>
      </w:r>
      <w:r>
        <w:rPr>
          <w:rFonts w:eastAsia="IRNazanin" w:cs="IRNazanin"/>
          <w:color w:val="111111"/>
          <w:sz w:val="28"/>
          <w:szCs w:val="28"/>
          <w:rtl w:val="true"/>
          <w:lang w:bidi="fa-IR"/>
        </w:rPr>
        <w:t>»</w:t>
      </w:r>
      <w:r>
        <w:rPr>
          <w:rStyle w:val="FootnoteAnchor"/>
          <w:rtl w:val="true"/>
        </w:rPr>
        <w:footnoteReference w:id="27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6" w:name="__RefHeading___Toc9697075_73709187"/>
      <w:bookmarkStart w:id="757" w:name="_Toc281"/>
      <w:bookmarkEnd w:id="756"/>
      <w:r>
        <w:rPr>
          <w:rtl w:val="true"/>
        </w:rPr>
        <w:t>المطلب الرابع</w:t>
      </w:r>
      <w:r>
        <w:rPr>
          <w:rtl w:val="true"/>
        </w:rPr>
        <w:t xml:space="preserve">: </w:t>
      </w:r>
      <w:r>
        <w:rPr>
          <w:rtl w:val="true"/>
        </w:rPr>
        <w:t>الإیصاء إلی الصبیّ منضمّاً إلی البالغ</w:t>
      </w:r>
      <w:bookmarkEnd w:id="757"/>
    </w:p>
    <w:p>
      <w:pPr>
        <w:pStyle w:val="Heading6"/>
        <w:numPr>
          <w:ilvl w:val="5"/>
          <w:numId w:val="1"/>
        </w:numPr>
        <w:rPr/>
      </w:pPr>
      <w:bookmarkStart w:id="758" w:name="__RefHeading___Toc9697077_73709187"/>
      <w:bookmarkStart w:id="759" w:name="_Toc282"/>
      <w:bookmarkEnd w:id="758"/>
      <w:r>
        <w:rPr>
          <w:rtl w:val="true"/>
        </w:rPr>
        <w:t>اشارة</w:t>
      </w:r>
      <w:bookmarkEnd w:id="759"/>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المقنعة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بأس أن یوصی الإنسان إلی اثنین، أحدهما صبیّ، بعد أن یکون الآخر کاملاً عاقلاً</w:t>
      </w:r>
      <w:r>
        <w:rPr>
          <w:rFonts w:eastAsia="IRNazanin" w:cs="IRNazanin"/>
          <w:color w:val="111111"/>
          <w:sz w:val="28"/>
          <w:szCs w:val="28"/>
          <w:rtl w:val="true"/>
          <w:lang w:bidi="fa-IR"/>
        </w:rPr>
        <w:t>»</w:t>
      </w:r>
      <w:r>
        <w:rPr>
          <w:rStyle w:val="FootnoteAnchor"/>
          <w:rtl w:val="true"/>
        </w:rPr>
        <w:footnoteReference w:id="2714"/>
      </w:r>
      <w:r>
        <w:rPr>
          <w:rFonts w:ascii="IRNazanin" w:hAnsi="IRNazanin" w:eastAsia="IRNazanin"/>
          <w:color w:val="111111"/>
          <w:sz w:val="28"/>
          <w:sz w:val="28"/>
          <w:szCs w:val="28"/>
          <w:rtl w:val="true"/>
          <w:lang w:bidi="fa-IR"/>
        </w:rPr>
        <w:t>، و کذا فی النهایة</w:t>
      </w:r>
      <w:r>
        <w:rPr>
          <w:rStyle w:val="FootnoteAnchor"/>
          <w:rtl w:val="true"/>
        </w:rPr>
        <w:footnoteReference w:id="2715"/>
      </w:r>
      <w:r>
        <w:rPr>
          <w:rFonts w:ascii="IRNazanin" w:hAnsi="IRNazanin" w:eastAsia="IRNazanin"/>
          <w:color w:val="111111"/>
          <w:sz w:val="28"/>
          <w:sz w:val="28"/>
          <w:szCs w:val="28"/>
          <w:rtl w:val="true"/>
          <w:lang w:bidi="fa-IR"/>
        </w:rPr>
        <w:t>و الشرائع</w:t>
      </w:r>
      <w:r>
        <w:rPr>
          <w:rStyle w:val="FootnoteAnchor"/>
          <w:rtl w:val="true"/>
        </w:rPr>
        <w:footnoteReference w:id="2716"/>
      </w:r>
      <w:r>
        <w:rPr>
          <w:rFonts w:ascii="IRNazanin" w:hAnsi="IRNazanin" w:eastAsia="IRNazanin"/>
          <w:color w:val="111111"/>
          <w:sz w:val="28"/>
          <w:sz w:val="28"/>
          <w:szCs w:val="28"/>
          <w:rtl w:val="true"/>
          <w:lang w:bidi="fa-IR"/>
        </w:rPr>
        <w:t>و المختصر</w:t>
      </w:r>
      <w:r>
        <w:rPr>
          <w:rStyle w:val="FootnoteAnchor"/>
          <w:rtl w:val="true"/>
        </w:rPr>
        <w:footnoteReference w:id="2717"/>
      </w:r>
      <w:r>
        <w:rPr>
          <w:rFonts w:ascii="IRNazanin" w:hAnsi="IRNazanin" w:eastAsia="IRNazanin"/>
          <w:color w:val="111111"/>
          <w:sz w:val="28"/>
          <w:sz w:val="28"/>
          <w:szCs w:val="28"/>
          <w:rtl w:val="true"/>
          <w:lang w:bidi="fa-IR"/>
        </w:rPr>
        <w:t>، و السرائر</w:t>
      </w:r>
      <w:r>
        <w:rPr>
          <w:rStyle w:val="FootnoteAnchor"/>
          <w:rtl w:val="true"/>
        </w:rPr>
        <w:footnoteReference w:id="2718"/>
      </w:r>
      <w:r>
        <w:rPr>
          <w:rFonts w:ascii="IRNazanin" w:hAnsi="IRNazanin" w:eastAsia="IRNazanin"/>
          <w:color w:val="111111"/>
          <w:sz w:val="28"/>
          <w:sz w:val="28"/>
          <w:szCs w:val="28"/>
          <w:rtl w:val="true"/>
          <w:lang w:bidi="fa-IR"/>
        </w:rPr>
        <w:t>، و صرّح به العلّامة فی جملة من کتبه</w:t>
      </w:r>
      <w:r>
        <w:rPr>
          <w:rStyle w:val="FootnoteAnchor"/>
          <w:rtl w:val="true"/>
        </w:rPr>
        <w:footnoteReference w:id="27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المهذّب</w:t>
      </w:r>
      <w:r>
        <w:rPr>
          <w:rStyle w:val="FootnoteAnchor"/>
          <w:rtl w:val="true"/>
        </w:rPr>
        <w:footnoteReference w:id="2720"/>
      </w:r>
      <w:r>
        <w:rPr>
          <w:rFonts w:ascii="IRNazanin" w:hAnsi="IRNazanin" w:eastAsia="IRNazanin"/>
          <w:color w:val="111111"/>
          <w:sz w:val="28"/>
          <w:sz w:val="28"/>
          <w:szCs w:val="28"/>
          <w:rtl w:val="true"/>
          <w:lang w:bidi="fa-IR"/>
        </w:rPr>
        <w:t>،</w:t>
      </w:r>
      <w:bookmarkStart w:id="760" w:name="pg11757_135885"/>
    </w:p>
    <w:p>
      <w:pPr>
        <w:pStyle w:val="BookText"/>
        <w:rPr/>
      </w:pPr>
      <w:bookmarkEnd w:id="760"/>
      <w:r>
        <w:rPr>
          <w:rFonts w:ascii="IRNazanin" w:hAnsi="IRNazanin" w:eastAsia="IRNazanin"/>
          <w:color w:val="111111"/>
          <w:sz w:val="28"/>
          <w:sz w:val="28"/>
          <w:szCs w:val="28"/>
          <w:rtl w:val="true"/>
          <w:lang w:bidi="fa-IR"/>
        </w:rPr>
        <w:t>و المراسم</w:t>
      </w:r>
      <w:r>
        <w:rPr>
          <w:rStyle w:val="FootnoteAnchor"/>
          <w:rtl w:val="true"/>
        </w:rPr>
        <w:footnoteReference w:id="2721"/>
      </w:r>
      <w:r>
        <w:rPr>
          <w:rFonts w:ascii="IRNazanin" w:hAnsi="IRNazanin" w:eastAsia="IRNazanin"/>
          <w:color w:val="111111"/>
          <w:sz w:val="28"/>
          <w:sz w:val="28"/>
          <w:szCs w:val="28"/>
          <w:rtl w:val="true"/>
          <w:lang w:bidi="fa-IR"/>
        </w:rPr>
        <w:t>، و الجامع للشرائع</w:t>
      </w:r>
      <w:r>
        <w:rPr>
          <w:rStyle w:val="FootnoteAnchor"/>
          <w:rtl w:val="true"/>
        </w:rPr>
        <w:footnoteReference w:id="2722"/>
      </w:r>
      <w:r>
        <w:rPr>
          <w:rFonts w:ascii="IRNazanin" w:hAnsi="IRNazanin" w:eastAsia="IRNazanin"/>
          <w:color w:val="111111"/>
          <w:sz w:val="28"/>
          <w:sz w:val="28"/>
          <w:szCs w:val="28"/>
          <w:rtl w:val="true"/>
          <w:lang w:bidi="fa-IR"/>
        </w:rPr>
        <w:t>، و الدروس</w:t>
      </w:r>
      <w:r>
        <w:rPr>
          <w:rStyle w:val="FootnoteAnchor"/>
          <w:rtl w:val="true"/>
        </w:rPr>
        <w:footnoteReference w:id="2723"/>
      </w:r>
      <w:r>
        <w:rPr>
          <w:rFonts w:ascii="Amiri" w:hAnsi="Amiri" w:eastAsia="Amiri" w:cs="Amiri"/>
          <w:color w:val="111111"/>
          <w:sz w:val="28"/>
          <w:sz w:val="28"/>
          <w:szCs w:val="28"/>
          <w:rtl w:val="true"/>
          <w:lang w:bidi="ar-SA"/>
        </w:rPr>
        <w:t>و اللمعة</w:t>
      </w:r>
      <w:r>
        <w:rPr>
          <w:rStyle w:val="FootnoteAnchor"/>
          <w:rtl w:val="true"/>
        </w:rPr>
        <w:footnoteReference w:id="2724"/>
      </w:r>
      <w:r>
        <w:rPr>
          <w:rFonts w:ascii="IRNazanin" w:hAnsi="IRNazanin" w:eastAsia="IRNazanin"/>
          <w:color w:val="111111"/>
          <w:sz w:val="28"/>
          <w:sz w:val="28"/>
          <w:szCs w:val="28"/>
          <w:rtl w:val="true"/>
          <w:lang w:bidi="fa-IR"/>
        </w:rPr>
        <w:t>و المسالک</w:t>
      </w:r>
      <w:r>
        <w:rPr>
          <w:rStyle w:val="FootnoteAnchor"/>
          <w:rtl w:val="true"/>
        </w:rPr>
        <w:footnoteReference w:id="2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جامع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أنّه لا خلاف فی ذلک</w:t>
      </w:r>
      <w:r>
        <w:rPr>
          <w:rFonts w:eastAsia="IRNazanin" w:cs="IRNazanin"/>
          <w:color w:val="111111"/>
          <w:sz w:val="28"/>
          <w:szCs w:val="28"/>
          <w:rtl w:val="true"/>
          <w:lang w:bidi="fa-IR"/>
        </w:rPr>
        <w:t>»</w:t>
      </w:r>
      <w:r>
        <w:rPr>
          <w:rStyle w:val="FootnoteAnchor"/>
          <w:rtl w:val="true"/>
        </w:rPr>
        <w:footnoteReference w:id="2726"/>
      </w:r>
      <w:r>
        <w:rPr>
          <w:rFonts w:ascii="IRNazanin" w:hAnsi="IRNazanin" w:eastAsia="IRNazanin"/>
          <w:color w:val="111111"/>
          <w:sz w:val="28"/>
          <w:sz w:val="28"/>
          <w:szCs w:val="28"/>
          <w:rtl w:val="true"/>
          <w:lang w:bidi="fa-IR"/>
        </w:rPr>
        <w:t>، و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w:t>
      </w:r>
      <w:r>
        <w:rPr>
          <w:rFonts w:eastAsia="IRNazanin" w:cs="IRNazanin"/>
          <w:color w:val="111111"/>
          <w:sz w:val="28"/>
          <w:szCs w:val="28"/>
          <w:rtl w:val="true"/>
          <w:lang w:bidi="fa-IR"/>
        </w:rPr>
        <w:t>»</w:t>
      </w:r>
      <w:r>
        <w:rPr>
          <w:rStyle w:val="FootnoteAnchor"/>
          <w:rtl w:val="true"/>
        </w:rPr>
        <w:footnoteReference w:id="2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أعلام العصر</w:t>
      </w:r>
      <w:r>
        <w:rPr>
          <w:rStyle w:val="FootnoteAnchor"/>
          <w:rtl w:val="true"/>
        </w:rPr>
        <w:footnoteReference w:id="2728"/>
      </w:r>
      <w:r>
        <w:rPr>
          <w:rFonts w:ascii="IRNazanin" w:hAnsi="IRNazanin" w:eastAsia="IRNazanin"/>
          <w:color w:val="111111"/>
          <w:sz w:val="28"/>
          <w:sz w:val="28"/>
          <w:szCs w:val="28"/>
          <w:rtl w:val="true"/>
          <w:lang w:bidi="fa-IR"/>
        </w:rPr>
        <w:t>، جاء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لا تصحّ وصایة الصغیر منفرداً، و أمّا منضمّاً إلی الکامل فلا بأس به</w:t>
      </w:r>
      <w:r>
        <w:rPr>
          <w:rFonts w:eastAsia="IRNazanin" w:cs="IRNazanin"/>
          <w:color w:val="111111"/>
          <w:sz w:val="28"/>
          <w:szCs w:val="28"/>
          <w:rtl w:val="true"/>
          <w:lang w:bidi="fa-IR"/>
        </w:rPr>
        <w:t>»</w:t>
      </w:r>
      <w:r>
        <w:rPr>
          <w:rStyle w:val="FootnoteAnchor"/>
          <w:rtl w:val="true"/>
        </w:rPr>
        <w:footnoteReference w:id="2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تفصیل الشریعة</w:t>
      </w:r>
      <w:r>
        <w:rPr>
          <w:rStyle w:val="FootnoteAnchor"/>
          <w:rtl w:val="true"/>
        </w:rPr>
        <w:footnoteReference w:id="27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61" w:name="__RefHeading___Toc9697079_73709187"/>
      <w:bookmarkStart w:id="762" w:name="_Toc283"/>
      <w:bookmarkEnd w:id="761"/>
      <w:r>
        <w:rPr>
          <w:rtl w:val="true"/>
        </w:rPr>
        <w:t>الأدلّة علی صحّة وصایة الصبیّ منضمّاً</w:t>
      </w:r>
      <w:bookmarkEnd w:id="762"/>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إطلاقات أدلّة الوصایة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الخلاف فیه، بل الاتّفاق علیه، کما تقدّم، قال فی مهذّب الأحکام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منضمّاً إلی الکامل، فلا بأس به؛ للإطلاق و الاتّفاق</w:t>
      </w:r>
      <w:r>
        <w:rPr>
          <w:rFonts w:eastAsia="IRNazanin" w:cs="IRNazanin"/>
          <w:color w:val="111111"/>
          <w:sz w:val="28"/>
          <w:szCs w:val="28"/>
          <w:rtl w:val="true"/>
          <w:lang w:bidi="fa-IR"/>
        </w:rPr>
        <w:t>»</w:t>
      </w:r>
      <w:r>
        <w:rPr>
          <w:rStyle w:val="FootnoteAnchor"/>
          <w:rtl w:val="true"/>
        </w:rPr>
        <w:footnoteReference w:id="2731"/>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جامع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ولایته حینئذٍ تابعة، و قد یغتفر فی حال التبعیّة ما لا یغتفر استقلالاً</w:t>
      </w:r>
      <w:r>
        <w:rPr>
          <w:rFonts w:eastAsia="IRNazanin" w:cs="IRNazanin"/>
          <w:color w:val="111111"/>
          <w:sz w:val="28"/>
          <w:szCs w:val="28"/>
          <w:rtl w:val="true"/>
          <w:lang w:bidi="fa-IR"/>
        </w:rPr>
        <w:t>»</w:t>
      </w:r>
      <w:r>
        <w:rPr>
          <w:rStyle w:val="FootnoteAnchor"/>
          <w:rtl w:val="true"/>
        </w:rPr>
        <w:footnoteReference w:id="2732"/>
      </w:r>
      <w:r>
        <w:rPr>
          <w:rFonts w:ascii="IRNazanin" w:hAnsi="IRNazanin" w:eastAsia="IRNazanin"/>
          <w:color w:val="111111"/>
          <w:sz w:val="28"/>
          <w:sz w:val="28"/>
          <w:szCs w:val="28"/>
          <w:rtl w:val="true"/>
          <w:lang w:bidi="fa-IR"/>
        </w:rPr>
        <w:t>، و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لحصول الغرض</w:t>
      </w:r>
    </w:p>
    <w:p>
      <w:pPr>
        <w:pStyle w:val="BookText"/>
        <w:rPr/>
      </w:pPr>
      <w:r>
        <w:rPr>
          <w:rFonts w:ascii="IRNazanin" w:hAnsi="IRNazanin" w:eastAsia="IRNazanin"/>
          <w:color w:val="111111"/>
          <w:sz w:val="28"/>
          <w:sz w:val="28"/>
          <w:szCs w:val="28"/>
          <w:rtl w:val="true"/>
          <w:lang w:bidi="fa-IR"/>
        </w:rPr>
        <w:t>بذلک و تحقّق الإلزام، مضافاً إلی أنّ الصغر فی معرض الزوال و الانتقال إلی البلوغ</w:t>
      </w:r>
      <w:r>
        <w:rPr>
          <w:rFonts w:eastAsia="IRNazanin" w:cs="IRNazanin"/>
          <w:color w:val="111111"/>
          <w:sz w:val="28"/>
          <w:szCs w:val="28"/>
          <w:rtl w:val="true"/>
          <w:lang w:bidi="fa-IR"/>
        </w:rPr>
        <w:t>»</w:t>
      </w:r>
      <w:r>
        <w:rPr>
          <w:rStyle w:val="FootnoteAnchor"/>
          <w:rtl w:val="true"/>
        </w:rPr>
        <w:footnoteReference w:id="2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الصفّار المتقدّمة،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محمّد الحسن بن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رجل أوصی إلی ولده، و فیهم کبار قد أدرکوا و فیهم صغار، أ یجوز للکبار أن ینفذوا الوصیّة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یقضوا دینه لمن 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صحّح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المیّت بشهود عدول قبل أن یدرک الأوصیاء الصغار؟ فوقّع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علی الأکابر من الولد أن یقضوا دین أبیهم و لا یحبسوه بذلک</w:t>
      </w:r>
      <w:r>
        <w:rPr>
          <w:rFonts w:eastAsia="IRNazanin" w:cs="IRNazanin"/>
          <w:color w:val="111111"/>
          <w:sz w:val="28"/>
          <w:szCs w:val="28"/>
          <w:rtl w:val="true"/>
          <w:lang w:bidi="fa-IR"/>
        </w:rPr>
        <w:t>»</w:t>
      </w:r>
      <w:r>
        <w:rPr>
          <w:rStyle w:val="FootnoteAnchor"/>
          <w:rtl w:val="true"/>
        </w:rPr>
        <w:footnoteReference w:id="27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فی الکافی و التهذیب و الفقیه فی الحسن، عن علیّ بن یقطین،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الحسن علیه السلام عن رجل أوصی إلی امرأة، فأشرک</w:t>
      </w:r>
      <w:r>
        <w:rPr>
          <w:rStyle w:val="FootnoteAnchor"/>
          <w:rtl w:val="true"/>
        </w:rPr>
        <w:footnoteReference w:id="2735"/>
      </w:r>
      <w:r>
        <w:rPr>
          <w:rFonts w:ascii="IRNazanin" w:hAnsi="IRNazanin" w:eastAsia="IRNazanin"/>
          <w:color w:val="111111"/>
          <w:sz w:val="28"/>
          <w:sz w:val="28"/>
          <w:szCs w:val="28"/>
          <w:rtl w:val="true"/>
          <w:lang w:bidi="fa-IR"/>
        </w:rPr>
        <w:t>فی الوصیّة معها صبیّاً،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ذلک و تمضی المرأة الوصیّة و لا ینتظر بلوغ الصبیّ، فإذا بلغ الصبیّ فلیس له أن لا یرضی إلّا ما کان من تبدیل أو تغییر، فإنّ له أن یردّه إلی ما أوصی به المیّت</w:t>
      </w:r>
      <w:r>
        <w:rPr>
          <w:rFonts w:eastAsia="IRNazanin" w:cs="IRNazanin"/>
          <w:color w:val="111111"/>
          <w:sz w:val="28"/>
          <w:szCs w:val="28"/>
          <w:rtl w:val="true"/>
          <w:lang w:bidi="fa-IR"/>
        </w:rPr>
        <w:t>»</w:t>
      </w:r>
      <w:r>
        <w:rPr>
          <w:rStyle w:val="FootnoteAnchor"/>
          <w:rtl w:val="true"/>
        </w:rPr>
        <w:footnoteReference w:id="2736"/>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یستفاد منهما عدم الفرق بین الممیّز و غیره، و لا بین البالغ خمس سنین و غیره، فما یظهر منه خلاف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کخبر زیاد بن أبی الحلال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رسول اللّه صلی الله علیه و آله هل أوصی إلی الحسن و الحسین مع أمیر المؤمنین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فی ذلک السنّ؟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 لا یکون</w:t>
      </w:r>
      <w:bookmarkStart w:id="763" w:name="pg11757_135887"/>
    </w:p>
    <w:p>
      <w:pPr>
        <w:pStyle w:val="BookText"/>
        <w:rPr/>
      </w:pPr>
      <w:bookmarkEnd w:id="763"/>
      <w:r>
        <w:rPr>
          <w:rFonts w:ascii="IRNazanin" w:hAnsi="IRNazanin" w:eastAsia="IRNazanin"/>
          <w:color w:val="111111"/>
          <w:sz w:val="28"/>
          <w:sz w:val="28"/>
          <w:szCs w:val="28"/>
          <w:rtl w:val="true"/>
          <w:lang w:bidi="fa-IR"/>
        </w:rPr>
        <w:t>لغیرهما فی أقلّ من خمس سنین</w:t>
      </w:r>
      <w:r>
        <w:rPr>
          <w:rFonts w:eastAsia="IRNazanin" w:cs="IRNazanin"/>
          <w:color w:val="111111"/>
          <w:sz w:val="28"/>
          <w:szCs w:val="28"/>
          <w:rtl w:val="true"/>
          <w:lang w:bidi="fa-IR"/>
        </w:rPr>
        <w:t>»</w:t>
      </w:r>
      <w:r>
        <w:rPr>
          <w:rStyle w:val="FootnoteAnchor"/>
          <w:rtl w:val="true"/>
        </w:rPr>
        <w:footnoteReference w:id="27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یعمل به، 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أجد عاملاً به، بل ظاهر غیره من النصوص و الفتاوی خلافه</w:t>
      </w:r>
      <w:r>
        <w:rPr>
          <w:rFonts w:eastAsia="IRNazanin" w:cs="IRNazanin"/>
          <w:color w:val="111111"/>
          <w:sz w:val="28"/>
          <w:szCs w:val="28"/>
          <w:rtl w:val="true"/>
          <w:lang w:bidi="fa-IR"/>
        </w:rPr>
        <w:t>»</w:t>
      </w:r>
      <w:r>
        <w:rPr>
          <w:rStyle w:val="FootnoteAnchor"/>
          <w:rtl w:val="true"/>
        </w:rPr>
        <w:footnoteReference w:id="27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64" w:name="__RefHeading___Toc9697081_73709187"/>
      <w:bookmarkStart w:id="765" w:name="_Toc284"/>
      <w:bookmarkEnd w:id="764"/>
      <w:r>
        <w:rPr>
          <w:rtl w:val="true"/>
        </w:rPr>
        <w:t>جواز تصرّف الکبیر قبل بلوغ الصبیّ‌</w:t>
      </w:r>
      <w:bookmarkEnd w:id="765"/>
    </w:p>
    <w:p>
      <w:pPr>
        <w:pStyle w:val="BookText"/>
        <w:rPr/>
      </w:pPr>
      <w:r>
        <w:rPr>
          <w:rFonts w:ascii="IRNazanin" w:hAnsi="IRNazanin" w:eastAsia="IRNazanin"/>
          <w:color w:val="111111"/>
          <w:sz w:val="28"/>
          <w:sz w:val="28"/>
          <w:szCs w:val="28"/>
          <w:rtl w:val="true"/>
          <w:lang w:bidi="fa-IR"/>
        </w:rPr>
        <w:t xml:space="preserve">المشهور بین الفقهاء أنّه لو أوصی إلی اثنین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صغیر و الآخر کبیر، فإن شرط اجتماعهما فی النظر لا یجوز للکبیر التصرّف قبل بلوغ الصبیّ إلّا فیما لا بدّ منه، مع إذن الحاکم، و أمّا إن سوّغ الانفراد جاز للکبیر التصرّف بلا خلاف فی ذلک، و هکذا إن اطلق یجوز للکبیر منفرداً التصرّف، و لیس للصبیّ بعد بلوغه نقض ما فعله الکبیر إلاّ إذا کان مخالفاً للوصیّة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بلغ الصبیّ لا یجوز للبالغ التفرّد، و قد صرّح کثیر من الفقهاء بذلک، مع اختلاف تعبیراتهم، و إلیک نصّ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أنفذ البالغ الکامل الوصیّة کان ذلک جائزاً، فإن بلغ الصبیّ و لم یرض بذلک لم یکن له ذلک، إلاّ أن یکون الکبیر خالف شرط الوصیّة</w:t>
      </w:r>
      <w:r>
        <w:rPr>
          <w:rFonts w:eastAsia="IRNazanin" w:cs="IRNazanin"/>
          <w:color w:val="111111"/>
          <w:sz w:val="28"/>
          <w:szCs w:val="28"/>
          <w:rtl w:val="true"/>
          <w:lang w:bidi="fa-IR"/>
        </w:rPr>
        <w:t>»</w:t>
      </w:r>
      <w:r>
        <w:rPr>
          <w:rStyle w:val="FootnoteAnchor"/>
          <w:rtl w:val="true"/>
        </w:rPr>
        <w:footnoteReference w:id="2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تصرّف الکبیر منفرداً حتّی یبلغ الصغیر، و عند بلوغه لا یجوز للبالغ التفرّد</w:t>
      </w:r>
      <w:r>
        <w:rPr>
          <w:rFonts w:eastAsia="IRNazanin" w:cs="IRNazanin"/>
          <w:color w:val="111111"/>
          <w:sz w:val="28"/>
          <w:szCs w:val="28"/>
          <w:rtl w:val="true"/>
          <w:lang w:bidi="fa-IR"/>
        </w:rPr>
        <w:t>»</w:t>
      </w:r>
      <w:r>
        <w:rPr>
          <w:rStyle w:val="FootnoteAnchor"/>
          <w:rtl w:val="true"/>
        </w:rPr>
        <w:footnoteReference w:id="2740"/>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الجامع للشرائع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أوصی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إلی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عاقل و شرط وقفها إلی بلوغه، أنفذ العاقل ما لا بدّ من إنفاذه، کالدین و نفقة الطفل حتّی یبلغ</w:t>
      </w:r>
    </w:p>
    <w:p>
      <w:pPr>
        <w:pStyle w:val="BookText"/>
        <w:rPr/>
      </w:pPr>
      <w:r>
        <w:rPr>
          <w:rFonts w:ascii="IRNazanin" w:hAnsi="IRNazanin" w:eastAsia="IRNazanin"/>
          <w:color w:val="111111"/>
          <w:sz w:val="28"/>
          <w:sz w:val="28"/>
          <w:szCs w:val="28"/>
          <w:rtl w:val="true"/>
          <w:lang w:bidi="fa-IR"/>
        </w:rPr>
        <w:t>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بلغ رشیداً لم ینقض ما فعله الوصیّ، إلاّ أن یکون غیر شرط الموصی، فإن أوصی إلی اثنین و شرط اجتماعهما لم یصحّ إلّا ما اجتمعا علیه، و إن سوّغ الانفراد جاز، و إن أطلق فکالثانیة</w:t>
      </w:r>
      <w:r>
        <w:rPr>
          <w:rFonts w:eastAsia="IRNazanin" w:cs="IRNazanin"/>
          <w:color w:val="111111"/>
          <w:sz w:val="28"/>
          <w:szCs w:val="28"/>
          <w:rtl w:val="true"/>
          <w:lang w:bidi="fa-IR"/>
        </w:rPr>
        <w:t>»</w:t>
      </w:r>
      <w:r>
        <w:rPr>
          <w:rStyle w:val="FootnoteAnchor"/>
          <w:rtl w:val="true"/>
        </w:rPr>
        <w:footnoteReference w:id="2741"/>
      </w:r>
      <w:r>
        <w:rPr>
          <w:rFonts w:ascii="IRNazanin" w:hAnsi="IRNazanin" w:eastAsia="IRNazanin"/>
          <w:color w:val="111111"/>
          <w:sz w:val="28"/>
          <w:sz w:val="28"/>
          <w:szCs w:val="28"/>
          <w:rtl w:val="true"/>
          <w:lang w:bidi="fa-IR"/>
        </w:rPr>
        <w:t>، و قریب منه فی السرائر</w:t>
      </w:r>
      <w:r>
        <w:rPr>
          <w:rStyle w:val="FootnoteAnchor"/>
          <w:rtl w:val="true"/>
        </w:rPr>
        <w:footnoteReference w:id="2742"/>
      </w:r>
      <w:r>
        <w:rPr>
          <w:rFonts w:ascii="Amiri" w:hAnsi="Amiri" w:eastAsia="Amiri" w:cs="Amiri"/>
          <w:color w:val="111111"/>
          <w:sz w:val="28"/>
          <w:sz w:val="28"/>
          <w:szCs w:val="28"/>
          <w:rtl w:val="true"/>
          <w:lang w:bidi="ar-SA"/>
        </w:rPr>
        <w:t>و المهذّب</w:t>
      </w:r>
      <w:r>
        <w:rPr>
          <w:rStyle w:val="FootnoteAnchor"/>
          <w:rtl w:val="true"/>
        </w:rPr>
        <w:footnoteReference w:id="2743"/>
      </w:r>
      <w:r>
        <w:rPr>
          <w:rFonts w:ascii="IRNazanin" w:hAnsi="IRNazanin" w:eastAsia="IRNazanin"/>
          <w:color w:val="111111"/>
          <w:sz w:val="28"/>
          <w:sz w:val="28"/>
          <w:szCs w:val="28"/>
          <w:rtl w:val="true"/>
          <w:lang w:bidi="fa-IR"/>
        </w:rPr>
        <w:t>و المراسم</w:t>
      </w:r>
      <w:r>
        <w:rPr>
          <w:rStyle w:val="FootnoteAnchor"/>
          <w:rtl w:val="true"/>
        </w:rPr>
        <w:footnoteReference w:id="2744"/>
      </w:r>
      <w:r>
        <w:rPr>
          <w:rFonts w:ascii="IRNazanin" w:hAnsi="IRNazanin" w:eastAsia="IRNazanin"/>
          <w:color w:val="111111"/>
          <w:sz w:val="28"/>
          <w:sz w:val="28"/>
          <w:szCs w:val="28"/>
          <w:rtl w:val="true"/>
          <w:lang w:bidi="fa-IR"/>
        </w:rPr>
        <w:t>و التذکرة</w:t>
      </w:r>
      <w:r>
        <w:rPr>
          <w:rStyle w:val="FootnoteAnchor"/>
          <w:rtl w:val="true"/>
        </w:rPr>
        <w:footnoteReference w:id="2745"/>
      </w:r>
      <w:r>
        <w:rPr>
          <w:rFonts w:ascii="IRNazanin" w:hAnsi="IRNazanin" w:eastAsia="IRNazanin"/>
          <w:color w:val="111111"/>
          <w:sz w:val="28"/>
          <w:sz w:val="28"/>
          <w:szCs w:val="28"/>
          <w:rtl w:val="true"/>
          <w:lang w:bidi="fa-IR"/>
        </w:rPr>
        <w:t>و القواعد</w:t>
      </w:r>
      <w:r>
        <w:rPr>
          <w:rStyle w:val="FootnoteAnchor"/>
          <w:rtl w:val="true"/>
        </w:rPr>
        <w:footnoteReference w:id="2746"/>
      </w:r>
      <w:r>
        <w:rPr>
          <w:rFonts w:ascii="IRNazanin" w:hAnsi="IRNazanin" w:eastAsia="IRNazanin"/>
          <w:color w:val="111111"/>
          <w:sz w:val="28"/>
          <w:sz w:val="28"/>
          <w:szCs w:val="28"/>
          <w:rtl w:val="true"/>
          <w:lang w:bidi="fa-IR"/>
        </w:rPr>
        <w:t>و التحریر</w:t>
      </w:r>
      <w:r>
        <w:rPr>
          <w:rStyle w:val="FootnoteAnchor"/>
          <w:rtl w:val="true"/>
        </w:rPr>
        <w:footnoteReference w:id="2747"/>
      </w:r>
      <w:r>
        <w:rPr>
          <w:rFonts w:ascii="IRNazanin" w:hAnsi="IRNazanin" w:eastAsia="IRNazanin"/>
          <w:color w:val="111111"/>
          <w:sz w:val="28"/>
          <w:sz w:val="28"/>
          <w:szCs w:val="28"/>
          <w:rtl w:val="true"/>
          <w:lang w:bidi="fa-IR"/>
        </w:rPr>
        <w:t>و المختصر النافع</w:t>
      </w:r>
      <w:r>
        <w:rPr>
          <w:rStyle w:val="FootnoteAnchor"/>
          <w:rtl w:val="true"/>
        </w:rPr>
        <w:footnoteReference w:id="2748"/>
      </w:r>
      <w:r>
        <w:rPr>
          <w:rFonts w:ascii="IRNazanin" w:hAnsi="IRNazanin" w:eastAsia="IRNazanin"/>
          <w:color w:val="111111"/>
          <w:sz w:val="28"/>
          <w:sz w:val="28"/>
          <w:szCs w:val="28"/>
          <w:rtl w:val="true"/>
          <w:lang w:bidi="fa-IR"/>
        </w:rPr>
        <w:t>و الحدائق</w:t>
      </w:r>
      <w:r>
        <w:rPr>
          <w:rStyle w:val="FootnoteAnchor"/>
          <w:rtl w:val="true"/>
        </w:rPr>
        <w:footnoteReference w:id="2749"/>
      </w:r>
      <w:r>
        <w:rPr>
          <w:rFonts w:ascii="Amiri" w:hAnsi="Amiri" w:eastAsia="Amiri" w:cs="Amiri"/>
          <w:color w:val="111111"/>
          <w:sz w:val="28"/>
          <w:sz w:val="28"/>
          <w:szCs w:val="28"/>
          <w:rtl w:val="true"/>
          <w:lang w:bidi="ar-SA"/>
        </w:rPr>
        <w:t>و الروضة</w:t>
      </w:r>
      <w:r>
        <w:rPr>
          <w:rStyle w:val="FootnoteAnchor"/>
          <w:rtl w:val="true"/>
        </w:rPr>
        <w:footnoteReference w:id="2750"/>
      </w:r>
      <w:r>
        <w:rPr>
          <w:rFonts w:ascii="IRNazanin" w:hAnsi="IRNazanin" w:eastAsia="IRNazanin"/>
          <w:color w:val="111111"/>
          <w:sz w:val="28"/>
          <w:sz w:val="28"/>
          <w:szCs w:val="28"/>
          <w:rtl w:val="true"/>
          <w:lang w:bidi="fa-IR"/>
        </w:rPr>
        <w:t>و المسالک</w:t>
      </w:r>
      <w:r>
        <w:rPr>
          <w:rStyle w:val="FootnoteAnchor"/>
          <w:rtl w:val="true"/>
        </w:rPr>
        <w:footnoteReference w:id="2751"/>
      </w:r>
      <w:r>
        <w:rPr>
          <w:rFonts w:ascii="IRNazanin" w:hAnsi="IRNazanin" w:eastAsia="IRNazanin"/>
          <w:color w:val="111111"/>
          <w:sz w:val="28"/>
          <w:sz w:val="28"/>
          <w:szCs w:val="28"/>
          <w:rtl w:val="true"/>
          <w:lang w:bidi="fa-IR"/>
        </w:rPr>
        <w:t>و به قال الشیخ الأعظم</w:t>
      </w:r>
      <w:r>
        <w:rPr>
          <w:rStyle w:val="FootnoteAnchor"/>
          <w:rtl w:val="true"/>
        </w:rPr>
        <w:footnoteReference w:id="2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فیستقلّ الکامل بالتصرّف إلی زمان بلوغه، فإذا بلغ شارکه من حینه، و لیس له الاعتراض فیما أمضاه الکامل سابقاً إلّا ما کان علی خلاف ما أوصی به المیّت، فیردّه إلی ما أوصی به</w:t>
      </w:r>
      <w:r>
        <w:rPr>
          <w:rFonts w:eastAsia="IRNazanin" w:cs="IRNazanin"/>
          <w:color w:val="111111"/>
          <w:sz w:val="28"/>
          <w:szCs w:val="28"/>
          <w:rtl w:val="true"/>
          <w:lang w:bidi="fa-IR"/>
        </w:rPr>
        <w:t>»</w:t>
      </w:r>
      <w:r>
        <w:rPr>
          <w:rStyle w:val="FootnoteAnchor"/>
          <w:rtl w:val="true"/>
        </w:rPr>
        <w:footnoteReference w:id="2753"/>
      </w:r>
      <w:r>
        <w:rPr>
          <w:rFonts w:ascii="IRNazanin" w:hAnsi="IRNazanin" w:eastAsia="IRNazanin"/>
          <w:color w:val="111111"/>
          <w:sz w:val="28"/>
          <w:sz w:val="28"/>
          <w:szCs w:val="28"/>
          <w:rtl w:val="true"/>
          <w:lang w:bidi="fa-IR"/>
        </w:rPr>
        <w:t>، و اختاره فی تفصیل الشریعة</w:t>
      </w:r>
      <w:r>
        <w:rPr>
          <w:rStyle w:val="FootnoteAnchor"/>
          <w:rtl w:val="true"/>
        </w:rPr>
        <w:footnoteReference w:id="2754"/>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جواز تصرّف الکبیر قبل بلوغ الصغیر صحیحة الصفّار</w:t>
      </w:r>
    </w:p>
    <w:p>
      <w:pPr>
        <w:pStyle w:val="BookText"/>
        <w:rPr/>
      </w:pPr>
      <w:r>
        <w:rPr>
          <w:rFonts w:ascii="IRNazanin" w:hAnsi="IRNazanin" w:eastAsia="IRNazanin"/>
          <w:color w:val="111111"/>
          <w:sz w:val="28"/>
          <w:sz w:val="28"/>
          <w:szCs w:val="28"/>
          <w:rtl w:val="true"/>
          <w:lang w:bidi="fa-IR"/>
        </w:rPr>
        <w:t>المتقدّمة، فإنّ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علی الأکابر من الولد أن یقضوا دین أبیهم و لا یحبسوه بذلک</w:t>
      </w:r>
      <w:r>
        <w:rPr>
          <w:rFonts w:eastAsia="IRNazanin" w:cs="IRNazanin"/>
          <w:color w:val="111111"/>
          <w:sz w:val="28"/>
          <w:szCs w:val="28"/>
          <w:rtl w:val="true"/>
          <w:lang w:bidi="fa-IR"/>
        </w:rPr>
        <w:t>»</w:t>
      </w:r>
      <w:r>
        <w:rPr>
          <w:rStyle w:val="FootnoteAnchor"/>
          <w:rtl w:val="true"/>
        </w:rPr>
        <w:footnoteReference w:id="2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خبر علیّ بن یقطین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الأخیر منهما علی جواز نقض الصبیّ بعد بلوغه ما خالف الکبیر شرط الوصیّة،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بلغ الصبیّ فلیس له أن لا یرضی إلّا ما کان من تبدیل أو تغییر، فإنّ له أن یردّه إلی ما أوصی به المیّت</w:t>
      </w:r>
      <w:r>
        <w:rPr>
          <w:rFonts w:eastAsia="IRNazanin" w:cs="IRNazanin"/>
          <w:color w:val="111111"/>
          <w:sz w:val="28"/>
          <w:szCs w:val="28"/>
          <w:rtl w:val="true"/>
          <w:lang w:bidi="fa-IR"/>
        </w:rPr>
        <w:t>»</w:t>
      </w:r>
      <w:r>
        <w:rPr>
          <w:rStyle w:val="FootnoteAnchor"/>
          <w:rtl w:val="true"/>
        </w:rPr>
        <w:footnoteReference w:id="2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 ما جاء فی الفقه المنسوب إلی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وصّی رجل إلی امرأة و غلام غیر مدرک فجائز للمرأة أن تنفّذ الوصیّة و لا تنتظر بلوغ الغلام، و لیس للغلام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أرادت هی و أدرک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یرجع فی شیء ممّا أنفذته المرأة إلّا ما کان من تغییر أو تبدیل</w:t>
      </w:r>
      <w:r>
        <w:rPr>
          <w:rFonts w:eastAsia="IRNazanin" w:cs="IRNazanin"/>
          <w:color w:val="111111"/>
          <w:sz w:val="28"/>
          <w:szCs w:val="28"/>
          <w:rtl w:val="true"/>
          <w:lang w:bidi="fa-IR"/>
        </w:rPr>
        <w:t>»</w:t>
      </w:r>
      <w:r>
        <w:rPr>
          <w:rStyle w:val="FootnoteAnchor"/>
          <w:rtl w:val="true"/>
        </w:rPr>
        <w:footnoteReference w:id="2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یدلّ علی جواز تصرّف الکبیر قبل بلوغ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الخبرین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تلک الحال وصّی منفرداً و إنّما التشریک معه بعد البلوغ، کما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وصیّی و إذا حضر فلان فهو شریکک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بلغ الصغیر فلا یجوز للبالغ التفرّد و إن کان ذلک غیر مستفاد من الخبرین؛ لأنّه الآن غیر مستقلّ فیرجع إلی تلک القاعدة</w:t>
      </w:r>
      <w:r>
        <w:rPr>
          <w:rFonts w:eastAsia="IRNazanin" w:cs="IRNazanin"/>
          <w:color w:val="111111"/>
          <w:sz w:val="28"/>
          <w:szCs w:val="28"/>
          <w:rtl w:val="true"/>
          <w:lang w:bidi="fa-IR"/>
        </w:rPr>
        <w:t>»</w:t>
      </w:r>
      <w:r>
        <w:rPr>
          <w:rStyle w:val="FootnoteAnchor"/>
          <w:rtl w:val="true"/>
        </w:rPr>
        <w:footnoteReference w:id="27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جامع المقاصد و الجواهر</w:t>
      </w:r>
      <w:r>
        <w:rPr>
          <w:rStyle w:val="FootnoteAnchor"/>
          <w:rtl w:val="true"/>
        </w:rPr>
        <w:footnoteReference w:id="2759"/>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الاتّفاق علیه فی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شرط عدم</w:t>
      </w:r>
      <w:bookmarkStart w:id="766" w:name="pg11757_135890"/>
    </w:p>
    <w:p>
      <w:pPr>
        <w:pStyle w:val="BookText"/>
        <w:rPr/>
      </w:pPr>
      <w:bookmarkEnd w:id="766"/>
      <w:r>
        <w:rPr>
          <w:rFonts w:ascii="IRNazanin" w:hAnsi="IRNazanin" w:eastAsia="IRNazanin"/>
          <w:color w:val="111111"/>
          <w:sz w:val="28"/>
          <w:sz w:val="28"/>
          <w:szCs w:val="28"/>
          <w:rtl w:val="true"/>
          <w:lang w:bidi="fa-IR"/>
        </w:rPr>
        <w:t>تصرّف الکامل إلی أن یبلغ الصبیّ تبع شرطه، و علی غیره ینزّل إطلاق العبارة و الروایة، مع أنّه المتبادر منه بلا شبهة</w:t>
      </w:r>
      <w:r>
        <w:rPr>
          <w:rFonts w:eastAsia="IRNazanin" w:cs="IRNazanin"/>
          <w:color w:val="111111"/>
          <w:sz w:val="28"/>
          <w:szCs w:val="28"/>
          <w:rtl w:val="true"/>
          <w:lang w:bidi="fa-IR"/>
        </w:rPr>
        <w:t>»</w:t>
      </w:r>
      <w:r>
        <w:rPr>
          <w:rStyle w:val="FootnoteAnchor"/>
          <w:rtl w:val="true"/>
        </w:rPr>
        <w:footnoteReference w:id="2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تردّد فی القواعد فی تصرّف الکامل فی غیر الضروریّات حیث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یقتصر البالغ من التصرّف علی ما لا بدّ منه؟ نظر</w:t>
      </w:r>
      <w:r>
        <w:rPr>
          <w:rFonts w:eastAsia="IRNazanin" w:cs="IRNazanin"/>
          <w:color w:val="111111"/>
          <w:sz w:val="28"/>
          <w:szCs w:val="28"/>
          <w:rtl w:val="true"/>
          <w:lang w:bidi="fa-IR"/>
        </w:rPr>
        <w:t>»</w:t>
      </w:r>
      <w:r>
        <w:rPr>
          <w:rStyle w:val="FootnoteAnchor"/>
          <w:rtl w:val="true"/>
        </w:rPr>
        <w:footnoteReference w:id="2761"/>
      </w:r>
      <w:r>
        <w:rPr>
          <w:rFonts w:ascii="IRNazanin" w:hAnsi="IRNazanin" w:eastAsia="IRNazanin"/>
          <w:color w:val="111111"/>
          <w:sz w:val="28"/>
          <w:sz w:val="28"/>
          <w:szCs w:val="28"/>
          <w:rtl w:val="true"/>
          <w:lang w:bidi="fa-IR"/>
        </w:rPr>
        <w:t>، و استشکل ابنه فی الإیضاح أیضاً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فیه إشکال، ینشأ من أنّ الولایة هل تثبت للطفل الآن، و یکون ممنوعاً لمانع کنوم الموصی عند بلوغه؟ یحتمل الأوّل لوجود السبب، و لأنّه لم یوص إلیه منفرداً بل مع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الأصحّ عندی؛ لأنّه لیس بمستقلّ و إنّما جوّزنا استقلاله فی الضروریّات للضرورة</w:t>
      </w:r>
      <w:r>
        <w:rPr>
          <w:rFonts w:eastAsia="IRNazanin" w:cs="IRNazanin"/>
          <w:color w:val="111111"/>
          <w:sz w:val="28"/>
          <w:szCs w:val="28"/>
          <w:rtl w:val="true"/>
          <w:lang w:bidi="fa-IR"/>
        </w:rPr>
        <w:t>»</w:t>
      </w:r>
      <w:r>
        <w:rPr>
          <w:rStyle w:val="FootnoteAnchor"/>
          <w:rtl w:val="true"/>
        </w:rPr>
        <w:footnoteReference w:id="2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الصغیر لا أهلیّة له للتصرّف، و الموصی ضمّه إلی الکبیر علی تقدیر أهلیّته و لم یحصل، بخلاف الکامل فإنّ له الأهلیّة، فالمقتضی بالنسبة إلیه موجود و المانع مفقود، مضافاً إلی أنّ جواز تصرّف الکبیر مطلقاً یستفاد من النصّ، قال فی الجواهر بعد ذکر ما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مناف لإطلاق النصّ و الفتوی، بل و لما هو کالصریح من خبر علیّ بن یقطین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 و تأمّل</w:t>
      </w:r>
      <w:r>
        <w:rPr>
          <w:rFonts w:eastAsia="IRNazanin" w:cs="IRNazanin"/>
          <w:color w:val="111111"/>
          <w:sz w:val="28"/>
          <w:szCs w:val="28"/>
          <w:rtl w:val="true"/>
          <w:lang w:bidi="fa-IR"/>
        </w:rPr>
        <w:t>»</w:t>
      </w:r>
      <w:r>
        <w:rPr>
          <w:rStyle w:val="FootnoteAnchor"/>
          <w:rtl w:val="true"/>
        </w:rPr>
        <w:footnoteReference w:id="27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67" w:name="__RefHeading___Toc9697083_73709187"/>
      <w:bookmarkStart w:id="768" w:name="_Toc285"/>
      <w:bookmarkEnd w:id="767"/>
      <w:r>
        <w:rPr>
          <w:rtl w:val="true"/>
        </w:rPr>
        <w:t>فرعان</w:t>
      </w:r>
      <w:bookmarkEnd w:id="768"/>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الکلام إذا بلغ الصبیّ و کان رشیداً یکون شریکاً للکبیر فی امور الوصایة، و أمّا لو مات قبل بلوغه أو بلغ مجنوناً فهل للعاقل</w:t>
      </w:r>
    </w:p>
    <w:p>
      <w:pPr>
        <w:pStyle w:val="BookText"/>
        <w:rPr/>
      </w:pPr>
      <w:r>
        <w:rPr>
          <w:rFonts w:ascii="IRNazanin" w:hAnsi="IRNazanin" w:eastAsia="IRNazanin"/>
          <w:color w:val="111111"/>
          <w:sz w:val="28"/>
          <w:sz w:val="28"/>
          <w:szCs w:val="28"/>
          <w:rtl w:val="true"/>
          <w:lang w:bidi="fa-IR"/>
        </w:rPr>
        <w:t>الانفراد بالوصیّة؟ صرّح فی المقنعة</w:t>
      </w:r>
      <w:r>
        <w:rPr>
          <w:rStyle w:val="FootnoteAnchor"/>
          <w:rtl w:val="true"/>
        </w:rPr>
        <w:footnoteReference w:id="2764"/>
      </w:r>
      <w:r>
        <w:rPr>
          <w:rFonts w:ascii="IRNazanin" w:hAnsi="IRNazanin" w:eastAsia="IRNazanin"/>
          <w:color w:val="111111"/>
          <w:sz w:val="28"/>
          <w:sz w:val="28"/>
          <w:szCs w:val="28"/>
          <w:rtl w:val="true"/>
          <w:lang w:bidi="fa-IR"/>
        </w:rPr>
        <w:t>و النهایة</w:t>
      </w:r>
      <w:r>
        <w:rPr>
          <w:rStyle w:val="FootnoteAnchor"/>
          <w:rtl w:val="true"/>
        </w:rPr>
        <w:footnoteReference w:id="2765"/>
      </w:r>
      <w:r>
        <w:rPr>
          <w:rFonts w:ascii="IRNazanin" w:hAnsi="IRNazanin" w:eastAsia="IRNazanin"/>
          <w:color w:val="111111"/>
          <w:sz w:val="28"/>
          <w:sz w:val="28"/>
          <w:szCs w:val="28"/>
          <w:rtl w:val="true"/>
          <w:lang w:bidi="fa-IR"/>
        </w:rPr>
        <w:t>و السرائر</w:t>
      </w:r>
      <w:r>
        <w:rPr>
          <w:rStyle w:val="FootnoteAnchor"/>
          <w:rtl w:val="true"/>
        </w:rPr>
        <w:footnoteReference w:id="2766"/>
      </w:r>
      <w:r>
        <w:rPr>
          <w:rFonts w:ascii="IRNazanin" w:hAnsi="IRNazanin" w:eastAsia="IRNazanin"/>
          <w:color w:val="111111"/>
          <w:sz w:val="28"/>
          <w:sz w:val="28"/>
          <w:szCs w:val="28"/>
          <w:rtl w:val="true"/>
          <w:lang w:bidi="fa-IR"/>
        </w:rPr>
        <w:t xml:space="preserve">و الشرائع بأنّ له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یداخله الحاکم</w:t>
      </w:r>
      <w:r>
        <w:rPr>
          <w:rFonts w:eastAsia="IRNazanin" w:cs="IRNazanin"/>
          <w:color w:val="111111"/>
          <w:sz w:val="28"/>
          <w:szCs w:val="28"/>
          <w:rtl w:val="true"/>
          <w:lang w:bidi="fa-IR"/>
        </w:rPr>
        <w:t>»</w:t>
      </w:r>
      <w:r>
        <w:rPr>
          <w:rStyle w:val="FootnoteAnchor"/>
          <w:rtl w:val="true"/>
        </w:rPr>
        <w:footnoteReference w:id="2767"/>
      </w:r>
      <w:r>
        <w:rPr>
          <w:rFonts w:ascii="IRNazanin" w:hAnsi="IRNazanin" w:eastAsia="IRNazanin"/>
          <w:color w:val="111111"/>
          <w:sz w:val="28"/>
          <w:sz w:val="28"/>
          <w:szCs w:val="28"/>
          <w:rtl w:val="true"/>
          <w:lang w:bidi="fa-IR"/>
        </w:rPr>
        <w:t>، و جاء فی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المشهور أنّ للبالغ الانفراد بالوصیّة، و لا یداخله الحاکم</w:t>
      </w:r>
      <w:r>
        <w:rPr>
          <w:rFonts w:eastAsia="IRNazanin" w:cs="IRNazanin"/>
          <w:color w:val="111111"/>
          <w:sz w:val="28"/>
          <w:szCs w:val="28"/>
          <w:rtl w:val="true"/>
          <w:lang w:bidi="fa-IR"/>
        </w:rPr>
        <w:t>»</w:t>
      </w:r>
      <w:r>
        <w:rPr>
          <w:rStyle w:val="FootnoteAnchor"/>
          <w:rtl w:val="true"/>
        </w:rPr>
        <w:footnoteReference w:id="2768"/>
      </w:r>
      <w:r>
        <w:rPr>
          <w:rFonts w:ascii="Amiri" w:hAnsi="Amiri" w:eastAsia="Amiri" w:cs="Amiri"/>
          <w:color w:val="111111"/>
          <w:sz w:val="28"/>
          <w:sz w:val="28"/>
          <w:szCs w:val="28"/>
          <w:rtl w:val="true"/>
          <w:lang w:bidi="ar-SA"/>
        </w:rPr>
        <w:t>، و به قال جماعة من أعلام العصر</w:t>
      </w:r>
      <w:r>
        <w:rPr>
          <w:rStyle w:val="FootnoteAnchor"/>
          <w:rtl w:val="true"/>
        </w:rPr>
        <w:footnoteReference w:id="2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علّله فی المسالک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کان له ذلک لأنّ شرکة الصبیّ له مشروطة ببلوغه کاملاً و لم یحصل، فیبقی الاستقلال الثابت أوّلاً له بالنصّ علی حاله؛ عملاً بالاستصحاب، و مداخلة الحاکم مشروطة بعدم وجود الوصیّ المستقلّ، و هو هنا موجود</w:t>
      </w:r>
      <w:r>
        <w:rPr>
          <w:rFonts w:eastAsia="IRNazanin" w:cs="IRNazanin"/>
          <w:color w:val="111111"/>
          <w:sz w:val="28"/>
          <w:szCs w:val="28"/>
          <w:rtl w:val="true"/>
          <w:lang w:bidi="fa-IR"/>
        </w:rPr>
        <w:t>»</w:t>
      </w:r>
      <w:r>
        <w:rPr>
          <w:rStyle w:val="FootnoteAnchor"/>
          <w:rtl w:val="true"/>
        </w:rPr>
        <w:footnoteReference w:id="27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جامع المقاصد</w:t>
      </w:r>
      <w:r>
        <w:rPr>
          <w:rStyle w:val="FootnoteAnchor"/>
          <w:rtl w:val="true"/>
        </w:rPr>
        <w:footnoteReference w:id="2771"/>
      </w:r>
      <w:r>
        <w:rPr>
          <w:rFonts w:ascii="IRNazanin" w:hAnsi="IRNazanin" w:eastAsia="IRNazanin"/>
          <w:color w:val="111111"/>
          <w:sz w:val="28"/>
          <w:sz w:val="28"/>
          <w:szCs w:val="28"/>
          <w:rtl w:val="true"/>
          <w:lang w:bidi="fa-IR"/>
        </w:rPr>
        <w:t>و الریاض</w:t>
      </w:r>
      <w:r>
        <w:rPr>
          <w:rStyle w:val="FootnoteAnchor"/>
          <w:rtl w:val="true"/>
        </w:rPr>
        <w:footnoteReference w:id="2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 شریک له لکون الفرض موت الصبیّ قبل البلوغ الذی هو شرط صحّة نصبه وصیّاً، و کذا الکمال فلم یشارکه أحد فی وصایته، و لا وجد ما یزیلها، فهی مستصحبة علی الحال الأوّل</w:t>
      </w:r>
      <w:r>
        <w:rPr>
          <w:rFonts w:eastAsia="IRNazanin" w:cs="IRNazanin"/>
          <w:color w:val="111111"/>
          <w:sz w:val="28"/>
          <w:szCs w:val="28"/>
          <w:rtl w:val="true"/>
          <w:lang w:bidi="fa-IR"/>
        </w:rPr>
        <w:t>»</w:t>
      </w:r>
      <w:r>
        <w:rPr>
          <w:rStyle w:val="FootnoteAnchor"/>
          <w:rtl w:val="true"/>
        </w:rPr>
        <w:footnoteReference w:id="2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رسالة فی الوصایا للشیخ الأعظم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للعاقل الانفراد بالوصیّة و لم یداخله الحاکم؛ لأنّ للمیّت وصیّاً</w:t>
      </w:r>
      <w:r>
        <w:rPr>
          <w:rFonts w:eastAsia="IRNazanin" w:cs="IRNazanin"/>
          <w:color w:val="111111"/>
          <w:sz w:val="28"/>
          <w:szCs w:val="28"/>
          <w:rtl w:val="true"/>
          <w:lang w:bidi="fa-IR"/>
        </w:rPr>
        <w:t>»</w:t>
      </w:r>
      <w:r>
        <w:rPr>
          <w:rStyle w:val="FootnoteAnchor"/>
          <w:rtl w:val="true"/>
        </w:rPr>
        <w:footnoteReference w:id="2774"/>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مهذّب الأحکام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لوجود المقتضی للانفراد حینئذٍ و فقد المانع،</w:t>
      </w:r>
    </w:p>
    <w:p>
      <w:pPr>
        <w:pStyle w:val="BookText"/>
        <w:rPr/>
      </w:pPr>
      <w:r>
        <w:rPr>
          <w:rFonts w:ascii="IRNazanin" w:hAnsi="IRNazanin" w:eastAsia="IRNazanin"/>
          <w:color w:val="111111"/>
          <w:sz w:val="28"/>
          <w:sz w:val="28"/>
          <w:szCs w:val="28"/>
          <w:rtl w:val="true"/>
          <w:lang w:bidi="fa-IR"/>
        </w:rPr>
        <w:t>و لا تصل النوبة إلی تداخل الحاکم الشرعیّ؛ لوجود منصوص الوصایة فی البین</w:t>
      </w:r>
      <w:r>
        <w:rPr>
          <w:rFonts w:eastAsia="IRNazanin" w:cs="IRNazanin"/>
          <w:color w:val="111111"/>
          <w:sz w:val="28"/>
          <w:szCs w:val="28"/>
          <w:rtl w:val="true"/>
          <w:lang w:bidi="fa-IR"/>
        </w:rPr>
        <w:t>»</w:t>
      </w:r>
      <w:r>
        <w:rPr>
          <w:rStyle w:val="FootnoteAnchor"/>
          <w:rtl w:val="true"/>
        </w:rPr>
        <w:footnoteReference w:id="2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تردّد فی التذکرة</w:t>
      </w:r>
      <w:r>
        <w:rPr>
          <w:rStyle w:val="FootnoteAnchor"/>
          <w:rtl w:val="true"/>
        </w:rPr>
        <w:footnoteReference w:id="2776"/>
      </w:r>
      <w:r>
        <w:rPr>
          <w:rFonts w:ascii="IRNazanin" w:hAnsi="IRNazanin" w:eastAsia="IRNazanin"/>
          <w:color w:val="111111"/>
          <w:sz w:val="28"/>
          <w:sz w:val="28"/>
          <w:szCs w:val="28"/>
          <w:rtl w:val="true"/>
          <w:lang w:bidi="fa-IR"/>
        </w:rPr>
        <w:t>و الدروس، و فی الأخیر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مات الصبیّ أو بلغ غیر أهل للوصیّة، ففی انفراد الآخر نظر، من ثبوت ولایته و عدم حصول ما یزیلها، و من دلالة لفظ الموصی علی الضمّ فی وقت إمکانه عادةً</w:t>
      </w:r>
      <w:r>
        <w:rPr>
          <w:rFonts w:eastAsia="IRNazanin" w:cs="IRNazanin"/>
          <w:color w:val="111111"/>
          <w:sz w:val="28"/>
          <w:szCs w:val="28"/>
          <w:rtl w:val="true"/>
          <w:lang w:bidi="fa-IR"/>
        </w:rPr>
        <w:t>»</w:t>
      </w:r>
      <w:r>
        <w:rPr>
          <w:rStyle w:val="FootnoteAnchor"/>
          <w:rtl w:val="true"/>
        </w:rPr>
        <w:footnoteReference w:id="2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جامع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یحتمل أن ینصب الحاکم مع الآخر أمیناً؛ لأنّ الموصی إنّما فوّض إلیه بالاستقلال إلی حین بلوغ الصبیّ، فلا یبقی له استقلال بعد ذلک</w:t>
      </w:r>
      <w:r>
        <w:rPr>
          <w:rFonts w:eastAsia="IRNazanin" w:cs="IRNazanin"/>
          <w:color w:val="111111"/>
          <w:sz w:val="28"/>
          <w:szCs w:val="28"/>
          <w:rtl w:val="true"/>
          <w:lang w:bidi="fa-IR"/>
        </w:rPr>
        <w:t>»</w:t>
      </w:r>
      <w:r>
        <w:rPr>
          <w:rStyle w:val="FootnoteAnchor"/>
          <w:rtl w:val="true"/>
        </w:rPr>
        <w:footnoteReference w:id="2778"/>
      </w:r>
      <w:r>
        <w:rPr>
          <w:rFonts w:ascii="Amiri" w:hAnsi="Amiri" w:eastAsia="Amiri" w:cs="Amiri"/>
          <w:color w:val="111111"/>
          <w:sz w:val="28"/>
          <w:sz w:val="28"/>
          <w:szCs w:val="28"/>
          <w:rtl w:val="true"/>
          <w:lang w:bidi="ar-SA"/>
        </w:rPr>
        <w:t>؛ أی فکأنّه جعله مستقلّاً إلی مدّة مخصوصة لا مطلقاً</w:t>
      </w:r>
      <w:r>
        <w:rPr>
          <w:rStyle w:val="FootnoteAnchor"/>
          <w:rtl w:val="true"/>
        </w:rPr>
        <w:footnoteReference w:id="2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الأظهر؛ لقوّة دلیله،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ینبغی القطع به فیما إذا بلغ الصبیّ رشیداً ثمّ مات بعده و لو بلحظة؛ لانقطاع الاستصحاب الأوّل حینئذٍ بلا خلاف، و تبدّله باستصحاب عدم الاستقلال، فیتّبع</w:t>
      </w:r>
      <w:r>
        <w:rPr>
          <w:rFonts w:eastAsia="IRNazanin" w:cs="IRNazanin"/>
          <w:color w:val="111111"/>
          <w:sz w:val="28"/>
          <w:szCs w:val="28"/>
          <w:rtl w:val="true"/>
          <w:lang w:bidi="fa-IR"/>
        </w:rPr>
        <w:t>»</w:t>
      </w:r>
      <w:r>
        <w:rPr>
          <w:rStyle w:val="FootnoteAnchor"/>
          <w:rtl w:val="true"/>
        </w:rPr>
        <w:footnoteReference w:id="2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أجاد فی الجواهر فی الجواب عنه،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ینبغی القطع به مع أنّ أقصاه صیرورته کالوصیّة إلی اثنین کاملین ثمّ مات أحدهما؟ و ستعرف أنّ المشهور بین الأصحاب استقلال الباقی، و أنّه لا یضمّ إلیه الحاکم</w:t>
      </w:r>
      <w:r>
        <w:rPr>
          <w:rFonts w:eastAsia="IRNazanin" w:cs="IRNazanin"/>
          <w:color w:val="111111"/>
          <w:sz w:val="28"/>
          <w:szCs w:val="28"/>
          <w:rtl w:val="true"/>
          <w:lang w:bidi="fa-IR"/>
        </w:rPr>
        <w:t>»</w:t>
      </w:r>
      <w:r>
        <w:rPr>
          <w:rStyle w:val="FootnoteAnchor"/>
          <w:rtl w:val="true"/>
        </w:rPr>
        <w:footnoteReference w:id="2781"/>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 الکلام فی شیء لم أجد تصریحاً به من</w:t>
      </w:r>
    </w:p>
    <w:p>
      <w:pPr>
        <w:pStyle w:val="BookText"/>
        <w:rPr/>
      </w:pPr>
      <w:r>
        <w:rPr>
          <w:rFonts w:ascii="IRNazanin" w:hAnsi="IRNazanin" w:eastAsia="IRNazanin"/>
          <w:color w:val="111111"/>
          <w:sz w:val="28"/>
          <w:sz w:val="28"/>
          <w:szCs w:val="28"/>
          <w:rtl w:val="true"/>
          <w:lang w:bidi="fa-IR"/>
        </w:rPr>
        <w:t xml:space="preserve">أحد، و هو لو مات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بلوغ الصبیّ، و المتّجه علی ما قلناه صحّتها لو بلغ، و إن رجع الأمر إلی الحاکم قبل البلوغ، فإذا بلغ استقلّ فی وجه، و داخله الحاکم فی آخر، و أمّا احتمال بطلان وصایة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بعد البلوغ، باعتبار اشتراط صحّتها ابتداءً و استدامة بالانضمام المفروض انعدامه قبل البلوغ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واضح الضعف؛ لمنافاته الاستصحاب و غیره</w:t>
      </w:r>
      <w:r>
        <w:rPr>
          <w:rFonts w:eastAsia="IRNazanin" w:cs="IRNazanin"/>
          <w:color w:val="111111"/>
          <w:sz w:val="28"/>
          <w:szCs w:val="28"/>
          <w:rtl w:val="true"/>
          <w:lang w:bidi="fa-IR"/>
        </w:rPr>
        <w:t>»</w:t>
      </w:r>
      <w:r>
        <w:rPr>
          <w:rStyle w:val="FootnoteAnchor"/>
          <w:rtl w:val="true"/>
        </w:rPr>
        <w:footnoteReference w:id="2782"/>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نعثر علی نصّ فی المسألة لأهل السنّة فی کتبهم المتوفِّرة لدینا</w:t>
      </w:r>
      <w:r>
        <w:rPr>
          <w:rFonts w:eastAsia="IRNazanin" w:cs="IRNazanin"/>
          <w:color w:val="111111"/>
          <w:sz w:val="28"/>
          <w:szCs w:val="28"/>
          <w:rtl w:val="true"/>
          <w:lang w:bidi="fa-IR"/>
        </w:rPr>
        <w:t>.</w:t>
      </w:r>
      <w:bookmarkStart w:id="769" w:name="pg11757_135896"/>
    </w:p>
    <w:p>
      <w:pPr>
        <w:pStyle w:val="Heading3"/>
        <w:numPr>
          <w:ilvl w:val="2"/>
          <w:numId w:val="1"/>
        </w:numPr>
        <w:rPr/>
      </w:pPr>
      <w:bookmarkStart w:id="770" w:name="__RefHeading___Toc9697085_73709187"/>
      <w:bookmarkStart w:id="771" w:name="_Toc286"/>
      <w:bookmarkEnd w:id="769"/>
      <w:bookmarkEnd w:id="770"/>
      <w:r>
        <w:rPr>
          <w:rtl w:val="true"/>
        </w:rPr>
        <w:t>الفصل الثامن عشر</w:t>
      </w:r>
      <w:r>
        <w:rPr>
          <w:rtl w:val="true"/>
        </w:rPr>
        <w:t xml:space="preserve">: </w:t>
      </w:r>
      <w:r>
        <w:rPr>
          <w:rtl w:val="true"/>
        </w:rPr>
        <w:t>نکاح الصبیّ و طلاقه</w:t>
      </w:r>
      <w:bookmarkEnd w:id="771"/>
    </w:p>
    <w:p>
      <w:pPr>
        <w:pStyle w:val="Heading4"/>
        <w:numPr>
          <w:ilvl w:val="3"/>
          <w:numId w:val="1"/>
        </w:numPr>
        <w:rPr/>
      </w:pPr>
      <w:bookmarkStart w:id="772" w:name="__RefHeading___Toc9697087_73709187"/>
      <w:bookmarkStart w:id="773" w:name="_Toc287"/>
      <w:bookmarkEnd w:id="772"/>
      <w:r>
        <w:rPr>
          <w:rtl w:val="true"/>
        </w:rPr>
        <w:t>اشارة</w:t>
      </w:r>
      <w:bookmarkEnd w:id="773"/>
    </w:p>
    <w:p>
      <w:pPr>
        <w:pStyle w:val="BookText"/>
        <w:rPr/>
      </w:pP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p>
    <w:p>
      <w:pPr>
        <w:pStyle w:val="Heading4"/>
        <w:numPr>
          <w:ilvl w:val="3"/>
          <w:numId w:val="1"/>
        </w:numPr>
        <w:rPr/>
      </w:pPr>
      <w:bookmarkStart w:id="774" w:name="__RefHeading___Toc9697089_73709187"/>
      <w:bookmarkStart w:id="775" w:name="_Toc288"/>
      <w:bookmarkEnd w:id="774"/>
      <w:r>
        <w:rPr>
          <w:rtl w:val="true"/>
        </w:rPr>
        <w:t>المبحث الأوّل</w:t>
      </w:r>
      <w:r>
        <w:rPr>
          <w:rtl w:val="true"/>
        </w:rPr>
        <w:t xml:space="preserve">: </w:t>
      </w:r>
      <w:r>
        <w:rPr>
          <w:rtl w:val="true"/>
        </w:rPr>
        <w:t>نکاح الصبیّ‌</w:t>
      </w:r>
      <w:bookmarkEnd w:id="775"/>
    </w:p>
    <w:p>
      <w:pPr>
        <w:pStyle w:val="Heading5"/>
        <w:numPr>
          <w:ilvl w:val="4"/>
          <w:numId w:val="1"/>
        </w:numPr>
        <w:rPr/>
      </w:pPr>
      <w:bookmarkStart w:id="776" w:name="__RefHeading___Toc9697091_73709187"/>
      <w:bookmarkStart w:id="777" w:name="_Toc289"/>
      <w:bookmarkEnd w:id="776"/>
      <w:r>
        <w:rPr>
          <w:rtl w:val="true"/>
        </w:rPr>
        <w:t>اشارة</w:t>
      </w:r>
      <w:bookmarkEnd w:id="777"/>
    </w:p>
    <w:p>
      <w:pPr>
        <w:pStyle w:val="BookText"/>
        <w:rPr/>
      </w:pPr>
      <w:r>
        <w:rPr>
          <w:rFonts w:ascii="IRNazanin" w:hAnsi="IRNazanin" w:eastAsia="IRNazanin"/>
          <w:color w:val="111111"/>
          <w:sz w:val="28"/>
          <w:sz w:val="28"/>
          <w:szCs w:val="28"/>
          <w:rtl w:val="true"/>
          <w:lang w:bidi="fa-IR"/>
        </w:rPr>
        <w:t>الظاهر أنّه لا خلاف بین الأصحاب فی أنّه لا ینعقد النکاح بعبارة الصبیّ و لا یترتّب علیه أثر، لا إیجاباً و لا قبولاً، لنفسه و لغیره، ممیّزاً کان الصبیّ أو غیر ممیّز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مولّی علیها، لم یجز لها العقد علی نفسها، و کان الأمر إلی ولیّها فی تولّی العقد علیها</w:t>
      </w:r>
      <w:r>
        <w:rPr>
          <w:rStyle w:val="FootnoteAnchor"/>
          <w:rtl w:val="true"/>
        </w:rPr>
        <w:footnoteReference w:id="2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حدّ الجاریة التی یجوز لها العقد علی نفسها، أو یجوز لها أن تُولّی من یعقد علیها، تسع سنین فصاعداً</w:t>
      </w:r>
      <w:r>
        <w:rPr>
          <w:rFonts w:eastAsia="IRNazanin" w:cs="IRNazanin"/>
          <w:color w:val="111111"/>
          <w:sz w:val="28"/>
          <w:szCs w:val="28"/>
          <w:rtl w:val="true"/>
          <w:lang w:bidi="fa-IR"/>
        </w:rPr>
        <w:t>»</w:t>
      </w:r>
      <w:r>
        <w:rPr>
          <w:rStyle w:val="FootnoteAnchor"/>
          <w:rtl w:val="true"/>
        </w:rPr>
        <w:footnoteReference w:id="2784"/>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تزوّج المولّی علیه لسفه أو صغر بغیر إذن ولیّه کان</w:t>
      </w:r>
      <w:bookmarkStart w:id="778" w:name="pg11757_135897"/>
    </w:p>
    <w:p>
      <w:pPr>
        <w:pStyle w:val="BookText"/>
        <w:rPr/>
      </w:pPr>
      <w:bookmarkEnd w:id="778"/>
      <w:r>
        <w:rPr>
          <w:rFonts w:ascii="IRNazanin" w:hAnsi="IRNazanin" w:eastAsia="IRNazanin"/>
          <w:color w:val="111111"/>
          <w:sz w:val="28"/>
          <w:sz w:val="28"/>
          <w:szCs w:val="28"/>
          <w:rtl w:val="true"/>
          <w:lang w:bidi="fa-IR"/>
        </w:rPr>
        <w:t>النکاح باطلاً بلا خلاف</w:t>
      </w:r>
      <w:r>
        <w:rPr>
          <w:rFonts w:eastAsia="IRNazanin" w:cs="IRNazanin"/>
          <w:color w:val="111111"/>
          <w:sz w:val="28"/>
          <w:szCs w:val="28"/>
          <w:rtl w:val="true"/>
          <w:lang w:bidi="fa-IR"/>
        </w:rPr>
        <w:t>»</w:t>
      </w:r>
      <w:r>
        <w:rPr>
          <w:rStyle w:val="FootnoteAnchor"/>
          <w:rtl w:val="true"/>
        </w:rPr>
        <w:footnoteReference w:id="2785"/>
      </w:r>
      <w:r>
        <w:rPr>
          <w:rFonts w:ascii="Amiri" w:hAnsi="Amiri" w:eastAsia="Amiri" w:cs="Amiri"/>
          <w:color w:val="111111"/>
          <w:sz w:val="28"/>
          <w:sz w:val="28"/>
          <w:szCs w:val="28"/>
          <w:rtl w:val="true"/>
          <w:lang w:bidi="ar-SA"/>
        </w:rPr>
        <w:t>، و صرّح به أیضاً فی المهذّب و السرائر</w:t>
      </w:r>
      <w:r>
        <w:rPr>
          <w:rStyle w:val="FootnoteAnchor"/>
          <w:rtl w:val="true"/>
        </w:rPr>
        <w:footnoteReference w:id="2786"/>
      </w:r>
      <w:r>
        <w:rPr>
          <w:rFonts w:ascii="IRNazanin" w:hAnsi="IRNazanin" w:eastAsia="IRNazanin"/>
          <w:color w:val="111111"/>
          <w:sz w:val="28"/>
          <w:sz w:val="28"/>
          <w:szCs w:val="28"/>
          <w:rtl w:val="true"/>
          <w:lang w:bidi="fa-IR"/>
        </w:rPr>
        <w:t>، و هو ظاهر سلّار</w:t>
      </w:r>
      <w:r>
        <w:rPr>
          <w:rStyle w:val="FootnoteAnchor"/>
          <w:rtl w:val="true"/>
        </w:rPr>
        <w:footnoteReference w:id="2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عبرة فی النکاح بعبارة الصبیّ إیجاباً و قبولاً</w:t>
      </w:r>
      <w:r>
        <w:rPr>
          <w:rFonts w:eastAsia="IRNazanin" w:cs="IRNazanin"/>
          <w:color w:val="111111"/>
          <w:sz w:val="28"/>
          <w:szCs w:val="28"/>
          <w:rtl w:val="true"/>
          <w:lang w:bidi="fa-IR"/>
        </w:rPr>
        <w:t>»</w:t>
      </w:r>
      <w:r>
        <w:rPr>
          <w:rStyle w:val="FootnoteAnchor"/>
          <w:rtl w:val="true"/>
        </w:rPr>
        <w:footnoteReference w:id="27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الشهید فی شرحها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فی ذلک بین الصبیّ الممیّز و غیره، و لا بین تولّیه ذلک لنفسه أو لغیره، فإنّ الشارع سلب عبارته</w:t>
      </w:r>
      <w:r>
        <w:rPr>
          <w:rFonts w:eastAsia="IRNazanin" w:cs="IRNazanin"/>
          <w:color w:val="111111"/>
          <w:sz w:val="28"/>
          <w:szCs w:val="28"/>
          <w:rtl w:val="true"/>
          <w:lang w:bidi="fa-IR"/>
        </w:rPr>
        <w:t>»</w:t>
      </w:r>
      <w:r>
        <w:rPr>
          <w:rStyle w:val="FootnoteAnchor"/>
          <w:rtl w:val="true"/>
        </w:rPr>
        <w:footnoteReference w:id="2789"/>
      </w:r>
      <w:r>
        <w:rPr>
          <w:rFonts w:ascii="IRNazanin" w:hAnsi="IRNazanin" w:eastAsia="IRNazanin"/>
          <w:color w:val="111111"/>
          <w:sz w:val="28"/>
          <w:sz w:val="28"/>
          <w:szCs w:val="28"/>
          <w:rtl w:val="true"/>
          <w:lang w:bidi="fa-IR"/>
        </w:rPr>
        <w:t>، و به قال العلّامة فی جملة من کتبه</w:t>
      </w:r>
      <w:r>
        <w:rPr>
          <w:rStyle w:val="FootnoteAnchor"/>
          <w:rtl w:val="true"/>
        </w:rPr>
        <w:footnoteReference w:id="2790"/>
      </w:r>
      <w:r>
        <w:rPr>
          <w:rFonts w:ascii="IRNazanin" w:hAnsi="IRNazanin" w:eastAsia="IRNazanin"/>
          <w:color w:val="111111"/>
          <w:sz w:val="28"/>
          <w:sz w:val="28"/>
          <w:szCs w:val="28"/>
          <w:rtl w:val="true"/>
          <w:lang w:bidi="fa-IR"/>
        </w:rPr>
        <w:t>و جماعة من المتأخّرین و متأخّریهم</w:t>
      </w:r>
      <w:r>
        <w:rPr>
          <w:rStyle w:val="FootnoteAnchor"/>
          <w:rtl w:val="true"/>
        </w:rPr>
        <w:footnoteReference w:id="2791"/>
      </w:r>
      <w:r>
        <w:rPr>
          <w:rFonts w:ascii="IRNazanin" w:hAnsi="IRNazanin" w:eastAsia="IRNazanin"/>
          <w:color w:val="111111"/>
          <w:sz w:val="28"/>
          <w:sz w:val="28"/>
          <w:szCs w:val="28"/>
          <w:rtl w:val="true"/>
          <w:lang w:bidi="fa-IR"/>
        </w:rPr>
        <w:t>و فقهاء العصر</w:t>
      </w:r>
      <w:r>
        <w:rPr>
          <w:rStyle w:val="FootnoteAnchor"/>
          <w:rtl w:val="true"/>
        </w:rPr>
        <w:footnoteReference w:id="2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فی العاقد المجری للصیغة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الکمال بالبلوغ و العقل، سواء کان عاقداً لنفسه أو لغیره، وکالةً أو ولایةً أو فضولاً، فلا اعتبار بعقد الصبیّ</w:t>
      </w:r>
      <w:r>
        <w:rPr>
          <w:rFonts w:eastAsia="IRNazanin" w:cs="IRNazanin"/>
          <w:color w:val="111111"/>
          <w:sz w:val="28"/>
          <w:szCs w:val="28"/>
          <w:rtl w:val="true"/>
          <w:lang w:bidi="fa-IR"/>
        </w:rPr>
        <w:t>»</w:t>
      </w:r>
      <w:r>
        <w:rPr>
          <w:rStyle w:val="FootnoteAnchor"/>
          <w:rtl w:val="true"/>
        </w:rPr>
        <w:footnoteReference w:id="27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9" w:name="__RefHeading___Toc9697093_73709187"/>
      <w:bookmarkStart w:id="780" w:name="_Toc290"/>
      <w:bookmarkEnd w:id="779"/>
      <w:r>
        <w:rPr>
          <w:rtl w:val="true"/>
        </w:rPr>
        <w:t>أدلّة عدم صحّة مباشرة الصبیّ لإنشاء عقد النکاح</w:t>
      </w:r>
      <w:bookmarkEnd w:id="780"/>
    </w:p>
    <w:p>
      <w:pPr>
        <w:pStyle w:val="BookText"/>
        <w:rPr/>
      </w:pPr>
      <w:r>
        <w:rPr>
          <w:rFonts w:ascii="IRNazanin" w:hAnsi="IRNazanin" w:eastAsia="IRNazanin"/>
          <w:color w:val="111111"/>
          <w:sz w:val="28"/>
          <w:sz w:val="28"/>
          <w:szCs w:val="28"/>
          <w:rtl w:val="true"/>
          <w:lang w:bidi="fa-IR"/>
        </w:rPr>
        <w:t>و یمکن أن یستدلّ لذلک باُمور</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ابْتَلُوا الْیَتامی حَتّی إِذا بَلَغُوا النِّکاحَ فَإِنْ آنَسْتُمْ</w:t>
      </w:r>
    </w:p>
    <w:p>
      <w:pPr>
        <w:pStyle w:val="BookText"/>
        <w:rPr/>
      </w:pPr>
      <w:r>
        <w:rPr>
          <w:rFonts w:ascii="Amiri" w:hAnsi="Amiri" w:eastAsia="Amiri" w:cs="Amiri"/>
          <w:color w:val="111111"/>
          <w:sz w:val="28"/>
          <w:sz w:val="28"/>
          <w:szCs w:val="28"/>
          <w:rtl w:val="true"/>
          <w:lang w:bidi="ar-SA"/>
        </w:rPr>
        <w:t>مِنْهُمْ رُشْداً فَادْفَعُوا إِلَیْهِمْ أَمْوالَهُمْ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حیث جعل اللّه سبحانه و تعالی الغایة فی دفع المال إلی الصبیّ بلوغه و رشده، و من الواضح أنّ مقتضاه عدم جواز دفع أمواله إلیه قبل البلوغ حتّی و لو کان رشیداً، و عدم جواز تصرّفاته فیها، و معلوم أنّ عقد النکاح یشتمل</w:t>
      </w:r>
      <w:r>
        <w:rPr>
          <w:rStyle w:val="FootnoteAnchor"/>
          <w:rtl w:val="true"/>
        </w:rPr>
        <w:footnoteReference w:id="2794"/>
      </w:r>
      <w:r>
        <w:rPr>
          <w:rFonts w:ascii="IRNazanin" w:hAnsi="IRNazanin" w:eastAsia="IRNazanin"/>
          <w:color w:val="111111"/>
          <w:sz w:val="28"/>
          <w:sz w:val="28"/>
          <w:szCs w:val="28"/>
          <w:rtl w:val="true"/>
          <w:lang w:bidi="fa-IR"/>
        </w:rPr>
        <w:t>علی المال و یوجب التصرّف فی شئونه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التی تدلّ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منطوقاً أو مفهوماً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جواز أمر الصبیّ فی البیع و الشراء و غیرهما و عدم تسلّطه علی نحو تسلّط البالغین علی أموالهم و شئونهم، و أهمّها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معتبرة عبد 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الیتیم متی یجوز أمره؟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یبلغ أشدّه</w:t>
      </w:r>
      <w:r>
        <w:rPr>
          <w:rFonts w:eastAsia="IRNazanin" w:cs="IRNazanin"/>
          <w:color w:val="111111"/>
          <w:sz w:val="28"/>
          <w:szCs w:val="28"/>
          <w:rtl w:val="true"/>
          <w:lang w:bidi="fa-IR"/>
        </w:rPr>
        <w:t>»</w:t>
      </w:r>
      <w:r>
        <w:rPr>
          <w:rStyle w:val="FootnoteAnchor"/>
          <w:rtl w:val="true"/>
        </w:rPr>
        <w:footnoteReference w:id="279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أشدّه؟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احتلامه</w:t>
      </w:r>
      <w:r>
        <w:rPr>
          <w:rFonts w:eastAsia="IRNazanin" w:cs="IRNazanin"/>
          <w:color w:val="111111"/>
          <w:sz w:val="28"/>
          <w:szCs w:val="28"/>
          <w:rtl w:val="true"/>
          <w:lang w:bidi="fa-IR"/>
        </w:rPr>
        <w:t>»</w:t>
      </w:r>
      <w:r>
        <w:rPr>
          <w:rStyle w:val="FootnoteAnchor"/>
          <w:rtl w:val="true"/>
        </w:rPr>
        <w:footnoteReference w:id="27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عبد اللّه بن سنان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أشدّه ثلاث عشرة سنة و دخل فی الأربع عشرة وجب علیه ما وجب علی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المحتلمین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احتلم أم لم یحتلم، و کتبت علیه السیّئات، و کتبت له الحسنات، و جاز له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یکون ضعیفاً أو سفیهاً</w:t>
      </w:r>
      <w:r>
        <w:rPr>
          <w:rFonts w:eastAsia="IRNazanin" w:cs="IRNazanin"/>
          <w:color w:val="111111"/>
          <w:sz w:val="28"/>
          <w:szCs w:val="28"/>
          <w:rtl w:val="true"/>
          <w:lang w:bidi="fa-IR"/>
        </w:rPr>
        <w:t>»</w:t>
      </w:r>
      <w:r>
        <w:rPr>
          <w:rStyle w:val="FootnoteAnchor"/>
          <w:rtl w:val="true"/>
        </w:rPr>
        <w:footnoteReference w:id="2797"/>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هشام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انقطاع یتم الیتیم بالاحتلام، و هو أشدّه، و إن احتلم و لم یؤنس منه رشده و کان سفیهاً أو ضعیفاً فلیمسک عنه</w:t>
      </w:r>
    </w:p>
    <w:p>
      <w:pPr>
        <w:pStyle w:val="BookText"/>
        <w:rPr/>
      </w:pPr>
      <w:r>
        <w:rPr>
          <w:rFonts w:ascii="Amiri" w:hAnsi="Amiri" w:eastAsia="Amiri" w:cs="Amiri"/>
          <w:color w:val="111111"/>
          <w:sz w:val="28"/>
          <w:sz w:val="28"/>
          <w:szCs w:val="28"/>
          <w:rtl w:val="true"/>
          <w:lang w:bidi="ar-SA"/>
        </w:rPr>
        <w:t>ولیّه ماله</w:t>
      </w:r>
      <w:r>
        <w:rPr>
          <w:rFonts w:eastAsia="Amiri" w:cs="Amiri" w:ascii="Amiri" w:hAnsi="Amiri"/>
          <w:color w:val="111111"/>
          <w:sz w:val="28"/>
          <w:szCs w:val="28"/>
          <w:rtl w:val="true"/>
          <w:lang w:bidi="ar-SA"/>
        </w:rPr>
        <w:t>»</w:t>
      </w:r>
      <w:r>
        <w:rPr>
          <w:rStyle w:val="FootnoteAnchor"/>
          <w:rtl w:val="true"/>
        </w:rPr>
        <w:footnoteReference w:id="27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خبر حمران</w:t>
      </w:r>
      <w:r>
        <w:rPr>
          <w:rStyle w:val="FootnoteAnchor"/>
          <w:rtl w:val="true"/>
        </w:rPr>
        <w:footnoteReference w:id="2799"/>
      </w:r>
      <w:r>
        <w:rPr>
          <w:rFonts w:ascii="Amiri" w:hAnsi="Amiri" w:eastAsia="Amiri" w:cs="Amiri"/>
          <w:color w:val="111111"/>
          <w:sz w:val="28"/>
          <w:sz w:val="28"/>
          <w:szCs w:val="28"/>
          <w:rtl w:val="true"/>
          <w:lang w:bidi="ar-SA"/>
        </w:rPr>
        <w:t>و مرسلة الصدوق</w:t>
      </w:r>
      <w:r>
        <w:rPr>
          <w:rStyle w:val="FootnoteAnchor"/>
          <w:rtl w:val="true"/>
        </w:rPr>
        <w:footnoteReference w:id="2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هذه النصوص 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صریحة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المنع عن نفوذ أمر الصبیّ فی البیع و الشراء و غیرهما؛ لأنّ لفظ الأمر الوارد فی هذه الأخبار یشمل بإطلاقه لأیّ فعل یصدر من الصبیّ من العقود و الإیقاعات، و أنّ جواز أمره و مضیّه یتوقّف علی کون صدوره حال البلوغ، فلو لم یکن کذلک فلا ینعقد عقده و لا عبرة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الجواز ما کان علی نحو الاستقلال فی مقابل الجواز الثابت حال البلوغ، و یظهر هذا واضحاً بالتأمّل فی الروایة المتقدّمة المشتملة علی حکم الصبا و البلوغ معاً، کما فی المستمسک</w:t>
      </w:r>
      <w:r>
        <w:rPr>
          <w:rStyle w:val="FootnoteAnchor"/>
          <w:rtl w:val="true"/>
        </w:rPr>
        <w:footnoteReference w:id="2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الشکّ فیه یکفی فی عدم الشمول؛ لأنّ الشبهة مصداقیّة</w:t>
      </w:r>
      <w:r>
        <w:rPr>
          <w:rFonts w:eastAsia="IRNazanin" w:cs="IRNazanin"/>
          <w:color w:val="111111"/>
          <w:sz w:val="28"/>
          <w:szCs w:val="28"/>
          <w:rtl w:val="true"/>
          <w:lang w:bidi="fa-IR"/>
        </w:rPr>
        <w:t>»</w:t>
      </w:r>
      <w:r>
        <w:rPr>
          <w:rStyle w:val="FootnoteAnchor"/>
          <w:rtl w:val="true"/>
        </w:rPr>
        <w:footnoteReference w:id="2802"/>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بعض النصوص، من أنّ وضع القلم علی الصبیّ إنّما یکون بعد احتلامه و بلوغه، حیث إنّ مقتضاها کون عمله قبل ذلک کلا عمل، فلا یلزم شیء، کما لا یؤخذ علی شیء منها، کما رواه فی التهذیب، عن عمّار الساباطی،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الغلام متی تجب علیه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أتی علیه ثلاث عشرة سنة، فإن احتلم قبل ذلک فقد وجبت علیه الصلاة و جری علیه القلم، و الجاریة مثل ذلک إن أتی لها ثلاث عشرة سنة، أو</w:t>
      </w:r>
    </w:p>
    <w:p>
      <w:pPr>
        <w:pStyle w:val="BookText"/>
        <w:rPr/>
      </w:pPr>
      <w:r>
        <w:rPr>
          <w:rFonts w:ascii="IRNazanin" w:hAnsi="IRNazanin" w:eastAsia="IRNazanin"/>
          <w:color w:val="111111"/>
          <w:sz w:val="28"/>
          <w:sz w:val="28"/>
          <w:szCs w:val="28"/>
          <w:rtl w:val="true"/>
          <w:lang w:bidi="fa-IR"/>
        </w:rPr>
        <w:t>حاضت قبل ذلک فقد وجبت علیها الصلاة و جری علیها القلم</w:t>
      </w:r>
      <w:r>
        <w:rPr>
          <w:rFonts w:eastAsia="IRNazanin" w:cs="IRNazanin"/>
          <w:color w:val="111111"/>
          <w:sz w:val="28"/>
          <w:szCs w:val="28"/>
          <w:rtl w:val="true"/>
          <w:lang w:bidi="fa-IR"/>
        </w:rPr>
        <w:t>»</w:t>
      </w:r>
      <w:r>
        <w:rPr>
          <w:rStyle w:val="FootnoteAnchor"/>
          <w:rtl w:val="true"/>
        </w:rPr>
        <w:footnoteReference w:id="28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من وضع القلم علی الصبیّ بعد البلوغ هو قلم الإلزام و التکلیف، و لا ینافی نفوذ أمره و جواز تصرّفه فی حال کونه ممیّزاً قبل البلوغ بإذن الولیّ کما تقدّم فی البیع، مضافاً إلی أنّ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فی مبحث الحجر و البلوغ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أعرض عنها المشهور و لم نجد أحداً أفتی بمضمونها؛ لاشتمالها علی ما لم یلتزم به الفقهاء، و هو تساوی الغلام و الجاریة فی سنّ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یستدلّ فی المقام بحدیث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القلم یرفع عن الصبیّ حتّی یحتلم</w:t>
      </w:r>
      <w:r>
        <w:rPr>
          <w:rFonts w:eastAsia="IRNazanin" w:cs="IRNazanin"/>
          <w:color w:val="111111"/>
          <w:sz w:val="28"/>
          <w:szCs w:val="28"/>
          <w:rtl w:val="true"/>
          <w:lang w:bidi="fa-IR"/>
        </w:rPr>
        <w:t>»</w:t>
      </w:r>
      <w:r>
        <w:rPr>
          <w:rStyle w:val="FootnoteAnchor"/>
          <w:rtl w:val="true"/>
        </w:rPr>
        <w:footnoteReference w:id="2804"/>
      </w:r>
      <w:r>
        <w:rPr>
          <w:rFonts w:ascii="IRNazanin" w:hAnsi="IRNazanin" w:eastAsia="IRNazanin"/>
          <w:color w:val="111111"/>
          <w:sz w:val="28"/>
          <w:sz w:val="28"/>
          <w:szCs w:val="28"/>
          <w:rtl w:val="true"/>
          <w:lang w:bidi="fa-IR"/>
        </w:rPr>
        <w:t>بناءً علی أنّ الظاهر منه رفع الحکم أعمّ من التکلیفی و الوضعی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رفع القلم رفع ما فی حمله کلفة و ثقل و مشقّة، و ذلک بقرینة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ما فیه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حکماً وضعیّاً أو تکلیفیّاً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عن الصبیّ بالحدیث، و جواز عقد نکاحه لا کلفة و لا مشقّة فیه، و أیضاً أنّ رفع جواز عقد الممیّز خلاف الامتنان، و الحدیث امتنانی، فلا یمکن الاستدلال بحدیث الرفع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أیضاً بصحیحة محمّد بن مسلم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و خطأه واحد</w:t>
      </w:r>
      <w:r>
        <w:rPr>
          <w:rFonts w:eastAsia="IRNazanin" w:cs="IRNazanin"/>
          <w:color w:val="111111"/>
          <w:sz w:val="28"/>
          <w:szCs w:val="28"/>
          <w:rtl w:val="true"/>
          <w:lang w:bidi="fa-IR"/>
        </w:rPr>
        <w:t>»</w:t>
      </w:r>
      <w:r>
        <w:rPr>
          <w:rStyle w:val="FootnoteAnchor"/>
          <w:rtl w:val="true"/>
        </w:rPr>
        <w:footnoteReference w:id="2805"/>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تدلّ علی کون الصبیّ مسلوب العبارة، و أنّه لا یترتّب علی فعله أیّ أثر؛ لأنّ الإنشاء متقوّم بالقصد، و هذه الروایة تدلّ علی أنّه لا قصد للصبیّ و أنّ کلّ قصده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مثل هذه الروایة تختصّ بباب الجنایات؛ لأنّ هذا المضمون یکون مذیّلاً فی بعض النصوص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تحمله العاقلة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ظاهر فی اختصاصه بباب الجنایات و لا یشمل المقام،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صحیحة محمّد بن مسلم خالیة عن هذا الذیل، فکان مقتضی إطلاقها عموم الحکم، فتشمل موارد الجنایة من أفعال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مدفوع بأنّ المذکور فی هذه النصوص إنّما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 الصبیّ و خطؤه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 عمد الصبیّ کلا عمد، و إنّما یعبّر بهذه العبارة فی مقام یکون کلّ من العمد و الخطإ فی الشریعة علی خلاف الآخر، فیراد بهذا التعبیر إفادة عدم تعدّد الحکم فی خصوص الصبیّ، و من المعلوم لا حکم لکلّ من العمد و الخطإ فی الشریعة علی خلاف الآخر إلّا فی باب الجنایات، و أمّا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حکم للخطإ فیه حتّی یکون حکم عمد الصبیّ و خطؤه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الفرقة؛ لأنّهم رووا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الصغیرة لیس لها مع أبیها أمر، و لم یفصّلوا</w:t>
      </w:r>
      <w:r>
        <w:rPr>
          <w:rFonts w:eastAsia="IRNazanin" w:cs="IRNazanin"/>
          <w:color w:val="111111"/>
          <w:sz w:val="28"/>
          <w:szCs w:val="28"/>
          <w:rtl w:val="true"/>
          <w:lang w:bidi="fa-IR"/>
        </w:rPr>
        <w:t>»</w:t>
      </w:r>
      <w:r>
        <w:rPr>
          <w:rStyle w:val="FootnoteAnchor"/>
          <w:rtl w:val="true"/>
        </w:rPr>
        <w:footnoteReference w:id="2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محجور علیه بالنصّ و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ممیّزاً أو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التصرّفات إلّا ما یستثنی</w:t>
      </w:r>
      <w:r>
        <w:rPr>
          <w:rFonts w:eastAsia="IRNazanin" w:cs="IRNazanin"/>
          <w:color w:val="111111"/>
          <w:sz w:val="28"/>
          <w:szCs w:val="28"/>
          <w:rtl w:val="true"/>
          <w:lang w:bidi="fa-IR"/>
        </w:rPr>
        <w:t>»</w:t>
      </w:r>
      <w:r>
        <w:rPr>
          <w:rStyle w:val="FootnoteAnchor"/>
          <w:rtl w:val="true"/>
        </w:rPr>
        <w:footnoteReference w:id="2807"/>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بین الأصحاب فی عدم انعقاد النکاح بعبارة الصبیّ</w:t>
      </w:r>
      <w:r>
        <w:rPr>
          <w:rFonts w:eastAsia="IRNazanin" w:cs="IRNazanin"/>
          <w:color w:val="111111"/>
          <w:sz w:val="28"/>
          <w:szCs w:val="28"/>
          <w:rtl w:val="true"/>
          <w:lang w:bidi="fa-IR"/>
        </w:rPr>
        <w:t>»</w:t>
      </w:r>
      <w:r>
        <w:rPr>
          <w:rStyle w:val="FootnoteAnchor"/>
          <w:rtl w:val="true"/>
        </w:rPr>
        <w:footnoteReference w:id="28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مفاتیح الشرائع</w:t>
      </w:r>
      <w:r>
        <w:rPr>
          <w:rStyle w:val="FootnoteAnchor"/>
          <w:rtl w:val="true"/>
        </w:rPr>
        <w:footnoteReference w:id="2809"/>
      </w:r>
      <w:r>
        <w:rPr>
          <w:rFonts w:eastAsia="Times New Roman" w:cs="Times New Roman" w:ascii="Times New Roman" w:hAnsi="Times New Roman"/>
          <w:color w:val="111111"/>
          <w:sz w:val="28"/>
          <w:szCs w:val="28"/>
          <w:rtl w:val="true"/>
          <w:lang w:val="en-US" w:bidi="en-US"/>
        </w:rPr>
        <w:t>.</w:t>
      </w:r>
      <w:bookmarkStart w:id="781" w:name="pg11757_135902"/>
    </w:p>
    <w:p>
      <w:pPr>
        <w:pStyle w:val="BookText"/>
        <w:rPr/>
      </w:pPr>
      <w:bookmarkEnd w:id="781"/>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یمکن تحصیل الإجماع علیه، بل ربما کان من الضروریّات</w:t>
      </w:r>
      <w:r>
        <w:rPr>
          <w:rFonts w:eastAsia="IRNazanin" w:cs="IRNazanin"/>
          <w:color w:val="111111"/>
          <w:sz w:val="28"/>
          <w:szCs w:val="28"/>
          <w:rtl w:val="true"/>
          <w:lang w:bidi="fa-IR"/>
        </w:rPr>
        <w:t>»</w:t>
      </w:r>
      <w:r>
        <w:rPr>
          <w:rStyle w:val="FootnoteAnchor"/>
          <w:rtl w:val="true"/>
        </w:rPr>
        <w:footnoteReference w:id="2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المتیقّن منه صورة الاستقلال، فلا تشمل ما إذا أذن الولیّ للصبیّ بإجراء عقد النکاح، و لا أقلّ من الشکّ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مستند الشیعة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فقد دلیل خاصّ أو عامّ</w:t>
      </w:r>
      <w:r>
        <w:rPr>
          <w:rFonts w:eastAsia="IRNazanin" w:cs="IRNazanin"/>
          <w:color w:val="111111"/>
          <w:sz w:val="28"/>
          <w:szCs w:val="28"/>
          <w:rtl w:val="true"/>
          <w:lang w:bidi="fa-IR"/>
        </w:rPr>
        <w:t>»</w:t>
      </w:r>
      <w:r>
        <w:rPr>
          <w:rStyle w:val="FootnoteAnchor"/>
          <w:rtl w:val="true"/>
        </w:rPr>
        <w:footnoteReference w:id="2811"/>
      </w:r>
      <w:r>
        <w:rPr>
          <w:rFonts w:ascii="IRNazanin" w:hAnsi="IRNazanin" w:eastAsia="IRNazanin"/>
          <w:color w:val="111111"/>
          <w:sz w:val="28"/>
          <w:sz w:val="28"/>
          <w:szCs w:val="28"/>
          <w:rtl w:val="true"/>
          <w:lang w:bidi="fa-IR"/>
        </w:rPr>
        <w:t>، و یلاحظ علیه بأنّ الدلیل قائم علی جواز کون الصبیّ مجریاً لعقد النکاح بإذن الولیّ و إجازته، کما سیأتی قریباً</w:t>
      </w:r>
      <w:r>
        <w:rPr>
          <w:rFonts w:eastAsia="IRNazanin" w:cs="IRNazanin"/>
          <w:color w:val="111111"/>
          <w:sz w:val="28"/>
          <w:szCs w:val="28"/>
          <w:rtl w:val="true"/>
          <w:lang w:bidi="fa-IR"/>
        </w:rPr>
        <w:t>.</w:t>
      </w:r>
    </w:p>
    <w:p>
      <w:pPr>
        <w:pStyle w:val="Heading5"/>
        <w:numPr>
          <w:ilvl w:val="4"/>
          <w:numId w:val="1"/>
        </w:numPr>
        <w:rPr/>
      </w:pPr>
      <w:bookmarkStart w:id="782" w:name="__RefHeading___Toc9697095_73709187"/>
      <w:bookmarkStart w:id="783" w:name="_Toc291"/>
      <w:bookmarkEnd w:id="782"/>
      <w:r>
        <w:rPr>
          <w:rtl w:val="true"/>
        </w:rPr>
        <w:t>الأدلّة الخاصّة علی عدم صحّة مباشرة الصبیّ لإنشاء عقد النکاح</w:t>
      </w:r>
      <w:bookmarkEnd w:id="783"/>
    </w:p>
    <w:p>
      <w:pPr>
        <w:pStyle w:val="BookText"/>
        <w:rPr/>
      </w:pPr>
      <w:r>
        <w:rPr>
          <w:rFonts w:ascii="IRNazanin" w:hAnsi="IRNazanin" w:eastAsia="IRNazanin"/>
          <w:color w:val="111111"/>
          <w:sz w:val="28"/>
          <w:sz w:val="28"/>
          <w:szCs w:val="28"/>
          <w:rtl w:val="true"/>
          <w:lang w:bidi="fa-IR"/>
        </w:rPr>
        <w:t>ما تقدّم من العمومات و الإطلاقات و معاقد الإجماعات التی تدلّ علی عدم الاعتبار بعقد الصبیّ و عدم انعقاد النکاح بعبارته، و هناک أخبار خاصّة تدلّ علی ذلک أیضاً، و أهمّها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عبد اللّه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الجاریة الصغیرة یزوّجها أبوها، لها أمر إذا بلغت؟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لها مع أبیها أمر</w:t>
      </w:r>
      <w:r>
        <w:rPr>
          <w:rFonts w:eastAsia="IRNazanin" w:cs="IRNazanin"/>
          <w:color w:val="111111"/>
          <w:sz w:val="28"/>
          <w:szCs w:val="28"/>
          <w:rtl w:val="true"/>
          <w:lang w:bidi="fa-IR"/>
        </w:rPr>
        <w:t>»</w:t>
      </w:r>
      <w:r>
        <w:rPr>
          <w:rStyle w:val="FootnoteAnchor"/>
          <w:rtl w:val="true"/>
        </w:rPr>
        <w:footnoteReference w:id="28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محمّد بن مسلم عن أحدهما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تستأمر الجاریة إذا کانت بین أبویها، لیس لها مع الأب أمر</w:t>
      </w:r>
      <w:r>
        <w:rPr>
          <w:rFonts w:eastAsia="IRNazanin" w:cs="IRNazanin"/>
          <w:color w:val="111111"/>
          <w:sz w:val="28"/>
          <w:szCs w:val="28"/>
          <w:rtl w:val="true"/>
          <w:lang w:bidi="fa-IR"/>
        </w:rPr>
        <w:t>»</w:t>
      </w:r>
      <w:r>
        <w:rPr>
          <w:rStyle w:val="FootnoteAnchor"/>
          <w:rtl w:val="true"/>
        </w:rPr>
        <w:footnoteReference w:id="2813"/>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الحلبی عن أبی عبد اللّه علیه السلام فی الجاریة یزوّجها أبوها بغیر رضاء</w:t>
      </w:r>
    </w:p>
    <w:p>
      <w:pPr>
        <w:pStyle w:val="BookText"/>
        <w:rPr/>
      </w:pPr>
      <w:r>
        <w:rPr>
          <w:rFonts w:ascii="IRNazanin" w:hAnsi="IRNazanin" w:eastAsia="IRNazanin"/>
          <w:color w:val="111111"/>
          <w:sz w:val="28"/>
          <w:sz w:val="28"/>
          <w:szCs w:val="28"/>
          <w:rtl w:val="true"/>
          <w:lang w:bidi="fa-IR"/>
        </w:rPr>
        <w:t>منها،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لها مع أبیها أمر، إذا أنکحها جاز نکاحه و إن کانت کارهة</w:t>
      </w:r>
      <w:r>
        <w:rPr>
          <w:rFonts w:eastAsia="IRNazanin" w:cs="IRNazanin"/>
          <w:color w:val="111111"/>
          <w:sz w:val="28"/>
          <w:szCs w:val="28"/>
          <w:rtl w:val="true"/>
          <w:lang w:bidi="fa-IR"/>
        </w:rPr>
        <w:t>»</w:t>
      </w:r>
      <w:r>
        <w:rPr>
          <w:rStyle w:val="FootnoteAnchor"/>
          <w:rtl w:val="true"/>
        </w:rPr>
        <w:footnoteReference w:id="28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معتبرة</w:t>
      </w:r>
      <w:r>
        <w:rPr>
          <w:rStyle w:val="FootnoteAnchor"/>
          <w:rtl w:val="true"/>
        </w:rPr>
        <w:footnoteReference w:id="2815"/>
      </w:r>
      <w:r>
        <w:rPr>
          <w:rFonts w:ascii="IRNazanin" w:hAnsi="IRNazanin" w:eastAsia="IRNazanin"/>
          <w:color w:val="111111"/>
          <w:sz w:val="28"/>
          <w:sz w:val="28"/>
          <w:szCs w:val="28"/>
          <w:rtl w:val="true"/>
          <w:lang w:bidi="fa-IR"/>
        </w:rPr>
        <w:t>إبراهیم بن میمون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کانت الجاریة بین أبویها فلیس لها مع أبویها أمر</w:t>
      </w:r>
      <w:r>
        <w:rPr>
          <w:rFonts w:eastAsia="IRNazanin" w:cs="IRNazanin"/>
          <w:color w:val="111111"/>
          <w:sz w:val="28"/>
          <w:szCs w:val="28"/>
          <w:rtl w:val="true"/>
          <w:lang w:bidi="fa-IR"/>
        </w:rPr>
        <w:t>»</w:t>
      </w:r>
      <w:r>
        <w:rPr>
          <w:rStyle w:val="FootnoteAnchor"/>
          <w:rtl w:val="true"/>
        </w:rPr>
        <w:footnoteReference w:id="2816"/>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بالأمر فی هذه النصوص</w:t>
      </w:r>
      <w:r>
        <w:rPr>
          <w:rStyle w:val="FootnoteAnchor"/>
          <w:rtl w:val="true"/>
        </w:rPr>
        <w:footnoteReference w:id="2817"/>
      </w:r>
      <w:r>
        <w:rPr>
          <w:rFonts w:ascii="IRNazanin" w:hAnsi="IRNazanin" w:eastAsia="IRNazanin"/>
          <w:color w:val="111111"/>
          <w:sz w:val="28"/>
          <w:sz w:val="28"/>
          <w:szCs w:val="28"/>
          <w:rtl w:val="true"/>
          <w:lang w:bidi="fa-IR"/>
        </w:rPr>
        <w:t>هو أمر النکاح، و یستفاد منها أنّ أمر نکاحها لیس بیدها و إنّما هو بید ولیّها من الأب و الجدّ، فلا یصحّ لها مباشرة نکاحها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 علیه أیضاً الروایات الدالّة علی حصر ولایة النکاح بالأب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 النکاح إلّا الأب</w:t>
      </w:r>
      <w:r>
        <w:rPr>
          <w:rFonts w:eastAsia="IRNazanin" w:cs="IRNazanin"/>
          <w:color w:val="111111"/>
          <w:sz w:val="28"/>
          <w:szCs w:val="28"/>
          <w:rtl w:val="true"/>
          <w:lang w:bidi="fa-IR"/>
        </w:rPr>
        <w:t>»</w:t>
      </w:r>
      <w:r>
        <w:rPr>
          <w:rStyle w:val="FootnoteAnchor"/>
          <w:rtl w:val="true"/>
        </w:rPr>
        <w:footnoteReference w:id="2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محمّد بن مسلم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 النکاح إلّا الأب</w:t>
      </w:r>
      <w:r>
        <w:rPr>
          <w:rFonts w:eastAsia="IRNazanin" w:cs="IRNazanin"/>
          <w:color w:val="111111"/>
          <w:sz w:val="28"/>
          <w:szCs w:val="28"/>
          <w:rtl w:val="true"/>
          <w:lang w:bidi="fa-IR"/>
        </w:rPr>
        <w:t>»</w:t>
      </w:r>
      <w:r>
        <w:rPr>
          <w:rStyle w:val="FootnoteAnchor"/>
          <w:rtl w:val="true"/>
        </w:rPr>
        <w:footnoteReference w:id="2819"/>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أبی مریم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الجاریة البکر التی لها الأب لا تتزوّج إلاّ بإذن أبیها</w:t>
      </w:r>
      <w:r>
        <w:rPr>
          <w:rFonts w:eastAsia="IRNazanin" w:cs="IRNazanin"/>
          <w:color w:val="111111"/>
          <w:sz w:val="28"/>
          <w:szCs w:val="28"/>
          <w:rtl w:val="true"/>
          <w:lang w:bidi="fa-IR"/>
        </w:rPr>
        <w:t>»</w:t>
      </w:r>
      <w:r>
        <w:rPr>
          <w:rStyle w:val="FootnoteAnchor"/>
          <w:rtl w:val="true"/>
        </w:rPr>
        <w:footnoteReference w:id="2820"/>
      </w:r>
      <w:r>
        <w:rPr>
          <w:rFonts w:eastAsia="Times New Roman" w:cs="Times New Roman" w:ascii="Times New Roman" w:hAnsi="Times New Roman"/>
          <w:color w:val="111111"/>
          <w:sz w:val="28"/>
          <w:szCs w:val="28"/>
          <w:rtl w:val="true"/>
          <w:lang w:val="en-US" w:bidi="en-US"/>
        </w:rPr>
        <w:t>.</w:t>
      </w:r>
      <w:bookmarkStart w:id="784" w:name="pg11757_135904"/>
    </w:p>
    <w:p>
      <w:pPr>
        <w:pStyle w:val="BookText"/>
        <w:rPr/>
      </w:pPr>
      <w:bookmarkEnd w:id="784"/>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عبد الرحمن بن أبی عبد اللّه،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 المرأة من شاءت إذا کانت مالکة لأمرها، فإن شاءت جعلت ولیّاً</w:t>
      </w:r>
      <w:r>
        <w:rPr>
          <w:rFonts w:eastAsia="IRNazanin" w:cs="IRNazanin"/>
          <w:color w:val="111111"/>
          <w:sz w:val="28"/>
          <w:szCs w:val="28"/>
          <w:rtl w:val="true"/>
          <w:lang w:bidi="fa-IR"/>
        </w:rPr>
        <w:t>»</w:t>
      </w:r>
      <w:r>
        <w:rPr>
          <w:rStyle w:val="FootnoteAnchor"/>
          <w:rtl w:val="true"/>
        </w:rPr>
        <w:footnoteReference w:id="2821"/>
      </w:r>
      <w:r>
        <w:rPr>
          <w:rFonts w:ascii="IRNazanin" w:hAnsi="IRNazanin" w:eastAsia="IRNazanin"/>
          <w:color w:val="111111"/>
          <w:sz w:val="28"/>
          <w:sz w:val="28"/>
          <w:szCs w:val="28"/>
          <w:rtl w:val="true"/>
          <w:lang w:bidi="fa-IR"/>
        </w:rPr>
        <w:t>، فإنّ مفهومها یکون هکذا، إذا لم تکن مالکة لأمرها لا تزوّج من شاءت و تکون محجوراً علیها لصغر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هذا کلّه فی فرض استقلال الصبیّ و بدون إذن الولیّ، فالمستفاد من النصوص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صریحها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اعتبار بعقد الصبیّ و لا ینعقد النکاح بعبارته، بل لعلّه کان من الضروریّات، کما فی الجواهر</w:t>
      </w:r>
      <w:r>
        <w:rPr>
          <w:rStyle w:val="FootnoteAnchor"/>
          <w:rtl w:val="true"/>
        </w:rPr>
        <w:footnoteReference w:id="2822"/>
      </w:r>
      <w:r>
        <w:rPr>
          <w:rFonts w:ascii="IRNazanin" w:hAnsi="IRNazanin" w:eastAsia="IRNazanin"/>
          <w:color w:val="111111"/>
          <w:sz w:val="28"/>
          <w:sz w:val="28"/>
          <w:szCs w:val="28"/>
          <w:rtl w:val="true"/>
          <w:lang w:bidi="fa-IR"/>
        </w:rPr>
        <w:t>، و هو متسالم علیه بینهم، کما فی مبانی العروة</w:t>
      </w:r>
      <w:r>
        <w:rPr>
          <w:rStyle w:val="FootnoteAnchor"/>
          <w:rtl w:val="true"/>
        </w:rPr>
        <w:footnoteReference w:id="28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بطلان نکاحه إذا کان بإذن الولیّ فلا یستفاد منها و لیست النصوص فی مقام بیان ذلک، و الکلام فیه کما یلی</w:t>
      </w:r>
      <w:r>
        <w:rPr>
          <w:rFonts w:eastAsia="IRNazanin" w:cs="IRNazanin"/>
          <w:color w:val="111111"/>
          <w:sz w:val="28"/>
          <w:szCs w:val="28"/>
          <w:rtl w:val="true"/>
          <w:lang w:bidi="fa-IR"/>
        </w:rPr>
        <w:t>:</w:t>
      </w:r>
    </w:p>
    <w:p>
      <w:pPr>
        <w:pStyle w:val="Heading5"/>
        <w:numPr>
          <w:ilvl w:val="4"/>
          <w:numId w:val="1"/>
        </w:numPr>
        <w:rPr/>
      </w:pPr>
      <w:bookmarkStart w:id="785" w:name="__RefHeading___Toc9697097_73709187"/>
      <w:bookmarkStart w:id="786" w:name="_Toc292"/>
      <w:bookmarkEnd w:id="785"/>
      <w:r>
        <w:rPr>
          <w:rtl w:val="true"/>
        </w:rPr>
        <w:t>مباشرة الصبیّ عقد النکاح بإذن الولیّ أو بالوکالة</w:t>
      </w:r>
      <w:bookmarkEnd w:id="786"/>
    </w:p>
    <w:p>
      <w:pPr>
        <w:pStyle w:val="BookText"/>
        <w:rPr/>
      </w:pPr>
      <w:r>
        <w:rPr>
          <w:rFonts w:ascii="IRNazanin" w:hAnsi="IRNazanin" w:eastAsia="IRNazanin"/>
          <w:color w:val="111111"/>
          <w:sz w:val="28"/>
          <w:sz w:val="28"/>
          <w:szCs w:val="28"/>
          <w:rtl w:val="true"/>
          <w:lang w:bidi="fa-IR"/>
        </w:rPr>
        <w:t>إذا کان مباشرة الصبیّ لإنشاء، عقد النکاح علی نحو غیر مستقلّ، کما لو کان بإذن الولیّ أو کان وکیلاً عنه أو عن الغیر، فهل یصحّ عقده أم لا؟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یصحّ، کما هو الظاهر من کلام الشهید قدس سره فی المسالک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فی ذلک بین الصبیّ الممیّز و غیره، و لا بین تولّیه ذلک لنفسه و لغیره، فإنّ الشارع سلب عبارته بالأصل</w:t>
      </w:r>
      <w:r>
        <w:rPr>
          <w:rFonts w:eastAsia="IRNazanin" w:cs="IRNazanin"/>
          <w:color w:val="111111"/>
          <w:sz w:val="28"/>
          <w:szCs w:val="28"/>
          <w:rtl w:val="true"/>
          <w:lang w:bidi="fa-IR"/>
        </w:rPr>
        <w:t>»</w:t>
      </w:r>
      <w:r>
        <w:rPr>
          <w:rStyle w:val="FootnoteAnchor"/>
          <w:rtl w:val="true"/>
        </w:rPr>
        <w:footnoteReference w:id="2824"/>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الضروریّات سلب حکم ألفاظهما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الصبیّ و المجنون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جمیع العقود، فکانت کأصوات البهائم بالنسبة إلی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النائینی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الأحوط عدم الاعتداد بعقده مطلقاً</w:t>
      </w:r>
      <w:r>
        <w:rPr>
          <w:rFonts w:eastAsia="IRNazanin" w:cs="IRNazanin"/>
          <w:color w:val="111111"/>
          <w:sz w:val="28"/>
          <w:szCs w:val="28"/>
          <w:rtl w:val="true"/>
          <w:lang w:bidi="fa-IR"/>
        </w:rPr>
        <w:t>»</w:t>
      </w:r>
      <w:r>
        <w:rPr>
          <w:rStyle w:val="FootnoteAnchor"/>
          <w:rtl w:val="true"/>
        </w:rPr>
        <w:footnoteReference w:id="2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له المحقّق العراقی بأنّ ظاهر حدیث رفع القلم</w:t>
      </w:r>
      <w:r>
        <w:rPr>
          <w:rStyle w:val="FootnoteAnchor"/>
          <w:rtl w:val="true"/>
        </w:rPr>
        <w:footnoteReference w:id="28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یصلح أن یجری علیه القلم، و هو لیس إلّا تحدید المؤاخذات بعد ثبوت استحقاقها، أو إنشاء الأحکام تکلیفیّة و وضعیّة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المعلوم أیضاً أنّ نفی قلم التحدید فی المؤاخذة أیضاً لا یقتضی نفی استحقاقها، فهو خلاف المنساق من الروایة، فینحصر الأمر باحتمال نفی قلم التکلیف و الوضع الذی منه صحّة عقودها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قصور فی التمسّک بإطلاق رفع القلم عن صحّة هذا العقد لمحض کونه صادراً عن الصبیّ و إن تعلّقت به إجازة ولیّه أو نفسه بعد بلوغه، و لا نعنی من سلب العبارة إلّا هذا</w:t>
      </w:r>
      <w:r>
        <w:rPr>
          <w:rFonts w:eastAsia="IRNazanin" w:cs="IRNazanin"/>
          <w:color w:val="111111"/>
          <w:sz w:val="28"/>
          <w:szCs w:val="28"/>
          <w:rtl w:val="true"/>
          <w:lang w:bidi="fa-IR"/>
        </w:rPr>
        <w:t>»</w:t>
      </w:r>
      <w:r>
        <w:rPr>
          <w:rStyle w:val="FootnoteAnchor"/>
          <w:rtl w:val="true"/>
        </w:rPr>
        <w:footnoteReference w:id="2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ربما یؤمی إلیه فی الجملة خبر رفع القلم المشهور، بناءً علی إرادة ما یشمل ذلک منه لا خصوص التکلیفی</w:t>
      </w:r>
      <w:r>
        <w:rPr>
          <w:rFonts w:eastAsia="IRNazanin" w:cs="IRNazanin"/>
          <w:color w:val="111111"/>
          <w:sz w:val="28"/>
          <w:szCs w:val="28"/>
          <w:rtl w:val="true"/>
          <w:lang w:bidi="fa-IR"/>
        </w:rPr>
        <w:t>»</w:t>
      </w:r>
      <w:r>
        <w:rPr>
          <w:rStyle w:val="FootnoteAnchor"/>
          <w:rtl w:val="true"/>
        </w:rPr>
        <w:footnoteReference w:id="2828"/>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مناقشة هذا الاستدلال بأنّ حدیث رفع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یدلّ علی رفع ما فی حمله کلفة و ثقل و مشقّة، و ذلک بقرینة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کلّ ما فیه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وضعاً أو تکلیفاً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بالحدیث، و من الواضح أنّ مجرّد إجراء العقد لیس ممّا فیه کلفة و ثقل و مشقّة علی الصبیّ لکی یرتفع</w:t>
      </w:r>
    </w:p>
    <w:p>
      <w:pPr>
        <w:pStyle w:val="BookText"/>
        <w:rPr/>
      </w:pPr>
      <w:r>
        <w:rPr>
          <w:rFonts w:ascii="IRNazanin" w:hAnsi="IRNazanin" w:eastAsia="IRNazanin"/>
          <w:color w:val="111111"/>
          <w:sz w:val="28"/>
          <w:sz w:val="28"/>
          <w:szCs w:val="28"/>
          <w:rtl w:val="true"/>
          <w:lang w:bidi="fa-IR"/>
        </w:rPr>
        <w:t>و قال الفاضل اللنکرانی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یقم دلیل علی سقوط عبارة الصبیّ مطلقاً، و حجره من التصرّفات المالیّة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شرعیّة عباداته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ملازمة لعدم سقوط العبارة و إن کان قلم التکلیف الإلزامی أعمّ من الوجوب و الحرمة مرفوعاً عنه</w:t>
      </w:r>
      <w:r>
        <w:rPr>
          <w:rFonts w:eastAsia="IRNazanin" w:cs="IRNazanin"/>
          <w:color w:val="111111"/>
          <w:sz w:val="28"/>
          <w:szCs w:val="28"/>
          <w:rtl w:val="true"/>
          <w:lang w:bidi="fa-IR"/>
        </w:rPr>
        <w:t>»</w:t>
      </w:r>
      <w:r>
        <w:rPr>
          <w:rStyle w:val="FootnoteAnchor"/>
          <w:rtl w:val="true"/>
        </w:rPr>
        <w:footnoteReference w:id="28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یؤیّد أنّ الصبیّ لیس مسلوب العبارة مطلقاً القول بجواز تصرّفه بإذن الولیّ فی موارد متعدّدة، کما عن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فی عاریة الشرائع،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تصحّ إعارة الصبیّ و لا المجنون، و لو أذن الولیّ جاز للصبیّ مع مراعاة المصلحة</w:t>
      </w:r>
      <w:r>
        <w:rPr>
          <w:rFonts w:eastAsia="IRNazanin" w:cs="IRNazanin"/>
          <w:color w:val="111111"/>
          <w:sz w:val="28"/>
          <w:szCs w:val="28"/>
          <w:rtl w:val="true"/>
          <w:lang w:bidi="fa-IR"/>
        </w:rPr>
        <w:t>»</w:t>
      </w:r>
      <w:r>
        <w:rPr>
          <w:rStyle w:val="FootnoteAnchor"/>
          <w:rtl w:val="true"/>
        </w:rPr>
        <w:footnoteReference w:id="2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کتاب الإجارة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آجر المجنون لم تنعقد إجارته، و کذا الصبیّ غیر الممیّز و کذا الممیّز إلاّ بإذن ولیّه، و فیه تردّد</w:t>
      </w:r>
      <w:r>
        <w:rPr>
          <w:rFonts w:eastAsia="IRNazanin" w:cs="IRNazanin"/>
          <w:color w:val="111111"/>
          <w:sz w:val="28"/>
          <w:szCs w:val="28"/>
          <w:rtl w:val="true"/>
          <w:lang w:bidi="fa-IR"/>
        </w:rPr>
        <w:t>»</w:t>
      </w:r>
      <w:r>
        <w:rPr>
          <w:rStyle w:val="FootnoteAnchor"/>
          <w:rtl w:val="true"/>
        </w:rPr>
        <w:footnoteReference w:id="2831"/>
      </w:r>
      <w:r>
        <w:rPr>
          <w:rFonts w:ascii="IRNazanin" w:hAnsi="IRNazanin" w:eastAsia="IRNazanin"/>
          <w:color w:val="111111"/>
          <w:sz w:val="28"/>
          <w:sz w:val="28"/>
          <w:szCs w:val="28"/>
          <w:rtl w:val="true"/>
          <w:lang w:bidi="fa-IR"/>
        </w:rPr>
        <w:t>، و ظاهره المیل إلی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المحقّقین،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ظهر رشده حال العقود صحّت العقود قطعاً</w:t>
      </w:r>
      <w:r>
        <w:rPr>
          <w:rFonts w:eastAsia="IRNazanin" w:cs="IRNazanin"/>
          <w:color w:val="111111"/>
          <w:sz w:val="28"/>
          <w:szCs w:val="28"/>
          <w:rtl w:val="true"/>
          <w:lang w:bidi="fa-IR"/>
        </w:rPr>
        <w:t>»</w:t>
      </w:r>
      <w:r>
        <w:rPr>
          <w:rStyle w:val="FootnoteAnchor"/>
          <w:rtl w:val="true"/>
        </w:rPr>
        <w:footnoteReference w:id="2832"/>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الأردبیلی،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یبعد جواز بیعه و شرائه و سائر معاملاته إذا کان بصیراً ممیّزاً رشیداً یعرف نفعه و ضرره فی المال، و طریق الحفظ و التصرّف، کما کان نجده فی کثیر من الصبیان، فإنّه قد یوجد بینهم من هو أعظم فی هذه الاُمور عن آبائهم، فلا مانع له من إیقاع العقد خصوصاً مع إذن الولیّ، أو حضوره بعد تعیینه الثمن</w:t>
      </w:r>
      <w:r>
        <w:rPr>
          <w:rFonts w:eastAsia="IRNazanin" w:cs="IRNazanin"/>
          <w:color w:val="111111"/>
          <w:sz w:val="28"/>
          <w:szCs w:val="28"/>
          <w:rtl w:val="true"/>
          <w:lang w:bidi="fa-IR"/>
        </w:rPr>
        <w:t>»</w:t>
      </w:r>
      <w:r>
        <w:rPr>
          <w:rStyle w:val="FootnoteAnchor"/>
          <w:rtl w:val="true"/>
        </w:rPr>
        <w:footnoteReference w:id="2833"/>
      </w:r>
      <w:r>
        <w:rPr>
          <w:rFonts w:ascii="IRNazanin" w:hAnsi="IRNazanin" w:eastAsia="IRNazanin"/>
          <w:color w:val="111111"/>
          <w:sz w:val="28"/>
          <w:sz w:val="28"/>
          <w:szCs w:val="28"/>
          <w:rtl w:val="true"/>
          <w:lang w:bidi="fa-IR"/>
        </w:rPr>
        <w:t>و کذا فی الإرشاد</w:t>
      </w:r>
      <w:r>
        <w:rPr>
          <w:rStyle w:val="FootnoteAnchor"/>
          <w:rtl w:val="true"/>
        </w:rPr>
        <w:footnoteReference w:id="2834"/>
      </w:r>
      <w:r>
        <w:rPr>
          <w:rFonts w:eastAsia="Times New Roman" w:cs="Times New Roman" w:ascii="Times New Roman" w:hAnsi="Times New Roman"/>
          <w:color w:val="111111"/>
          <w:sz w:val="28"/>
          <w:szCs w:val="28"/>
          <w:rtl w:val="true"/>
          <w:lang w:val="en-US" w:bidi="en-US"/>
        </w:rPr>
        <w:t>.</w:t>
      </w:r>
      <w:bookmarkStart w:id="787" w:name="pg11757_135907"/>
    </w:p>
    <w:p>
      <w:pPr>
        <w:pStyle w:val="BookText"/>
        <w:rPr/>
      </w:pPr>
      <w:bookmarkEnd w:id="787"/>
      <w:r>
        <w:rPr>
          <w:rFonts w:ascii="IRNazanin" w:hAnsi="IRNazanin" w:eastAsia="IRNazanin"/>
          <w:color w:val="111111"/>
          <w:sz w:val="28"/>
          <w:sz w:val="28"/>
          <w:szCs w:val="28"/>
          <w:rtl w:val="true"/>
          <w:lang w:bidi="fa-IR"/>
        </w:rPr>
        <w:t>و بالجملة، فإنّ الصبیّ لو کان مسلوب العبارة فإجازة الولیّ و إذنه لا تصیّره غیر مسلوب العبارة</w:t>
      </w:r>
      <w:r>
        <w:rPr>
          <w:rFonts w:eastAsia="IRNazanin" w:cs="IRNazanin"/>
          <w:color w:val="111111"/>
          <w:sz w:val="28"/>
          <w:szCs w:val="28"/>
          <w:rtl w:val="true"/>
          <w:lang w:bidi="fa-IR"/>
        </w:rPr>
        <w:t>.</w:t>
      </w:r>
    </w:p>
    <w:p>
      <w:pPr>
        <w:pStyle w:val="Heading5"/>
        <w:numPr>
          <w:ilvl w:val="4"/>
          <w:numId w:val="1"/>
        </w:numPr>
        <w:rPr/>
      </w:pPr>
      <w:bookmarkStart w:id="788" w:name="__RefHeading___Toc9697099_73709187"/>
      <w:bookmarkStart w:id="789" w:name="_Toc293"/>
      <w:bookmarkEnd w:id="788"/>
      <w:r>
        <w:rPr>
          <w:rtl w:val="true"/>
        </w:rPr>
        <w:t>القول الثانی</w:t>
      </w:r>
      <w:r>
        <w:rPr>
          <w:rtl w:val="true"/>
        </w:rPr>
        <w:t xml:space="preserve">: </w:t>
      </w:r>
      <w:r>
        <w:rPr>
          <w:rtl w:val="true"/>
        </w:rPr>
        <w:t>أنّه یصحّ‌</w:t>
      </w:r>
      <w:bookmarkEnd w:id="789"/>
    </w:p>
    <w:p>
      <w:pPr>
        <w:pStyle w:val="BookText"/>
        <w:rPr/>
      </w:pPr>
      <w:r>
        <w:rPr>
          <w:rFonts w:ascii="IRNazanin" w:hAnsi="IRNazanin" w:eastAsia="IRNazanin"/>
          <w:color w:val="111111"/>
          <w:sz w:val="28"/>
          <w:sz w:val="28"/>
          <w:szCs w:val="28"/>
          <w:rtl w:val="true"/>
          <w:lang w:bidi="fa-IR"/>
        </w:rPr>
        <w:t>صرّح جماعة من الفقهاء أنّه یصحّ نکاح الصبیّ إذا کان بإذن الولیّ، أو کان وکیلاً عن الولیّ أو عن غیره</w:t>
      </w:r>
      <w:r>
        <w:rPr>
          <w:rStyle w:val="FootnoteAnchor"/>
          <w:rtl w:val="true"/>
        </w:rPr>
        <w:footnoteReference w:id="2835"/>
      </w:r>
      <w:r>
        <w:rPr>
          <w:rFonts w:ascii="IRNazanin" w:hAnsi="IRNazanin" w:eastAsia="IRNazanin"/>
          <w:color w:val="111111"/>
          <w:sz w:val="28"/>
          <w:sz w:val="28"/>
          <w:szCs w:val="28"/>
          <w:rtl w:val="true"/>
          <w:lang w:bidi="fa-IR"/>
        </w:rPr>
        <w:t>، و هو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فی العاقد المجری للصیغة الکمال بالبلوغ 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فی الصبیّ الوکیل عن الغیر محلّ تأمّل؛ لعدم الدلیل علی سلب عبارته</w:t>
      </w:r>
      <w:r>
        <w:rPr>
          <w:rFonts w:eastAsia="IRNazanin" w:cs="IRNazanin"/>
          <w:color w:val="111111"/>
          <w:sz w:val="28"/>
          <w:szCs w:val="28"/>
          <w:rtl w:val="true"/>
          <w:lang w:bidi="fa-IR"/>
        </w:rPr>
        <w:t>»</w:t>
      </w:r>
      <w:r>
        <w:rPr>
          <w:rStyle w:val="FootnoteAnchor"/>
          <w:rtl w:val="true"/>
        </w:rPr>
        <w:footnoteReference w:id="28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السیّد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منع</w:t>
      </w:r>
      <w:r>
        <w:rPr>
          <w:rFonts w:eastAsia="IRNazanin" w:cs="IRNazanin"/>
          <w:color w:val="111111"/>
          <w:sz w:val="28"/>
          <w:szCs w:val="28"/>
          <w:rtl w:val="true"/>
          <w:lang w:bidi="fa-IR"/>
        </w:rPr>
        <w:t>»</w:t>
      </w:r>
      <w:r>
        <w:rPr>
          <w:rStyle w:val="FootnoteAnchor"/>
          <w:rtl w:val="true"/>
        </w:rPr>
        <w:footnoteReference w:id="2837"/>
      </w:r>
      <w:r>
        <w:rPr>
          <w:rFonts w:ascii="IRNazanin" w:hAnsi="IRNazanin" w:eastAsia="IRNazanin"/>
          <w:color w:val="111111"/>
          <w:sz w:val="28"/>
          <w:sz w:val="28"/>
          <w:szCs w:val="28"/>
          <w:rtl w:val="true"/>
          <w:lang w:bidi="fa-IR"/>
        </w:rPr>
        <w:t>، و اختاره السیّد الفیروزآبادی</w:t>
      </w:r>
      <w:r>
        <w:rPr>
          <w:rStyle w:val="FootnoteAnchor"/>
          <w:rtl w:val="true"/>
        </w:rPr>
        <w:footnoteReference w:id="2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مصباح الفقاهة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کونه وکیلاً عن غیره فی عقد أو إیقاع و لو کان التوکیل علی نحو التفویض، سواء کان الموکّل ولیّاً أم کان غیره</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فیوقع الصبیّ العقد أو الإیقاع و لو کان علی نحو الاستقلال، و بدون إذن الولیّ فضلاً عمّا إذا أوقعه بإذنه، أو کان وکیلاً فی إجراء الصیغة فقط، 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نفوذ تصرّفات الصبیّ فی هذه الصورة</w:t>
      </w:r>
      <w:r>
        <w:rPr>
          <w:rFonts w:eastAsia="IRNazanin" w:cs="IRNazanin"/>
          <w:color w:val="111111"/>
          <w:sz w:val="28"/>
          <w:szCs w:val="28"/>
          <w:rtl w:val="true"/>
          <w:lang w:bidi="fa-IR"/>
        </w:rPr>
        <w:t>»</w:t>
      </w:r>
      <w:r>
        <w:rPr>
          <w:rStyle w:val="FootnoteAnchor"/>
          <w:rtl w:val="true"/>
        </w:rPr>
        <w:footnoteReference w:id="2839"/>
      </w:r>
      <w:r>
        <w:rPr>
          <w:rFonts w:ascii="IRNazanin" w:hAnsi="IRNazanin" w:eastAsia="IRNazanin"/>
          <w:color w:val="111111"/>
          <w:sz w:val="28"/>
          <w:sz w:val="28"/>
          <w:szCs w:val="28"/>
          <w:rtl w:val="true"/>
          <w:lang w:bidi="fa-IR"/>
        </w:rPr>
        <w:t>، و اختاره فی مستمسک العروة</w:t>
      </w:r>
      <w:r>
        <w:rPr>
          <w:rStyle w:val="FootnoteAnchor"/>
          <w:rtl w:val="true"/>
        </w:rPr>
        <w:footnoteReference w:id="28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مهذّب الأحکام و جامع المدارک</w:t>
      </w:r>
      <w:r>
        <w:rPr>
          <w:rStyle w:val="FootnoteAnchor"/>
          <w:rtl w:val="true"/>
        </w:rPr>
        <w:footnoteReference w:id="2841"/>
      </w:r>
      <w:r>
        <w:rPr>
          <w:rFonts w:ascii="IRNazanin" w:hAnsi="IRNazanin" w:eastAsia="IRNazanin"/>
          <w:color w:val="111111"/>
          <w:sz w:val="28"/>
          <w:sz w:val="28"/>
          <w:szCs w:val="28"/>
          <w:rtl w:val="true"/>
          <w:lang w:bidi="fa-IR"/>
        </w:rPr>
        <w:t>، و احتاط فی</w:t>
      </w:r>
      <w:bookmarkStart w:id="790" w:name="pg11757_135908"/>
    </w:p>
    <w:p>
      <w:pPr>
        <w:pStyle w:val="BookText"/>
        <w:rPr/>
      </w:pPr>
      <w:bookmarkEnd w:id="790"/>
      <w:r>
        <w:rPr>
          <w:rFonts w:ascii="IRNazanin" w:hAnsi="IRNazanin" w:eastAsia="IRNazanin"/>
          <w:color w:val="111111"/>
          <w:sz w:val="28"/>
          <w:sz w:val="28"/>
          <w:szCs w:val="28"/>
          <w:rtl w:val="true"/>
          <w:lang w:bidi="fa-IR"/>
        </w:rPr>
        <w:t>تحریر الوسیلة</w:t>
      </w:r>
      <w:r>
        <w:rPr>
          <w:rStyle w:val="FootnoteAnchor"/>
          <w:rtl w:val="true"/>
        </w:rPr>
        <w:footnoteReference w:id="2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قصد الصبیّ الممیّز المعنی فی عقد النکاح لنفسه أو لغیره وکالةً أو فضولاً مع إذن الولیّ أو إجازته أو أجاز بعد البلوغ فالعقد صحیح</w:t>
      </w:r>
      <w:r>
        <w:rPr>
          <w:rFonts w:eastAsia="IRNazanin" w:cs="IRNazanin"/>
          <w:color w:val="111111"/>
          <w:sz w:val="28"/>
          <w:szCs w:val="28"/>
          <w:rtl w:val="true"/>
          <w:lang w:bidi="fa-IR"/>
        </w:rPr>
        <w:t>»</w:t>
      </w:r>
      <w:r>
        <w:rPr>
          <w:rStyle w:val="FootnoteAnchor"/>
          <w:rtl w:val="true"/>
        </w:rPr>
        <w:footnoteReference w:id="28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1" w:name="__RefHeading___Toc9697101_73709187"/>
      <w:bookmarkStart w:id="792" w:name="_Toc294"/>
      <w:bookmarkEnd w:id="791"/>
      <w:r>
        <w:rPr>
          <w:rtl w:val="true"/>
        </w:rPr>
        <w:t>أدلّة صحّة عقد نکاح الصبیّ وکالة عن غیره</w:t>
      </w:r>
      <w:bookmarkEnd w:id="792"/>
    </w:p>
    <w:p>
      <w:pPr>
        <w:pStyle w:val="BookText"/>
        <w:rPr/>
      </w:pPr>
      <w:r>
        <w:rPr>
          <w:rFonts w:ascii="IRNazanin" w:hAnsi="IRNazanin" w:eastAsia="IRNazanin"/>
          <w:color w:val="111111"/>
          <w:sz w:val="28"/>
          <w:sz w:val="28"/>
          <w:szCs w:val="28"/>
          <w:rtl w:val="true"/>
          <w:lang w:bidi="fa-IR"/>
        </w:rPr>
        <w:t>و یمکن أن یستدلّ لذلک باُمور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ابْتَلُوا الْیَتامی حَتّی إِذا بَلَغُوا النِّکاحَ فَإِنْ آنَسْتُمْ مِنْهُمْ رُشْداً فَادْفَعُوا إِلَیْهِمْ أَمْوالَهُمْ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تقدّم فی مبحث حجر الصبیّ و بلوغه</w:t>
      </w:r>
      <w:r>
        <w:rPr>
          <w:rStyle w:val="FootnoteAnchor"/>
          <w:rtl w:val="true"/>
        </w:rPr>
        <w:footnoteReference w:id="2844"/>
      </w:r>
      <w:r>
        <w:rPr>
          <w:rFonts w:ascii="IRNazanin" w:hAnsi="IRNazanin" w:eastAsia="IRNazanin"/>
          <w:color w:val="111111"/>
          <w:sz w:val="28"/>
          <w:sz w:val="28"/>
          <w:szCs w:val="28"/>
          <w:rtl w:val="true"/>
          <w:lang w:bidi="fa-IR"/>
        </w:rPr>
        <w:t>أنّ الابتلاء و الاختبار یکون قبل البلوغ، و الظاهر من ابتلائهم ابتلاؤهم بالمعاملة بالأموال؛ لاختبار رشدهم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حملها علی الابتلاء بمقدّمات العقد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فَادْفَعُوا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ادفعوا بقیة أموالهم، فلا ینافی دفع بعض أموالهم لأجل الابتلاء و الاختبار</w:t>
      </w:r>
      <w:r>
        <w:rPr>
          <w:rStyle w:val="FootnoteAnchor"/>
          <w:rtl w:val="true"/>
        </w:rPr>
        <w:footnoteReference w:id="2845"/>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فإذا کان ممیّزاً بصیراً و ظهر رشده و یعرف معانی الألفاظ و یقصد المعنی فی النکاح، فلا یبعد جواز عقده؛ لأنّه لو کان ممّن لا اعتداد بکلامه ما کان ینبغی 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السکونی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رسول اللّه صلی الله علیه و آله عن کسب الإماء، فإنّها إن لم تجد زنت، إلاّ أمَة قد عرفت بصنعة ید، و نهی عن کسب الغلام الصغیر الذی لا یحسن صناعة بیده</w:t>
      </w:r>
      <w:r>
        <w:rPr>
          <w:rFonts w:eastAsia="IRNazanin" w:cs="IRNazanin"/>
          <w:color w:val="111111"/>
          <w:sz w:val="28"/>
          <w:szCs w:val="28"/>
          <w:rtl w:val="true"/>
          <w:lang w:bidi="fa-IR"/>
        </w:rPr>
        <w:t>»</w:t>
      </w:r>
      <w:r>
        <w:rPr>
          <w:rStyle w:val="FootnoteAnchor"/>
          <w:rtl w:val="true"/>
        </w:rPr>
        <w:footnoteReference w:id="2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التقیید و التعلیل ظاهران فی نفوذ کسبه فی الجملة، و إذا حمل النهی علی الکراهة فالدلالة أظهر</w:t>
      </w:r>
      <w:r>
        <w:rPr>
          <w:rStyle w:val="FootnoteAnchor"/>
          <w:rtl w:val="true"/>
        </w:rPr>
        <w:footnoteReference w:id="2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الروایة و إن وردت فی جواز الکسب و لکن لا فرق بینه و بین النکاح؛ لأنّ الملاک هو تصرّف الصبیّ بالإذن، مضافاً إلی أنّ النکاح أیضاً یشتمل علی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تؤیّدها روایة إبراهیم بن أبی یحیی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 رسول اللّه صلی الله علیه و آله امّ سلمة، زوّجها إیّاه عمر بن أبی سلمة و هو صغیر لم یبلغ الحلم</w:t>
      </w:r>
      <w:r>
        <w:rPr>
          <w:rFonts w:eastAsia="IRNazanin" w:cs="IRNazanin"/>
          <w:color w:val="111111"/>
          <w:sz w:val="28"/>
          <w:szCs w:val="28"/>
          <w:rtl w:val="true"/>
          <w:lang w:bidi="fa-IR"/>
        </w:rPr>
        <w:t>»</w:t>
      </w:r>
      <w:r>
        <w:rPr>
          <w:rStyle w:val="FootnoteAnchor"/>
          <w:rtl w:val="true"/>
        </w:rPr>
        <w:footnoteReference w:id="2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دلالتها تامّة إلاّ أنّها ضعیفة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لم یرد فیه توثیق، و کان حدیثه ضعیفاً</w:t>
      </w:r>
      <w:r>
        <w:rPr>
          <w:rStyle w:val="FootnoteAnchor"/>
          <w:rtl w:val="true"/>
        </w:rPr>
        <w:footnoteReference w:id="2849"/>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التی ادّعاها غیر واحد من الأعلام علی وقوع المعاملة مع الصبیان قبل البلوغ فی بلاد الإسلام و فی جمیع الأعصار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حملها علی کونها صادرة من غیر المبالین فی الدِّین کما تری خلاف المقطوع به، فإنّ الظاهر استقرار سیرة العقلاء علی معاملة الممیّزین مع رشدهم کالبالغین، و لأجل عدم الردع عن الاستقلال کما عرفت لا عن المعاملة کلّیة فإذاً لا یبعد القول بجواز</w:t>
      </w:r>
    </w:p>
    <w:p>
      <w:pPr>
        <w:pStyle w:val="BookText"/>
        <w:rPr/>
      </w:pPr>
      <w:r>
        <w:rPr>
          <w:rFonts w:ascii="IRNazanin" w:hAnsi="IRNazanin" w:eastAsia="IRNazanin"/>
          <w:color w:val="111111"/>
          <w:sz w:val="28"/>
          <w:sz w:val="28"/>
          <w:szCs w:val="28"/>
          <w:rtl w:val="true"/>
          <w:lang w:bidi="fa-IR"/>
        </w:rPr>
        <w:t>تصرّف الصبیّ بإذن الولیّ کما فی المستمسک</w:t>
      </w:r>
      <w:r>
        <w:rPr>
          <w:rStyle w:val="FootnoteAnchor"/>
          <w:rtl w:val="true"/>
        </w:rPr>
        <w:footnoteReference w:id="28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مهذّب الأحکام</w:t>
      </w:r>
      <w:r>
        <w:rPr>
          <w:rStyle w:val="FootnoteAnchor"/>
          <w:rtl w:val="true"/>
        </w:rPr>
        <w:footnoteReference w:id="2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الأصل جواز ذلک؛ لأنّ المنع عن تصرّفات الصبیّ وکالة عن الولی أو عن الأجنبیّ لا بدّ أن یکون بدلیل، و من المعلوم أنّه لا دلیل للمنع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غایة ما یستفاد من الأدلّة هو عدم نفوذ عقد الصبیّ بما هو عقده، و هذا لا ینافی نفوذ ذلک بما أنّه مضاف إلی الموکّل، سواء کان الموکّل ولیّاً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یقم دلیل علی سقوط عبارة الصبیّ مطلقاً</w:t>
      </w:r>
      <w:r>
        <w:rPr>
          <w:rFonts w:eastAsia="IRNazanin" w:cs="IRNazanin"/>
          <w:color w:val="111111"/>
          <w:sz w:val="28"/>
          <w:szCs w:val="28"/>
          <w:rtl w:val="true"/>
          <w:lang w:bidi="fa-IR"/>
        </w:rPr>
        <w:t>»</w:t>
      </w:r>
      <w:r>
        <w:rPr>
          <w:rStyle w:val="FootnoteAnchor"/>
          <w:rtl w:val="true"/>
        </w:rPr>
        <w:footnoteReference w:id="2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صرّح السیّد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غایة ما یستفاد من النصوص المتقدّمة أنّ عقد الصبیّ لا یکون نافذاً بالنسبة إلی نفسه، و أمّا بالنسبة إلی غیره فلا دلیل علی عدم نفوذه بعد فرض أنّه لیس مسلوب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 اعتبار البلوغ فی الوکیل، بل یجوز أن یکون صبیّاً إذا کان ممیّزاً عاقلاً، و الروایات الواردة فی المقام غیر شاملة للمورد؛ إذ الصبیّ حینئذٍ غیر مأخوذ بالعقد و إنّما المأخوذ به هو الموکّل خاصّة؛ فإنّ الأمر أمره و العقد عقده، فتشمله عمومات الوفاء بالعقد</w:t>
      </w:r>
      <w:r>
        <w:rPr>
          <w:rFonts w:eastAsia="IRNazanin" w:cs="IRNazanin"/>
          <w:color w:val="111111"/>
          <w:sz w:val="28"/>
          <w:szCs w:val="28"/>
          <w:rtl w:val="true"/>
          <w:lang w:bidi="fa-IR"/>
        </w:rPr>
        <w:t>»</w:t>
      </w:r>
      <w:r>
        <w:rPr>
          <w:rStyle w:val="FootnoteAnchor"/>
          <w:rtl w:val="true"/>
        </w:rPr>
        <w:footnoteReference w:id="2853"/>
      </w:r>
      <w:r>
        <w:rPr>
          <w:rFonts w:ascii="IRNazanin" w:hAnsi="IRNazanin" w:eastAsia="IRNazanin"/>
          <w:color w:val="111111"/>
          <w:sz w:val="28"/>
          <w:sz w:val="28"/>
          <w:szCs w:val="28"/>
          <w:rtl w:val="true"/>
          <w:lang w:bidi="fa-IR"/>
        </w:rPr>
        <w:t>، و قریب من هذا فی جامع المدارک</w:t>
      </w:r>
      <w:r>
        <w:rPr>
          <w:rStyle w:val="FootnoteAnchor"/>
          <w:rtl w:val="true"/>
        </w:rPr>
        <w:footnoteReference w:id="2854"/>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الأظهر هو صحّة انعقاد عقد النکاح من الصبیّ الممیّز بإذن ولیّه أو وکالةً عنه أو عن غیره، و لعلّ المقصود فی کلام الفقهاء الذین قالوا بعدم صحّته منه هو غیر هذا الفرض، أی إذا کان مستقلّاً فی إجراء</w:t>
      </w:r>
      <w:bookmarkStart w:id="793" w:name="pg11757_135911"/>
    </w:p>
    <w:p>
      <w:pPr>
        <w:pStyle w:val="BookText"/>
        <w:rPr/>
      </w:pPr>
      <w:bookmarkEnd w:id="793"/>
      <w:r>
        <w:rPr>
          <w:rFonts w:ascii="IRNazanin" w:hAnsi="IRNazanin" w:eastAsia="IRNazanin"/>
          <w:color w:val="111111"/>
          <w:sz w:val="28"/>
          <w:sz w:val="28"/>
          <w:szCs w:val="28"/>
          <w:rtl w:val="true"/>
          <w:lang w:bidi="fa-IR"/>
        </w:rPr>
        <w:t>العقد؛ لأنّ المستفاد من الأدلّة هو ذلک، و تقدّم بعض الکلام فی مبحث بیع الصبیّ‌</w:t>
      </w:r>
      <w:r>
        <w:rPr>
          <w:rStyle w:val="FootnoteAnchor"/>
          <w:rtl w:val="true"/>
        </w:rPr>
        <w:footnoteReference w:id="2855"/>
      </w:r>
      <w:r>
        <w:rPr>
          <w:rFonts w:ascii="IRNazanin" w:hAnsi="IRNazanin" w:eastAsia="IRNazanin"/>
          <w:color w:val="111111"/>
          <w:sz w:val="28"/>
          <w:sz w:val="28"/>
          <w:szCs w:val="28"/>
          <w:rtl w:val="true"/>
          <w:lang w:bidi="fa-IR"/>
        </w:rPr>
        <w:t>، فراجع هناک، و لا داعی للإعادة</w:t>
      </w:r>
      <w:r>
        <w:rPr>
          <w:rFonts w:eastAsia="IRNazanin" w:cs="IRNazanin"/>
          <w:color w:val="111111"/>
          <w:sz w:val="28"/>
          <w:szCs w:val="28"/>
          <w:rtl w:val="true"/>
          <w:lang w:bidi="fa-IR"/>
        </w:rPr>
        <w:t>.</w:t>
      </w:r>
    </w:p>
    <w:p>
      <w:pPr>
        <w:pStyle w:val="Heading5"/>
        <w:numPr>
          <w:ilvl w:val="4"/>
          <w:numId w:val="1"/>
        </w:numPr>
        <w:rPr/>
      </w:pPr>
      <w:bookmarkStart w:id="794" w:name="__RefHeading___Toc9697103_73709187"/>
      <w:bookmarkStart w:id="795" w:name="_Toc295"/>
      <w:bookmarkEnd w:id="794"/>
      <w:r>
        <w:rPr>
          <w:rtl w:val="true"/>
        </w:rPr>
        <w:t>الفرق بین الإذن و الإجازة و الوکالة</w:t>
      </w:r>
      <w:bookmarkEnd w:id="795"/>
    </w:p>
    <w:p>
      <w:pPr>
        <w:pStyle w:val="BookText"/>
        <w:rPr/>
      </w:pPr>
      <w:r>
        <w:rPr>
          <w:rFonts w:ascii="IRNazanin" w:hAnsi="IRNazanin" w:eastAsia="IRNazanin"/>
          <w:color w:val="111111"/>
          <w:sz w:val="28"/>
          <w:sz w:val="28"/>
          <w:szCs w:val="28"/>
          <w:rtl w:val="true"/>
          <w:lang w:bidi="fa-IR"/>
        </w:rPr>
        <w:t>یعبّر فی کلمات الأصحاب تارةً بإذن الولیّ و أُخری بإجازته و ثالثة بالوکالة، و هل یکون بین هذه المفاهیم فرق؟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یستعمل الفقهاء الإذن و الإباحة بمعنی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الجرجانی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الإذن بإتیان الفعل کیف شاء الفاعل</w:t>
      </w:r>
      <w:r>
        <w:rPr>
          <w:rFonts w:eastAsia="IRNazanin" w:cs="IRNazanin"/>
          <w:color w:val="111111"/>
          <w:sz w:val="28"/>
          <w:szCs w:val="28"/>
          <w:rtl w:val="true"/>
          <w:lang w:bidi="fa-IR"/>
        </w:rPr>
        <w:t>»</w:t>
      </w:r>
      <w:r>
        <w:rPr>
          <w:rStyle w:val="FootnoteAnchor"/>
          <w:rtl w:val="true"/>
        </w:rPr>
        <w:footnoteReference w:id="2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مجمع البحرین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الأذان إمّا من الإذن بمعنی العلم، أو من الإذن بمعنی الإجازة</w:t>
      </w:r>
      <w:r>
        <w:rPr>
          <w:rFonts w:eastAsia="IRNazanin" w:cs="IRNazanin"/>
          <w:color w:val="111111"/>
          <w:sz w:val="28"/>
          <w:szCs w:val="28"/>
          <w:rtl w:val="true"/>
          <w:lang w:bidi="fa-IR"/>
        </w:rPr>
        <w:t>»</w:t>
      </w:r>
      <w:r>
        <w:rPr>
          <w:rStyle w:val="FootnoteAnchor"/>
          <w:rtl w:val="true"/>
        </w:rPr>
        <w:footnoteReference w:id="2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فالإجازة و الإذن کلاهما یدلّ علی الموافقة علی الفعل و لکنّ الفرق بینهما إنّما هو فی زمان صدور الرخصة، فإن کان ذلک قبل وقوع التصرّف أو صدور الفعل فهو إذن، و إن کان بعد وقوعهما فهو 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قد یعبّر عن الإجازة بالإمضاء،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أجازه أمره، إذا أمضاه و جعله جائزاً، و أجزت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جعلته جائزاً و نافذاً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الإذن فهو إجازة الإتیان بالفعل قبل وقوعه و صدوره</w:t>
      </w:r>
      <w:r>
        <w:rPr>
          <w:rStyle w:val="FootnoteAnchor"/>
          <w:rtl w:val="true"/>
        </w:rPr>
        <w:footnoteReference w:id="2858"/>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الفرق بین الإذن و الوکالة فإنّ الإذن من الإیقاعات لا یحتاج إلی</w:t>
      </w:r>
      <w:bookmarkStart w:id="796" w:name="pg11757_135912"/>
    </w:p>
    <w:p>
      <w:pPr>
        <w:pStyle w:val="BookText"/>
        <w:rPr/>
      </w:pPr>
      <w:bookmarkEnd w:id="796"/>
      <w:r>
        <w:rPr>
          <w:rFonts w:ascii="IRNazanin" w:hAnsi="IRNazanin" w:eastAsia="IRNazanin"/>
          <w:color w:val="111111"/>
          <w:sz w:val="28"/>
          <w:sz w:val="28"/>
          <w:szCs w:val="28"/>
          <w:rtl w:val="true"/>
          <w:lang w:bidi="fa-IR"/>
        </w:rPr>
        <w:t>القبول، و أمّا الوکالة فهی من العقود و تحتاج إلی إیجاب و قبول</w:t>
      </w:r>
      <w:r>
        <w:rPr>
          <w:rStyle w:val="FootnoteAnchor"/>
          <w:rtl w:val="true"/>
        </w:rPr>
        <w:footnoteReference w:id="2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الإذن إن ادّیت بصورة العقد أو معاطاته کانت وکالة، و إلّا فهی إذن</w:t>
      </w:r>
      <w:r>
        <w:rPr>
          <w:rFonts w:eastAsia="IRNazanin" w:cs="IRNazanin"/>
          <w:color w:val="111111"/>
          <w:sz w:val="28"/>
          <w:szCs w:val="28"/>
          <w:rtl w:val="true"/>
          <w:lang w:bidi="fa-IR"/>
        </w:rPr>
        <w:t>»</w:t>
      </w:r>
      <w:r>
        <w:rPr>
          <w:rStyle w:val="FootnoteAnchor"/>
          <w:rtl w:val="true"/>
        </w:rPr>
        <w:footnoteReference w:id="28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7" w:name="__RefHeading___Toc9697105_73709187"/>
      <w:bookmarkStart w:id="798" w:name="_Toc296"/>
      <w:bookmarkEnd w:id="797"/>
      <w:r>
        <w:rPr>
          <w:rtl w:val="true"/>
        </w:rPr>
        <w:t>نکاح الصبیّ عند أهل السنّة</w:t>
      </w:r>
      <w:bookmarkEnd w:id="798"/>
    </w:p>
    <w:p>
      <w:pPr>
        <w:pStyle w:val="BookText"/>
        <w:rPr/>
      </w:pPr>
      <w:r>
        <w:rPr>
          <w:rFonts w:ascii="IRNazanin" w:hAnsi="IRNazanin" w:eastAsia="IRNazanin"/>
          <w:color w:val="111111"/>
          <w:sz w:val="28"/>
          <w:sz w:val="28"/>
          <w:szCs w:val="28"/>
          <w:rtl w:val="true"/>
          <w:lang w:bidi="fa-IR"/>
        </w:rPr>
        <w:t>اتّفقت المذاهب الأربعة علی أنّه لا ینعقد النکاح من الصبیّ غیر الممیّز، سواء أذِنَ له الولیّ أم لا؛ لأنّ النکاح یحتاج إلی القصد و الإنشاء، و غیر الممیّز لا یتأتّی منه القصد، و لیس هو أهلاً للتصرّف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الذخیرة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فی الزوج شروط للصحّة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التمییز و العقل حتّی یتأتّی منه الإنشاء للعقد، فیخرج الصبیّ غیر الممیّز و المجنون</w:t>
      </w:r>
      <w:r>
        <w:rPr>
          <w:rFonts w:eastAsia="IRNazanin" w:cs="IRNazanin"/>
          <w:color w:val="111111"/>
          <w:sz w:val="28"/>
          <w:szCs w:val="28"/>
          <w:rtl w:val="true"/>
          <w:lang w:bidi="fa-IR"/>
        </w:rPr>
        <w:t>»</w:t>
      </w:r>
      <w:r>
        <w:rPr>
          <w:rStyle w:val="FootnoteAnchor"/>
          <w:rtl w:val="true"/>
        </w:rPr>
        <w:footnoteReference w:id="2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لم ینعقد النکاح من الصبیّ الممیّز إذا کان مستقلّاً فی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یصحّ و ینفذ إن أذن له الولیّ أو أجازه بعد النکاح أم لا؟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الحنفیّة و المالکیّة و الحنابلة إلی أنّه ینعقد منه النکاح، قال الکاسانی</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بیان شرائط الجواز و النفاذ فأنواع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العاقد بالغاً، فإنّ نکاح الصبیّ العاقل و إن کان منعقداً علی أصل أصحابنا فهو غیر نافذ، بل نفاذه یتوقّف علی إجازة ولیّه؛ لأنّ نفاذ التصرّف لاشتماله علی وجه المصلحة، و الصبیّ لقلّة تأمّله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لاشتغاله باللهو و اللعب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یقف علی ذلک، فلا ینفذ تصرّفه، بل یتوقّف علی إجازة ولیّه</w:t>
      </w:r>
      <w:r>
        <w:rPr>
          <w:rFonts w:eastAsia="IRNazanin" w:cs="IRNazanin"/>
          <w:color w:val="111111"/>
          <w:sz w:val="28"/>
          <w:szCs w:val="28"/>
          <w:rtl w:val="true"/>
          <w:lang w:bidi="fa-IR"/>
        </w:rPr>
        <w:t>»</w:t>
      </w:r>
      <w:r>
        <w:rPr>
          <w:rStyle w:val="FootnoteAnchor"/>
          <w:rtl w:val="true"/>
        </w:rPr>
        <w:footnoteReference w:id="2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الذخیرة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تزوّج صبیّ یقوی علی الجماع بغیر إذن أبیه أو وصیّه، إن أجازه ولیّه جاز؛ کبیعه و شرائه، و إن فسخه قبل البناء أو بعده فلا صداق؛ لأنّ إصابته کلاشیء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الصبیّ ینعقد نکاحه دون طلاقه؛ لأنّ عقد النکاح سبب إباحة الوط‌ء، و هو أهل للخطاب بالإباحة و الندب و الکراهة دون الوجوب و التحریم؛ لأنّها التکلیف</w:t>
      </w:r>
      <w:r>
        <w:rPr>
          <w:rFonts w:eastAsia="IRNazanin" w:cs="IRNazanin"/>
          <w:color w:val="111111"/>
          <w:sz w:val="28"/>
          <w:szCs w:val="28"/>
          <w:rtl w:val="true"/>
          <w:lang w:bidi="fa-IR"/>
        </w:rPr>
        <w:t>»</w:t>
      </w:r>
      <w:r>
        <w:rPr>
          <w:rStyle w:val="FootnoteAnchor"/>
          <w:rtl w:val="true"/>
        </w:rPr>
        <w:footnoteReference w:id="2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صرّح الحنفیّة و الحنابلة بأنّه یصحّ أن یکون الصبیّ وکیلاً عن الغیر فی إجراء عقد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نجیم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التمییز شرط فی متولّی العقد للانعقاد، أصیلاً کان أو لم یکن، فلم ینعقد النکاح بمباشرة المجنون و الصبیّ الذی لا یعقل، و أمّا البلوغ و الحرّیّة فشرط النفاذ فی متولّی العقد لنفسه لا لغیره، فتوقّف عقد الصبیّ العاقل و العبد علی إجازة الولیّ و المولی</w:t>
      </w:r>
      <w:r>
        <w:rPr>
          <w:rFonts w:eastAsia="IRNazanin" w:cs="IRNazanin"/>
          <w:color w:val="111111"/>
          <w:sz w:val="28"/>
          <w:szCs w:val="28"/>
          <w:rtl w:val="true"/>
          <w:lang w:bidi="fa-IR"/>
        </w:rPr>
        <w:t>»</w:t>
      </w:r>
      <w:r>
        <w:rPr>
          <w:rStyle w:val="FootnoteAnchor"/>
          <w:rtl w:val="true"/>
        </w:rPr>
        <w:footnoteReference w:id="28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کشّاف القناع</w:t>
      </w:r>
      <w:r>
        <w:rPr>
          <w:rStyle w:val="FootnoteAnchor"/>
          <w:rtl w:val="true"/>
        </w:rPr>
        <w:footnoteReference w:id="2865"/>
      </w:r>
      <w:r>
        <w:rPr>
          <w:rFonts w:ascii="IRNazanin" w:hAnsi="IRNazanin" w:eastAsia="IRNazanin"/>
          <w:color w:val="111111"/>
          <w:sz w:val="28"/>
          <w:sz w:val="28"/>
          <w:szCs w:val="28"/>
          <w:rtl w:val="true"/>
          <w:lang w:bidi="fa-IR"/>
        </w:rPr>
        <w:t>و منتهی الإرادات</w:t>
      </w:r>
      <w:r>
        <w:rPr>
          <w:rStyle w:val="FootnoteAnchor"/>
          <w:rtl w:val="true"/>
        </w:rPr>
        <w:footnoteReference w:id="2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الکاسانی فی کتاب الوکالة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البلوغ و الحرّیة فلیسا بشرط لصحّة الوکالة، فتصحّ وکالة الصبیّ العاقل و العبد، مأذونین کانا أو محجورین، و هذا عند أصحابنا، و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وکالة الصبیّ غیر صحیحة</w:t>
      </w:r>
      <w:r>
        <w:rPr>
          <w:rFonts w:eastAsia="IRNazanin" w:cs="IRNazanin"/>
          <w:color w:val="111111"/>
          <w:sz w:val="28"/>
          <w:szCs w:val="28"/>
          <w:rtl w:val="true"/>
          <w:lang w:bidi="fa-IR"/>
        </w:rPr>
        <w:t>»</w:t>
      </w:r>
      <w:r>
        <w:rPr>
          <w:rStyle w:val="FootnoteAnchor"/>
          <w:rtl w:val="true"/>
        </w:rPr>
        <w:footnoteReference w:id="2867"/>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الشافعیّة بعدم صحّة نکاح الصبیّ مطلقاً و لو أذن له الولیّ، جاء فی المجموع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نکاح الصبیّ بنفسه و لا سائر تصرّفاته، لکن فی تدبیره و وصیّته خلاف مذکور فی موضعه، و الأصحّ بطلانهما أیضاً، و سواء</w:t>
      </w:r>
    </w:p>
    <w:p>
      <w:pPr>
        <w:pStyle w:val="BookText"/>
        <w:rPr/>
      </w:pPr>
      <w:r>
        <w:rPr>
          <w:rFonts w:ascii="IRNazanin" w:hAnsi="IRNazanin" w:eastAsia="IRNazanin"/>
          <w:color w:val="111111"/>
          <w:sz w:val="28"/>
          <w:sz w:val="28"/>
          <w:szCs w:val="28"/>
          <w:rtl w:val="true"/>
          <w:lang w:bidi="fa-IR"/>
        </w:rPr>
        <w:t>فی هذا کلّه أذِن الولیّ أم لا؛ لأنّ عبارته ملغاة، فلا أثر لإذن الولیّ، کما لو أذن لمجنون</w:t>
      </w:r>
      <w:r>
        <w:rPr>
          <w:rFonts w:eastAsia="IRNazanin" w:cs="IRNazanin"/>
          <w:color w:val="111111"/>
          <w:sz w:val="28"/>
          <w:szCs w:val="28"/>
          <w:rtl w:val="true"/>
          <w:lang w:bidi="fa-IR"/>
        </w:rPr>
        <w:t>»</w:t>
      </w:r>
      <w:r>
        <w:rPr>
          <w:rStyle w:val="FootnoteAnchor"/>
          <w:rtl w:val="true"/>
        </w:rPr>
        <w:footnoteReference w:id="2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یصحّ النکاح إلّا من جائز التصرّف، فأمّا الصبیّ و المجنون فلا یصحّ منهما عقد النکاح؛ لأنّه عقد معاوضة فلم یصحّ من الصبیّ و المجنون کالبیع</w:t>
      </w:r>
      <w:r>
        <w:rPr>
          <w:rFonts w:eastAsia="IRNazanin" w:cs="IRNazanin"/>
          <w:color w:val="111111"/>
          <w:sz w:val="28"/>
          <w:szCs w:val="28"/>
          <w:rtl w:val="true"/>
          <w:lang w:bidi="fa-IR"/>
        </w:rPr>
        <w:t>»</w:t>
      </w:r>
      <w:r>
        <w:rPr>
          <w:rStyle w:val="FootnoteAnchor"/>
          <w:rtl w:val="true"/>
        </w:rPr>
        <w:footnoteReference w:id="2869"/>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جواهر العقود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یصحّ النکاح إلّا من جائز التصرّف عند عامّة الفقهاء، و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نکاح الصبیّ و السفیه موقوفاً علی إجازة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منع الشافعی من هذا</w:t>
      </w:r>
      <w:r>
        <w:rPr>
          <w:rFonts w:eastAsia="IRNazanin" w:cs="IRNazanin"/>
          <w:color w:val="111111"/>
          <w:sz w:val="28"/>
          <w:szCs w:val="28"/>
          <w:rtl w:val="true"/>
          <w:lang w:bidi="fa-IR"/>
        </w:rPr>
        <w:t>»</w:t>
      </w:r>
      <w:r>
        <w:rPr>
          <w:rStyle w:val="FootnoteAnchor"/>
          <w:rtl w:val="true"/>
        </w:rPr>
        <w:footnoteReference w:id="2870"/>
      </w:r>
      <w:r>
        <w:rPr>
          <w:rFonts w:eastAsia="Times New Roman" w:cs="Times New Roman" w:ascii="Times New Roman" w:hAnsi="Times New Roman"/>
          <w:color w:val="111111"/>
          <w:sz w:val="28"/>
          <w:szCs w:val="28"/>
          <w:rtl w:val="true"/>
          <w:lang w:val="en-US" w:bidi="en-US"/>
        </w:rPr>
        <w:t>.</w:t>
      </w:r>
      <w:bookmarkStart w:id="799" w:name="pg11757_135915"/>
    </w:p>
    <w:p>
      <w:pPr>
        <w:pStyle w:val="Heading4"/>
        <w:numPr>
          <w:ilvl w:val="3"/>
          <w:numId w:val="1"/>
        </w:numPr>
        <w:rPr/>
      </w:pPr>
      <w:bookmarkStart w:id="800" w:name="__RefHeading___Toc9697107_73709187"/>
      <w:bookmarkStart w:id="801" w:name="_Toc297"/>
      <w:bookmarkEnd w:id="799"/>
      <w:bookmarkEnd w:id="800"/>
      <w:r>
        <w:rPr>
          <w:rtl w:val="true"/>
        </w:rPr>
        <w:t>المبحث الثانی</w:t>
      </w:r>
      <w:r>
        <w:rPr>
          <w:rtl w:val="true"/>
        </w:rPr>
        <w:t xml:space="preserve">: </w:t>
      </w:r>
      <w:r>
        <w:rPr>
          <w:rtl w:val="true"/>
        </w:rPr>
        <w:t>طلاق الصبیّ‌</w:t>
      </w:r>
      <w:bookmarkEnd w:id="801"/>
    </w:p>
    <w:p>
      <w:pPr>
        <w:pStyle w:val="Heading5"/>
        <w:numPr>
          <w:ilvl w:val="4"/>
          <w:numId w:val="1"/>
        </w:numPr>
        <w:rPr/>
      </w:pPr>
      <w:bookmarkStart w:id="802" w:name="__RefHeading___Toc9697109_73709187"/>
      <w:bookmarkStart w:id="803" w:name="_Toc298"/>
      <w:bookmarkEnd w:id="802"/>
      <w:r>
        <w:rPr>
          <w:rtl w:val="true"/>
        </w:rPr>
        <w:t>اشارة</w:t>
      </w:r>
      <w:bookmarkEnd w:id="803"/>
    </w:p>
    <w:p>
      <w:pPr>
        <w:pStyle w:val="BookText"/>
        <w:rPr/>
      </w:pPr>
      <w:r>
        <w:rPr>
          <w:rFonts w:ascii="IRNazanin" w:hAnsi="IRNazanin" w:eastAsia="IRNazanin"/>
          <w:color w:val="111111"/>
          <w:sz w:val="28"/>
          <w:sz w:val="28"/>
          <w:szCs w:val="28"/>
          <w:rtl w:val="true"/>
          <w:lang w:bidi="fa-IR"/>
        </w:rPr>
        <w:t>اتّفق الأصحاب علی بطلان طلاق غیر الممیّز من الصبیان و من لم یبلغ العشر</w:t>
      </w:r>
      <w:r>
        <w:rPr>
          <w:rStyle w:val="FootnoteAnchor"/>
          <w:rtl w:val="true"/>
        </w:rPr>
        <w:footnoteReference w:id="2871"/>
      </w:r>
      <w:r>
        <w:rPr>
          <w:rFonts w:ascii="IRNazanin" w:hAnsi="IRNazanin" w:eastAsia="IRNazanin"/>
          <w:color w:val="111111"/>
          <w:sz w:val="28"/>
          <w:sz w:val="28"/>
          <w:szCs w:val="28"/>
          <w:rtl w:val="true"/>
          <w:lang w:bidi="fa-IR"/>
        </w:rPr>
        <w:t>، و اختلفوا فی طلاق الصبیّ الممیّز الذی بلغ عشر سنین علی قولین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یصحّ</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إلیه الشیخ فی النهایة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الغلام إذا طلّق و کان ممّن یحسن الطلاق، و قد أتی علیه عشر سنین فصاعداً، جاز طلاقه، و کذلک عتقه و صدقته و وصیّته، و متی کان سنّه أقلّ من ذلک، و لا یکون ممّن یحسن الطلاق، فإنّه لا یجوز طلاقه</w:t>
      </w:r>
      <w:r>
        <w:rPr>
          <w:rFonts w:eastAsia="IRNazanin" w:cs="IRNazanin"/>
          <w:color w:val="111111"/>
          <w:sz w:val="28"/>
          <w:szCs w:val="28"/>
          <w:rtl w:val="true"/>
          <w:lang w:bidi="fa-IR"/>
        </w:rPr>
        <w:t>»</w:t>
      </w:r>
      <w:r>
        <w:rPr>
          <w:rStyle w:val="FootnoteAnchor"/>
          <w:rtl w:val="true"/>
        </w:rPr>
        <w:footnoteReference w:id="28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التهذیب</w:t>
      </w:r>
      <w:r>
        <w:rPr>
          <w:rStyle w:val="FootnoteAnchor"/>
          <w:rtl w:val="true"/>
        </w:rPr>
        <w:footnoteReference w:id="2873"/>
      </w:r>
      <w:r>
        <w:rPr>
          <w:rFonts w:ascii="Amiri" w:hAnsi="Amiri" w:eastAsia="Amiri" w:cs="Amiri"/>
          <w:color w:val="111111"/>
          <w:sz w:val="28"/>
          <w:sz w:val="28"/>
          <w:szCs w:val="28"/>
          <w:rtl w:val="true"/>
          <w:lang w:bidi="ar-SA"/>
        </w:rPr>
        <w:t>، و تبعه ابن البرّاج و ابن حمزة</w:t>
      </w:r>
    </w:p>
    <w:p>
      <w:pPr>
        <w:pStyle w:val="BookText"/>
        <w:rPr/>
      </w:pPr>
      <w:r>
        <w:rPr>
          <w:rFonts w:ascii="IRNazanin" w:hAnsi="IRNazanin" w:eastAsia="IRNazanin"/>
          <w:color w:val="111111"/>
          <w:sz w:val="28"/>
          <w:sz w:val="28"/>
          <w:szCs w:val="28"/>
          <w:rtl w:val="true"/>
          <w:lang w:bidi="fa-IR"/>
        </w:rPr>
        <w:t>و ابن سعید</w:t>
      </w:r>
      <w:r>
        <w:rPr>
          <w:rStyle w:val="FootnoteAnchor"/>
          <w:rtl w:val="true"/>
        </w:rPr>
        <w:footnoteReference w:id="2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سوَّغ ابن الجنید أیضاً طلاق الصبیّ إذا کان یعقل الطلاق، و یضع الاُمور فی مواضعها، و من کان بغیر هذه المنزلة منهم لاطلاق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علیّ بن بابویه فی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الغلام إذا طلّق للسنّة فطلاقه جائز</w:t>
      </w:r>
      <w:r>
        <w:rPr>
          <w:rStyle w:val="FootnoteAnchor"/>
          <w:rtl w:val="true"/>
        </w:rPr>
        <w:footnoteReference w:id="2875"/>
      </w:r>
      <w:r>
        <w:rPr>
          <w:rFonts w:ascii="IRNazanin" w:hAnsi="IRNazanin" w:eastAsia="IRNazanin"/>
          <w:color w:val="111111"/>
          <w:sz w:val="28"/>
          <w:sz w:val="28"/>
          <w:szCs w:val="28"/>
          <w:rtl w:val="true"/>
          <w:lang w:bidi="fa-IR"/>
        </w:rPr>
        <w:t>، و کذا فی الفقه المنسوب إلی الإمام الرضا علیه السلام</w:t>
      </w:r>
      <w:r>
        <w:rPr>
          <w:rStyle w:val="FootnoteAnchor"/>
          <w:rtl w:val="true"/>
        </w:rPr>
        <w:footnoteReference w:id="2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هذا القول هو المشهور بین المتقدّمین، و نسبه فی الإیضاح</w:t>
      </w:r>
      <w:r>
        <w:rPr>
          <w:rStyle w:val="FootnoteAnchor"/>
          <w:rtl w:val="true"/>
        </w:rPr>
        <w:footnoteReference w:id="2877"/>
      </w:r>
      <w:r>
        <w:rPr>
          <w:rFonts w:ascii="IRNazanin" w:hAnsi="IRNazanin" w:eastAsia="IRNazanin"/>
          <w:color w:val="111111"/>
          <w:sz w:val="28"/>
          <w:sz w:val="28"/>
          <w:szCs w:val="28"/>
          <w:rtl w:val="true"/>
          <w:lang w:bidi="fa-IR"/>
        </w:rPr>
        <w:t>و المهذّب البارع</w:t>
      </w:r>
      <w:r>
        <w:rPr>
          <w:rStyle w:val="FootnoteAnchor"/>
          <w:rtl w:val="true"/>
        </w:rPr>
        <w:footnoteReference w:id="2878"/>
      </w:r>
      <w:r>
        <w:rPr>
          <w:rFonts w:ascii="IRNazanin" w:hAnsi="IRNazanin" w:eastAsia="IRNazanin"/>
          <w:color w:val="111111"/>
          <w:sz w:val="28"/>
          <w:sz w:val="28"/>
          <w:szCs w:val="28"/>
          <w:rtl w:val="true"/>
          <w:lang w:bidi="fa-IR"/>
        </w:rPr>
        <w:t>إلی مقنعة المفید أیضاً، و لکن لم نعثر علیه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ذکر فی باب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بلغ الصبیّ عشر سنین جازت وصیّته فی المعروف من وجوه البرّ</w:t>
      </w:r>
      <w:r>
        <w:rPr>
          <w:rStyle w:val="FootnoteAnchor"/>
          <w:rtl w:val="true"/>
        </w:rPr>
        <w:footnoteReference w:id="2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قال بصحّة وصیّته قال بصحّة طلاقه، فهو بعید و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ظاهر کلام ابن بابویه فی الفقیه</w:t>
      </w:r>
      <w:r>
        <w:rPr>
          <w:rStyle w:val="FootnoteAnchor"/>
          <w:rtl w:val="true"/>
        </w:rPr>
        <w:footnoteReference w:id="2880"/>
      </w:r>
      <w:r>
        <w:rPr>
          <w:rFonts w:ascii="IRNazanin" w:hAnsi="IRNazanin" w:eastAsia="IRNazanin"/>
          <w:color w:val="111111"/>
          <w:sz w:val="28"/>
          <w:sz w:val="28"/>
          <w:szCs w:val="28"/>
          <w:rtl w:val="true"/>
          <w:lang w:bidi="fa-IR"/>
        </w:rPr>
        <w:t>؛ لاقتصاره علی نقل مضمرة سماعة الدالّة علی هذا القول، و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أقرب</w:t>
      </w:r>
      <w:r>
        <w:rPr>
          <w:rStyle w:val="FootnoteAnchor"/>
          <w:rtl w:val="true"/>
        </w:rPr>
        <w:footnoteReference w:id="2881"/>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بالنظر إلی الأخبار، فإنّ قوّة قول الشیخ ممّا لا یداخله الإنکار</w:t>
      </w:r>
      <w:r>
        <w:rPr>
          <w:rFonts w:eastAsia="IRNazanin" w:cs="IRNazanin"/>
          <w:color w:val="111111"/>
          <w:sz w:val="28"/>
          <w:szCs w:val="28"/>
          <w:rtl w:val="true"/>
          <w:lang w:bidi="fa-IR"/>
        </w:rPr>
        <w:t>»</w:t>
      </w:r>
      <w:r>
        <w:rPr>
          <w:rStyle w:val="FootnoteAnchor"/>
          <w:rtl w:val="true"/>
        </w:rPr>
        <w:footnoteReference w:id="2882"/>
      </w:r>
      <w:r>
        <w:rPr>
          <w:rFonts w:ascii="IRNazanin" w:hAnsi="IRNazanin" w:eastAsia="IRNazanin"/>
          <w:color w:val="111111"/>
          <w:sz w:val="28"/>
          <w:sz w:val="28"/>
          <w:szCs w:val="28"/>
          <w:rtl w:val="true"/>
          <w:lang w:bidi="fa-IR"/>
        </w:rPr>
        <w:t>، و اختاره السیّد الخوئی فی مصباح الفقاهة</w:t>
      </w:r>
      <w:r>
        <w:rPr>
          <w:rStyle w:val="FootnoteAnchor"/>
          <w:rtl w:val="true"/>
        </w:rPr>
        <w:footnoteReference w:id="2883"/>
      </w:r>
      <w:r>
        <w:rPr>
          <w:rFonts w:ascii="IRNazanin" w:hAnsi="IRNazanin" w:eastAsia="IRNazanin"/>
          <w:color w:val="111111"/>
          <w:sz w:val="28"/>
          <w:sz w:val="28"/>
          <w:szCs w:val="28"/>
          <w:rtl w:val="true"/>
          <w:lang w:bidi="fa-IR"/>
        </w:rPr>
        <w:t>، و لکن قال</w:t>
      </w:r>
      <w:bookmarkStart w:id="804" w:name="pg11757_135917"/>
    </w:p>
    <w:p>
      <w:pPr>
        <w:pStyle w:val="BookText"/>
        <w:rPr/>
      </w:pPr>
      <w:bookmarkEnd w:id="804"/>
      <w:r>
        <w:rPr>
          <w:rFonts w:ascii="IRNazanin" w:hAnsi="IRNazanin" w:eastAsia="IRNazanin"/>
          <w:color w:val="111111"/>
          <w:sz w:val="28"/>
          <w:sz w:val="28"/>
          <w:szCs w:val="28"/>
          <w:rtl w:val="true"/>
          <w:lang w:bidi="fa-IR"/>
        </w:rPr>
        <w:t>فی منهاج الصالحین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یصحّ طلاق الصبیّ و إن بلغ عشراً</w:t>
      </w:r>
      <w:r>
        <w:rPr>
          <w:rFonts w:eastAsia="IRNazanin" w:cs="IRNazanin"/>
          <w:color w:val="111111"/>
          <w:sz w:val="28"/>
          <w:szCs w:val="28"/>
          <w:rtl w:val="true"/>
          <w:lang w:bidi="fa-IR"/>
        </w:rPr>
        <w:t>»</w:t>
      </w:r>
      <w:r>
        <w:rPr>
          <w:rStyle w:val="FootnoteAnchor"/>
          <w:rtl w:val="true"/>
        </w:rPr>
        <w:footnoteReference w:id="2884"/>
      </w:r>
      <w:r>
        <w:rPr>
          <w:rFonts w:ascii="IRNazanin" w:hAnsi="IRNazanin" w:eastAsia="IRNazanin"/>
          <w:color w:val="111111"/>
          <w:sz w:val="28"/>
          <w:sz w:val="28"/>
          <w:szCs w:val="28"/>
          <w:rtl w:val="true"/>
          <w:lang w:bidi="fa-IR"/>
        </w:rPr>
        <w:t>، و صرّح الشیخ الفاضل اللنکرانی بصحّة طلاق الصبیّ مع التمییز</w:t>
      </w:r>
      <w:r>
        <w:rPr>
          <w:rStyle w:val="FootnoteAnchor"/>
          <w:rtl w:val="true"/>
        </w:rPr>
        <w:footnoteReference w:id="2885"/>
      </w:r>
      <w:r>
        <w:rPr>
          <w:rFonts w:ascii="IRNazanin" w:hAnsi="IRNazanin" w:eastAsia="IRNazanin"/>
          <w:color w:val="111111"/>
          <w:sz w:val="28"/>
          <w:sz w:val="28"/>
          <w:szCs w:val="28"/>
          <w:rtl w:val="true"/>
          <w:lang w:bidi="fa-IR"/>
        </w:rPr>
        <w:t>، و مال إلیه المحقّق النائینی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بعضهم استثنی من الفروع وصیّته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طلاقه و عتقه و معاملته الصادرة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المستثنیات و إن لم تکن إجماعیّة إلاّ أنّ جملة من المحقّقین التزموا بصحّتها من الصبیّ الممیّز أو ممّن بلغ عشراً</w:t>
      </w:r>
      <w:r>
        <w:rPr>
          <w:rFonts w:eastAsia="IRNazanin" w:cs="IRNazanin"/>
          <w:color w:val="111111"/>
          <w:sz w:val="28"/>
          <w:szCs w:val="28"/>
          <w:rtl w:val="true"/>
          <w:lang w:bidi="fa-IR"/>
        </w:rPr>
        <w:t>»</w:t>
      </w:r>
      <w:r>
        <w:rPr>
          <w:rStyle w:val="FootnoteAnchor"/>
          <w:rtl w:val="true"/>
        </w:rPr>
        <w:footnoteReference w:id="28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5" w:name="__RefHeading___Toc9697111_73709187"/>
      <w:bookmarkStart w:id="806" w:name="_Toc299"/>
      <w:bookmarkEnd w:id="805"/>
      <w:r>
        <w:rPr>
          <w:rtl w:val="true"/>
        </w:rPr>
        <w:t>أدلّة صحّة طلاق الصبیّ‌</w:t>
      </w:r>
      <w:bookmarkEnd w:id="806"/>
    </w:p>
    <w:p>
      <w:pPr>
        <w:pStyle w:val="BookText"/>
        <w:rPr/>
      </w:pPr>
      <w:r>
        <w:rPr>
          <w:rFonts w:ascii="IRNazanin" w:hAnsi="IRNazanin" w:eastAsia="IRNazanin"/>
          <w:color w:val="111111"/>
          <w:sz w:val="28"/>
          <w:sz w:val="28"/>
          <w:szCs w:val="28"/>
          <w:rtl w:val="true"/>
          <w:lang w:bidi="fa-IR"/>
        </w:rPr>
        <w:t>و استدلّ للقول الأوّل بنصوص، و هی علی 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تدلّ علی صحّة طلاق الصبیّ إذا بلغ عشر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ابن أبی عمیر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طلاق الصبیّ إذا بلغ عشر سنین</w:t>
      </w:r>
      <w:r>
        <w:rPr>
          <w:rFonts w:eastAsia="IRNazanin" w:cs="IRNazanin"/>
          <w:color w:val="111111"/>
          <w:sz w:val="28"/>
          <w:szCs w:val="28"/>
          <w:rtl w:val="true"/>
          <w:lang w:bidi="fa-IR"/>
        </w:rPr>
        <w:t>»</w:t>
      </w:r>
      <w:r>
        <w:rPr>
          <w:rStyle w:val="FootnoteAnchor"/>
          <w:rtl w:val="true"/>
        </w:rPr>
        <w:footnoteReference w:id="2887"/>
      </w:r>
      <w:r>
        <w:rPr>
          <w:rFonts w:ascii="Amiri" w:hAnsi="Amiri" w:eastAsia="Amiri" w:cs="Amiri"/>
          <w:color w:val="111111"/>
          <w:sz w:val="28"/>
          <w:sz w:val="28"/>
          <w:szCs w:val="28"/>
          <w:rtl w:val="true"/>
          <w:lang w:bidi="ar-SA"/>
        </w:rPr>
        <w:t>، و قد صرّح جماعة</w:t>
      </w:r>
      <w:r>
        <w:rPr>
          <w:rStyle w:val="FootnoteAnchor"/>
          <w:rtl w:val="true"/>
        </w:rPr>
        <w:footnoteReference w:id="2888"/>
      </w:r>
      <w:r>
        <w:rPr>
          <w:rFonts w:ascii="IRNazanin" w:hAnsi="IRNazanin" w:eastAsia="IRNazanin"/>
          <w:color w:val="111111"/>
          <w:sz w:val="28"/>
          <w:sz w:val="28"/>
          <w:szCs w:val="28"/>
          <w:rtl w:val="true"/>
          <w:lang w:bidi="fa-IR"/>
        </w:rPr>
        <w:t>من الأصحاب بأنّ مراسیل ابن أبی عمیر فی حکم المسانید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اعتبر الشیخ فی التهذیب</w:t>
      </w:r>
      <w:r>
        <w:rPr>
          <w:rStyle w:val="FootnoteAnchor"/>
          <w:rtl w:val="true"/>
        </w:rPr>
        <w:footnoteReference w:id="2889"/>
      </w:r>
      <w:r>
        <w:rPr>
          <w:rFonts w:ascii="IRNazanin" w:hAnsi="IRNazanin" w:eastAsia="IRNazanin"/>
          <w:color w:val="111111"/>
          <w:sz w:val="28"/>
          <w:sz w:val="28"/>
          <w:szCs w:val="28"/>
          <w:rtl w:val="true"/>
          <w:lang w:bidi="fa-IR"/>
        </w:rPr>
        <w:t>هذه الروایة هی روایة ابن بکیر، و هو لیس بجیّد؛ فإنّ روایة ابن بکیر رواها الکلینی متقدّمة علی هذه الروایة</w:t>
      </w:r>
      <w:r>
        <w:rPr>
          <w:rStyle w:val="FootnoteAnchor"/>
          <w:rtl w:val="true"/>
        </w:rPr>
        <w:footnoteReference w:id="289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الوهم نشأ من الشیخ أو سقط من قلم النسّاخ و تبعه فی ذلک من دون تأمّل جماعة من الأصحاب کما فی مختلف الشیعة و کشف الرموز و إیضاح الفوائد و المهذّب البارع و التنقیح الرائع</w:t>
      </w:r>
      <w:r>
        <w:rPr>
          <w:rStyle w:val="FootnoteAnchor"/>
          <w:rtl w:val="true"/>
        </w:rPr>
        <w:footnoteReference w:id="2891"/>
      </w:r>
      <w:r>
        <w:rPr>
          <w:rFonts w:ascii="IRNazanin" w:hAnsi="IRNazanin" w:eastAsia="IRNazanin"/>
          <w:color w:val="111111"/>
          <w:sz w:val="28"/>
          <w:sz w:val="28"/>
          <w:szCs w:val="28"/>
          <w:rtl w:val="true"/>
          <w:lang w:bidi="fa-IR"/>
        </w:rPr>
        <w:t>، و کذا فی الوسائل و المسالک</w:t>
      </w:r>
      <w:r>
        <w:rPr>
          <w:rStyle w:val="FootnoteAnchor"/>
          <w:rtl w:val="true"/>
        </w:rPr>
        <w:footnoteReference w:id="2892"/>
      </w:r>
      <w:r>
        <w:rPr>
          <w:rFonts w:ascii="IRNazanin" w:hAnsi="IRNazanin" w:eastAsia="IRNazanin"/>
          <w:color w:val="111111"/>
          <w:sz w:val="28"/>
          <w:sz w:val="28"/>
          <w:szCs w:val="28"/>
          <w:rtl w:val="true"/>
          <w:lang w:bidi="fa-IR"/>
        </w:rPr>
        <w:t>، و قد نبّه علی ذلک صاحب المدارک</w:t>
      </w:r>
      <w:r>
        <w:rPr>
          <w:rStyle w:val="FootnoteAnchor"/>
          <w:rtl w:val="true"/>
        </w:rPr>
        <w:footnoteReference w:id="2893"/>
      </w:r>
      <w:r>
        <w:rPr>
          <w:rFonts w:ascii="IRNazanin" w:hAnsi="IRNazanin" w:eastAsia="IRNazanin"/>
          <w:color w:val="111111"/>
          <w:sz w:val="28"/>
          <w:sz w:val="28"/>
          <w:szCs w:val="28"/>
          <w:rtl w:val="true"/>
          <w:lang w:bidi="fa-IR"/>
        </w:rPr>
        <w:t>و المحدّث البحرانی</w:t>
      </w:r>
      <w:r>
        <w:rPr>
          <w:rStyle w:val="FootnoteAnchor"/>
          <w:rtl w:val="true"/>
        </w:rPr>
        <w:footnoteReference w:id="2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تدلّ علی صحّة طلاق الصبیّ إذا کان قد عقل أو طلّق للسنّة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مضمرة سماعة التی رواها المشایخ الثلاثة،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طلاق الغلام لم یحتلم و صدقته؟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طلّق للسنّة و وضع الصدقة فی موضعها و حقّها فلا بأس، و هو جائز</w:t>
      </w:r>
      <w:r>
        <w:rPr>
          <w:rFonts w:eastAsia="IRNazanin" w:cs="IRNazanin"/>
          <w:color w:val="111111"/>
          <w:sz w:val="28"/>
          <w:szCs w:val="28"/>
          <w:rtl w:val="true"/>
          <w:lang w:bidi="fa-IR"/>
        </w:rPr>
        <w:t>»</w:t>
      </w:r>
      <w:r>
        <w:rPr>
          <w:rStyle w:val="FootnoteAnchor"/>
          <w:rtl w:val="true"/>
        </w:rPr>
        <w:footnoteReference w:id="2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جمیل عن أحدهما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طلاق الغلام إذا کان قد عقل و صدقته و وصیّته و إن لم یحتلم</w:t>
      </w:r>
      <w:r>
        <w:rPr>
          <w:rFonts w:eastAsia="IRNazanin" w:cs="IRNazanin"/>
          <w:color w:val="111111"/>
          <w:sz w:val="28"/>
          <w:szCs w:val="28"/>
          <w:rtl w:val="true"/>
          <w:lang w:bidi="fa-IR"/>
        </w:rPr>
        <w:t>»</w:t>
      </w:r>
      <w:r>
        <w:rPr>
          <w:rStyle w:val="FootnoteAnchor"/>
          <w:rtl w:val="true"/>
        </w:rPr>
        <w:footnoteReference w:id="2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ابن بکیر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طلاق الغلام إذا کان قد عقل و وصیّته و صدقته و إن لم یحتلم</w:t>
      </w:r>
      <w:r>
        <w:rPr>
          <w:rFonts w:eastAsia="IRNazanin" w:cs="IRNazanin"/>
          <w:color w:val="111111"/>
          <w:sz w:val="28"/>
          <w:szCs w:val="28"/>
          <w:rtl w:val="true"/>
          <w:lang w:bidi="fa-IR"/>
        </w:rPr>
        <w:t>»</w:t>
      </w:r>
      <w:r>
        <w:rPr>
          <w:rStyle w:val="FootnoteAnchor"/>
          <w:rtl w:val="true"/>
        </w:rPr>
        <w:footnoteReference w:id="2897"/>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صاحب الوسائل بعد نقل الروایة عن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w:t>
      </w:r>
      <w:r>
        <w:rPr>
          <w:rStyle w:val="FootnoteAnchor"/>
          <w:rtl w:val="true"/>
        </w:rPr>
        <w:footnoteReference w:id="2898"/>
      </w:r>
    </w:p>
    <w:p>
      <w:pPr>
        <w:pStyle w:val="BookText"/>
        <w:rPr/>
      </w:pPr>
      <w:r>
        <w:rPr>
          <w:rFonts w:ascii="IRNazanin" w:hAnsi="IRNazanin" w:eastAsia="IRNazanin"/>
          <w:color w:val="111111"/>
          <w:sz w:val="28"/>
          <w:sz w:val="28"/>
          <w:szCs w:val="28"/>
          <w:rtl w:val="true"/>
          <w:lang w:bidi="fa-IR"/>
        </w:rPr>
        <w:t>، و کذا فی روایة الشیخ</w:t>
      </w:r>
      <w:r>
        <w:rPr>
          <w:rStyle w:val="FootnoteAnchor"/>
          <w:rtl w:val="true"/>
        </w:rPr>
        <w:footnoteReference w:id="2899"/>
      </w:r>
      <w:r>
        <w:rPr>
          <w:rFonts w:ascii="IRNazanin" w:hAnsi="IRNazanin" w:eastAsia="IRNazanin"/>
          <w:color w:val="111111"/>
          <w:sz w:val="28"/>
          <w:sz w:val="28"/>
          <w:szCs w:val="28"/>
          <w:rtl w:val="true"/>
          <w:lang w:bidi="fa-IR"/>
        </w:rPr>
        <w:t>، و هکذا فی الاستبصار</w:t>
      </w:r>
      <w:r>
        <w:rPr>
          <w:rStyle w:val="FootnoteAnchor"/>
          <w:rtl w:val="true"/>
        </w:rPr>
        <w:footnoteReference w:id="2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الأجود ما فی التهذیب و الاستبصار و نسخة من الکافی، بقرینة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قد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بناءً علی النسخة الاُولی فی الکافی یکون مفهوم الروایة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قد عقل یجوز 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الأخبار علی ثلاثة أنحاء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نفوذ طلاق الصبیّ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نفوذه إذا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نفوذه إذا بلغ عشر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یحمل ما دلّ علی نفوذ طلاقه إذا بلغ عشر سنین علی من بلغ عشر سنین و کان یعقل، حیث لا یحتمل أن یکون طلاق من بلغ عشراً و لم یعقل صحیحاً، و کذلک یحمل ما دلّ علی جواز طلاقه مطلقاً علی من بلغ عشراً و یعقل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الروایات التی تدلّ علی عدم جواز طلاق الصبیّ و التی سنذکرها قریباً فتحمل علی من لم یبلغ عشراً أو من بلغ و لکن لا یعقل الطلاق؛ جمعاً بین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ینافی ما قدّمناه؛ لأنّا نحمل هذا الخبر علی من لا یعقل و لا یحسن الطلاق؛ لأنّ ذلک معتبر فی وقوع الطلاق</w:t>
      </w:r>
      <w:r>
        <w:rPr>
          <w:rFonts w:eastAsia="IRNazanin" w:cs="IRNazanin"/>
          <w:color w:val="111111"/>
          <w:sz w:val="28"/>
          <w:szCs w:val="28"/>
          <w:rtl w:val="true"/>
          <w:lang w:bidi="fa-IR"/>
        </w:rPr>
        <w:t>»</w:t>
      </w:r>
      <w:r>
        <w:rPr>
          <w:rStyle w:val="FootnoteAnchor"/>
          <w:rtl w:val="true"/>
        </w:rPr>
        <w:footnoteReference w:id="2901"/>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فالظاهر بمقتضی الجمع بین الروایات بعد وجود</w:t>
      </w:r>
      <w:bookmarkStart w:id="807" w:name="pg11757_135920"/>
    </w:p>
    <w:p>
      <w:pPr>
        <w:pStyle w:val="BookText"/>
        <w:rPr/>
      </w:pPr>
      <w:bookmarkEnd w:id="807"/>
      <w:r>
        <w:rPr>
          <w:rFonts w:ascii="IRNazanin" w:hAnsi="IRNazanin" w:eastAsia="IRNazanin"/>
          <w:color w:val="111111"/>
          <w:sz w:val="28"/>
          <w:sz w:val="28"/>
          <w:szCs w:val="28"/>
          <w:rtl w:val="true"/>
          <w:lang w:bidi="fa-IR"/>
        </w:rPr>
        <w:t xml:space="preserve">الضعف فی الطائفة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تدلّ علی صحّة طلاق الصبیّ إذا بلغ عشر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حمل الطائفة الاُولی المطلقة علی الطائفة الثانیة، و الالتزام بما حکی عن ابن الجنید من صحّة طلاق الصبیّ مع التمییز</w:t>
      </w:r>
      <w:r>
        <w:rPr>
          <w:rFonts w:eastAsia="IRNazanin" w:cs="IRNazanin"/>
          <w:color w:val="111111"/>
          <w:sz w:val="28"/>
          <w:szCs w:val="28"/>
          <w:rtl w:val="true"/>
          <w:lang w:bidi="fa-IR"/>
        </w:rPr>
        <w:t>»</w:t>
      </w:r>
      <w:r>
        <w:rPr>
          <w:rStyle w:val="FootnoteAnchor"/>
          <w:rtl w:val="true"/>
        </w:rPr>
        <w:footnoteReference w:id="29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8" w:name="__RefHeading___Toc9697113_73709187"/>
      <w:bookmarkStart w:id="809" w:name="_Toc300"/>
      <w:bookmarkEnd w:id="808"/>
      <w:r>
        <w:rPr>
          <w:rtl w:val="true"/>
        </w:rPr>
        <w:t>المناقشة فی الاستدلال بالروایات</w:t>
      </w:r>
      <w:bookmarkEnd w:id="809"/>
    </w:p>
    <w:p>
      <w:pPr>
        <w:pStyle w:val="BookText"/>
        <w:rPr/>
      </w:pPr>
      <w:r>
        <w:rPr>
          <w:rFonts w:ascii="IRNazanin" w:hAnsi="IRNazanin" w:eastAsia="IRNazanin"/>
          <w:color w:val="111111"/>
          <w:sz w:val="28"/>
          <w:sz w:val="28"/>
          <w:szCs w:val="28"/>
          <w:rtl w:val="true"/>
          <w:lang w:bidi="fa-IR"/>
        </w:rPr>
        <w:t>و ناقش فی الاستدلال بهذه الأخبار جملة من الأعلام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مخالفة للأصل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خلاف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الطلاق یحتاط فیه أکثر من غیره، لأجل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بضعف السند، 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فیمن بلغ عشراً عاقلاً و طلّق للسنّة روایة بالجواز فیها ضعف</w:t>
      </w:r>
      <w:r>
        <w:rPr>
          <w:rFonts w:eastAsia="IRNazanin" w:cs="IRNazanin"/>
          <w:color w:val="111111"/>
          <w:sz w:val="28"/>
          <w:szCs w:val="28"/>
          <w:rtl w:val="true"/>
          <w:lang w:bidi="fa-IR"/>
        </w:rPr>
        <w:t>»</w:t>
      </w:r>
      <w:r>
        <w:rPr>
          <w:rStyle w:val="FootnoteAnchor"/>
          <w:rtl w:val="true"/>
        </w:rPr>
        <w:footnoteReference w:id="2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ضعفها بضعف ابن فضّال و ابن بکیر؛ فإنّهما واقفیّان</w:t>
      </w:r>
      <w:r>
        <w:rPr>
          <w:rFonts w:eastAsia="IRNazanin" w:cs="IRNazanin"/>
          <w:color w:val="111111"/>
          <w:sz w:val="28"/>
          <w:szCs w:val="28"/>
          <w:rtl w:val="true"/>
          <w:lang w:bidi="fa-IR"/>
        </w:rPr>
        <w:t>»</w:t>
      </w:r>
      <w:r>
        <w:rPr>
          <w:rStyle w:val="FootnoteAnchor"/>
          <w:rtl w:val="true"/>
        </w:rPr>
        <w:footnoteReference w:id="29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کشف الرموز</w:t>
      </w:r>
      <w:r>
        <w:rPr>
          <w:rStyle w:val="FootnoteAnchor"/>
          <w:rtl w:val="true"/>
        </w:rPr>
        <w:footnoteReference w:id="2905"/>
      </w:r>
      <w:r>
        <w:rPr>
          <w:rFonts w:ascii="IRNazanin" w:hAnsi="IRNazanin" w:eastAsia="IRNazanin"/>
          <w:color w:val="111111"/>
          <w:sz w:val="28"/>
          <w:sz w:val="28"/>
          <w:szCs w:val="28"/>
          <w:rtl w:val="true"/>
          <w:lang w:bidi="fa-IR"/>
        </w:rPr>
        <w:t>و المسالک</w:t>
      </w:r>
      <w:r>
        <w:rPr>
          <w:rStyle w:val="FootnoteAnchor"/>
          <w:rtl w:val="true"/>
        </w:rPr>
        <w:footnoteReference w:id="2906"/>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نهایة المرام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ضعفها بالإرسال یمنع من العمل بها و إن کان المرسل لها ابن أبی عمیر، 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ضعیفة بالإضمار و اشتمال سندها علی عدّة من الواقفة</w:t>
      </w:r>
      <w:r>
        <w:rPr>
          <w:rFonts w:eastAsia="IRNazanin" w:cs="IRNazanin"/>
          <w:color w:val="111111"/>
          <w:sz w:val="28"/>
          <w:szCs w:val="28"/>
          <w:rtl w:val="true"/>
          <w:lang w:bidi="fa-IR"/>
        </w:rPr>
        <w:t>»</w:t>
      </w:r>
      <w:r>
        <w:rPr>
          <w:rStyle w:val="FootnoteAnchor"/>
          <w:rtl w:val="true"/>
        </w:rPr>
        <w:footnoteReference w:id="29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المختلف و کشف اللثام</w:t>
      </w:r>
      <w:r>
        <w:rPr>
          <w:rStyle w:val="FootnoteAnchor"/>
          <w:rtl w:val="true"/>
        </w:rPr>
        <w:footnoteReference w:id="2908"/>
      </w:r>
      <w:r>
        <w:rPr>
          <w:rFonts w:eastAsia="Times New Roman" w:cs="Times New Roman" w:ascii="Times New Roman" w:hAnsi="Times New Roman"/>
          <w:color w:val="111111"/>
          <w:sz w:val="28"/>
          <w:szCs w:val="28"/>
          <w:rtl w:val="true"/>
          <w:lang w:val="en-US" w:bidi="en-US"/>
        </w:rPr>
        <w:t>.</w:t>
      </w:r>
      <w:bookmarkStart w:id="810" w:name="pg11757_135921"/>
    </w:p>
    <w:p>
      <w:pPr>
        <w:pStyle w:val="BookText"/>
        <w:rPr/>
      </w:pPr>
      <w:bookmarkEnd w:id="810"/>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مخالفة الأصل و الاحتیاط فلا مانع منهما مع وجود الأدلّة الشرعیّة و الأخبار المعتبرة الدالّة علی جواز طلاق الصبیّ إذا بلغ عشراً و کان یعقل، و أمّا مخالفة المشهور فنعم، إنّه خلاف شهرة المتأخّرین، و لکنّ المشهور من القدماء علی جوازه کما تقدّم</w:t>
      </w:r>
      <w:r>
        <w:rPr>
          <w:rFonts w:eastAsia="IRNazanin" w:cs="IRNazanin"/>
          <w:color w:val="111111"/>
          <w:sz w:val="28"/>
          <w:szCs w:val="28"/>
          <w:rtl w:val="true"/>
          <w:lang w:bidi="fa-IR"/>
        </w:rPr>
        <w:t>.</w:t>
      </w:r>
    </w:p>
    <w:p>
      <w:pPr>
        <w:pStyle w:val="Heading5"/>
        <w:numPr>
          <w:ilvl w:val="4"/>
          <w:numId w:val="1"/>
        </w:numPr>
        <w:rPr/>
      </w:pPr>
      <w:bookmarkStart w:id="811" w:name="__RefHeading___Toc9697115_73709187"/>
      <w:bookmarkStart w:id="812" w:name="_Toc301"/>
      <w:bookmarkEnd w:id="811"/>
      <w:r>
        <w:rPr>
          <w:rtl w:val="true"/>
        </w:rPr>
        <w:t>عدم صحّة طلاق الصبیّ‌</w:t>
      </w:r>
      <w:bookmarkEnd w:id="812"/>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مشهور المتأخّرین من أنّه لا یصحّ طلاق الصبیّ مطلقاً و هو الأحوط، جاء فی السرائر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صحّة الطلاق الشرعی یفتقر إلی 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المطلّق ممّن یصحّ تصرّفه، و لا یکون ممّن رفع القلم عنه، بأن یکون عاقلاً بالغاً؛ لأنّ طلاق المجنون و الصبیّ ما لم یبلغ غیر صحیح</w:t>
      </w:r>
      <w:r>
        <w:rPr>
          <w:rFonts w:eastAsia="IRNazanin" w:cs="IRNazanin"/>
          <w:color w:val="111111"/>
          <w:sz w:val="28"/>
          <w:szCs w:val="28"/>
          <w:rtl w:val="true"/>
          <w:lang w:bidi="fa-IR"/>
        </w:rPr>
        <w:t>»</w:t>
      </w:r>
      <w:r>
        <w:rPr>
          <w:rStyle w:val="FootnoteAnchor"/>
          <w:rtl w:val="true"/>
        </w:rPr>
        <w:footnoteReference w:id="2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یعتبر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فلا اعتبار بعبارة الصبیّ قبل بلوغه عشراً، و فیمن بلغ عشراً عاقلاً و طلّق للسنّة روایة بالجواز، فیها ضعف</w:t>
      </w:r>
      <w:r>
        <w:rPr>
          <w:rFonts w:eastAsia="IRNazanin" w:cs="IRNazanin"/>
          <w:color w:val="111111"/>
          <w:sz w:val="28"/>
          <w:szCs w:val="28"/>
          <w:rtl w:val="true"/>
          <w:lang w:bidi="fa-IR"/>
        </w:rPr>
        <w:t>»</w:t>
      </w:r>
      <w:r>
        <w:rPr>
          <w:rStyle w:val="FootnoteAnchor"/>
          <w:rtl w:val="true"/>
        </w:rPr>
        <w:footnoteReference w:id="2910"/>
      </w:r>
      <w:r>
        <w:rPr>
          <w:rFonts w:ascii="IRNazanin" w:hAnsi="IRNazanin" w:eastAsia="IRNazanin"/>
          <w:color w:val="111111"/>
          <w:sz w:val="28"/>
          <w:sz w:val="28"/>
          <w:szCs w:val="28"/>
          <w:rtl w:val="true"/>
          <w:lang w:bidi="fa-IR"/>
        </w:rPr>
        <w:t>، و کذا فی المختصر النافع، و کشف الرموز</w:t>
      </w:r>
      <w:r>
        <w:rPr>
          <w:rStyle w:val="FootnoteAnchor"/>
          <w:rtl w:val="true"/>
        </w:rPr>
        <w:footnoteReference w:id="2911"/>
      </w:r>
      <w:r>
        <w:rPr>
          <w:rFonts w:ascii="IRNazanin" w:hAnsi="IRNazanin" w:eastAsia="IRNazanin"/>
          <w:color w:val="111111"/>
          <w:sz w:val="28"/>
          <w:sz w:val="28"/>
          <w:szCs w:val="28"/>
          <w:rtl w:val="true"/>
          <w:lang w:bidi="fa-IR"/>
        </w:rPr>
        <w:t>، و أطلق سلّار</w:t>
      </w:r>
      <w:r>
        <w:rPr>
          <w:rStyle w:val="FootnoteAnchor"/>
          <w:rtl w:val="true"/>
        </w:rPr>
        <w:footnoteReference w:id="2912"/>
      </w:r>
      <w:r>
        <w:rPr>
          <w:rFonts w:ascii="IRNazanin" w:hAnsi="IRNazanin" w:eastAsia="IRNazanin"/>
          <w:color w:val="111111"/>
          <w:sz w:val="28"/>
          <w:sz w:val="28"/>
          <w:szCs w:val="28"/>
          <w:rtl w:val="true"/>
          <w:lang w:bidi="fa-IR"/>
        </w:rPr>
        <w:t>و أبو الصلاح</w:t>
      </w:r>
      <w:r>
        <w:rPr>
          <w:rStyle w:val="FootnoteAnchor"/>
          <w:rtl w:val="true"/>
        </w:rPr>
        <w:footnoteReference w:id="2913"/>
      </w:r>
      <w:r>
        <w:rPr>
          <w:rFonts w:ascii="IRNazanin" w:hAnsi="IRNazanin" w:eastAsia="IRNazanin"/>
          <w:color w:val="111111"/>
          <w:sz w:val="28"/>
          <w:sz w:val="28"/>
          <w:szCs w:val="28"/>
          <w:rtl w:val="true"/>
          <w:lang w:bidi="fa-IR"/>
        </w:rPr>
        <w:t>المنع من طلاق الصبیّ</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العلّامة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یصحّ طلاق الصبیّ و إن کان ممیّزاً و لو بلغ عشراً إلّا علی روایة ضعیفة</w:t>
      </w:r>
      <w:r>
        <w:rPr>
          <w:rFonts w:eastAsia="IRNazanin" w:cs="IRNazanin"/>
          <w:color w:val="111111"/>
          <w:sz w:val="28"/>
          <w:szCs w:val="28"/>
          <w:rtl w:val="true"/>
          <w:lang w:bidi="fa-IR"/>
        </w:rPr>
        <w:t>»</w:t>
      </w:r>
      <w:r>
        <w:rPr>
          <w:rStyle w:val="FootnoteAnchor"/>
          <w:rtl w:val="true"/>
        </w:rPr>
        <w:footnoteReference w:id="2914"/>
      </w:r>
      <w:r>
        <w:rPr>
          <w:rFonts w:ascii="IRNazanin" w:hAnsi="IRNazanin" w:eastAsia="IRNazanin"/>
          <w:color w:val="111111"/>
          <w:sz w:val="28"/>
          <w:sz w:val="28"/>
          <w:szCs w:val="28"/>
          <w:rtl w:val="true"/>
          <w:lang w:bidi="fa-IR"/>
        </w:rPr>
        <w:t>، و کذا فی جملة من کتبه</w:t>
      </w:r>
      <w:r>
        <w:rPr>
          <w:rStyle w:val="FootnoteAnchor"/>
          <w:rtl w:val="true"/>
        </w:rPr>
        <w:footnoteReference w:id="2915"/>
      </w:r>
      <w:r>
        <w:rPr>
          <w:rFonts w:ascii="IRNazanin" w:hAnsi="IRNazanin" w:eastAsia="IRNazanin"/>
          <w:color w:val="111111"/>
          <w:sz w:val="28"/>
          <w:sz w:val="28"/>
          <w:szCs w:val="28"/>
          <w:rtl w:val="true"/>
          <w:lang w:bidi="fa-IR"/>
        </w:rPr>
        <w:t>، و به قال ابنه</w:t>
      </w:r>
      <w:bookmarkStart w:id="813" w:name="pg11757_135922"/>
    </w:p>
    <w:p>
      <w:pPr>
        <w:pStyle w:val="BookText"/>
        <w:rPr/>
      </w:pPr>
      <w:bookmarkEnd w:id="813"/>
      <w:r>
        <w:rPr>
          <w:rFonts w:ascii="IRNazanin" w:hAnsi="IRNazanin" w:eastAsia="IRNazanin"/>
          <w:color w:val="111111"/>
          <w:sz w:val="28"/>
          <w:sz w:val="28"/>
          <w:szCs w:val="28"/>
          <w:rtl w:val="true"/>
          <w:lang w:bidi="fa-IR"/>
        </w:rPr>
        <w:t>فی الإیضاح</w:t>
      </w:r>
      <w:r>
        <w:rPr>
          <w:rStyle w:val="FootnoteAnchor"/>
          <w:rtl w:val="true"/>
        </w:rPr>
        <w:footnoteReference w:id="2916"/>
      </w:r>
      <w:r>
        <w:rPr>
          <w:rFonts w:ascii="IRNazanin" w:hAnsi="IRNazanin" w:eastAsia="IRNazanin"/>
          <w:color w:val="111111"/>
          <w:sz w:val="28"/>
          <w:sz w:val="28"/>
          <w:szCs w:val="28"/>
          <w:rtl w:val="true"/>
          <w:lang w:bidi="fa-IR"/>
        </w:rPr>
        <w:t>، و کذا فی إصباح الشیعة</w:t>
      </w:r>
      <w:r>
        <w:rPr>
          <w:rStyle w:val="FootnoteAnchor"/>
          <w:rtl w:val="true"/>
        </w:rPr>
        <w:footnoteReference w:id="2917"/>
      </w:r>
      <w:r>
        <w:rPr>
          <w:rFonts w:ascii="IRNazanin" w:hAnsi="IRNazanin" w:eastAsia="IRNazanin"/>
          <w:color w:val="111111"/>
          <w:sz w:val="28"/>
          <w:sz w:val="28"/>
          <w:szCs w:val="28"/>
          <w:rtl w:val="true"/>
          <w:lang w:bidi="fa-IR"/>
        </w:rPr>
        <w:t>و المهذّب البارع</w:t>
      </w:r>
      <w:r>
        <w:rPr>
          <w:rStyle w:val="FootnoteAnchor"/>
          <w:rtl w:val="true"/>
        </w:rPr>
        <w:footnoteReference w:id="2918"/>
      </w:r>
      <w:r>
        <w:rPr>
          <w:rFonts w:ascii="IRNazanin" w:hAnsi="IRNazanin" w:eastAsia="IRNazanin"/>
          <w:color w:val="111111"/>
          <w:sz w:val="28"/>
          <w:sz w:val="28"/>
          <w:szCs w:val="28"/>
          <w:rtl w:val="true"/>
          <w:lang w:bidi="fa-IR"/>
        </w:rPr>
        <w:t>و التنقیح الرائع</w:t>
      </w:r>
      <w:r>
        <w:rPr>
          <w:rStyle w:val="FootnoteAnchor"/>
          <w:rtl w:val="true"/>
        </w:rPr>
        <w:footnoteReference w:id="2919"/>
      </w:r>
      <w:r>
        <w:rPr>
          <w:rFonts w:ascii="IRNazanin" w:hAnsi="IRNazanin" w:eastAsia="IRNazanin"/>
          <w:color w:val="111111"/>
          <w:sz w:val="28"/>
          <w:sz w:val="28"/>
          <w:szCs w:val="28"/>
          <w:rtl w:val="true"/>
          <w:lang w:bidi="fa-IR"/>
        </w:rPr>
        <w:t>و نهایة المرام</w:t>
      </w:r>
      <w:r>
        <w:rPr>
          <w:rStyle w:val="FootnoteAnchor"/>
          <w:rtl w:val="true"/>
        </w:rPr>
        <w:footnoteReference w:id="2920"/>
      </w:r>
      <w:r>
        <w:rPr>
          <w:rFonts w:ascii="IRNazanin" w:hAnsi="IRNazanin" w:eastAsia="IRNazanin"/>
          <w:color w:val="111111"/>
          <w:sz w:val="28"/>
          <w:sz w:val="28"/>
          <w:szCs w:val="28"/>
          <w:rtl w:val="true"/>
          <w:lang w:bidi="fa-IR"/>
        </w:rPr>
        <w:t>و کشف اللثام</w:t>
      </w:r>
      <w:r>
        <w:rPr>
          <w:rStyle w:val="FootnoteAnchor"/>
          <w:rtl w:val="true"/>
        </w:rPr>
        <w:footnoteReference w:id="2921"/>
      </w:r>
      <w:r>
        <w:rPr>
          <w:rFonts w:ascii="IRNazanin" w:hAnsi="IRNazanin" w:eastAsia="IRNazanin"/>
          <w:color w:val="111111"/>
          <w:sz w:val="28"/>
          <w:sz w:val="28"/>
          <w:szCs w:val="28"/>
          <w:rtl w:val="true"/>
          <w:lang w:bidi="fa-IR"/>
        </w:rPr>
        <w:t>، و ذهب إلیه أیضاً جمع من متأخّری المتأخّرین</w:t>
      </w:r>
      <w:r>
        <w:rPr>
          <w:rStyle w:val="FootnoteAnchor"/>
          <w:rtl w:val="true"/>
        </w:rPr>
        <w:footnoteReference w:id="2922"/>
      </w:r>
      <w:r>
        <w:rPr>
          <w:rFonts w:ascii="IRNazanin" w:hAnsi="IRNazanin" w:eastAsia="IRNazanin"/>
          <w:color w:val="111111"/>
          <w:sz w:val="28"/>
          <w:sz w:val="28"/>
          <w:szCs w:val="28"/>
          <w:rtl w:val="true"/>
          <w:lang w:bidi="fa-IR"/>
        </w:rPr>
        <w:t>و بعض فقهاء العصر</w:t>
      </w:r>
      <w:r>
        <w:rPr>
          <w:rStyle w:val="FootnoteAnchor"/>
          <w:rtl w:val="true"/>
        </w:rPr>
        <w:footnoteReference w:id="2923"/>
      </w:r>
      <w:r>
        <w:rPr>
          <w:rFonts w:ascii="IRNazanin" w:hAnsi="IRNazanin" w:eastAsia="IRNazanin"/>
          <w:color w:val="111111"/>
          <w:sz w:val="28"/>
          <w:sz w:val="28"/>
          <w:szCs w:val="28"/>
          <w:rtl w:val="true"/>
          <w:lang w:bidi="fa-IR"/>
        </w:rPr>
        <w:t>، و جعله الشهید الثانی أصحّ القولین</w:t>
      </w:r>
      <w:r>
        <w:rPr>
          <w:rStyle w:val="FootnoteAnchor"/>
          <w:rtl w:val="true"/>
        </w:rPr>
        <w:footnoteReference w:id="2924"/>
      </w:r>
      <w:r>
        <w:rPr>
          <w:rFonts w:ascii="IRNazanin" w:hAnsi="IRNazanin" w:eastAsia="IRNazanin"/>
          <w:color w:val="111111"/>
          <w:sz w:val="28"/>
          <w:sz w:val="28"/>
          <w:szCs w:val="28"/>
          <w:rtl w:val="true"/>
          <w:lang w:bidi="fa-IR"/>
        </w:rPr>
        <w:t>، و احتاط الإمام الخمینی رحمه الله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یصحّ علی الأحوط طلاق الصبیّ</w:t>
      </w:r>
      <w:r>
        <w:rPr>
          <w:rFonts w:eastAsia="IRNazanin" w:cs="IRNazanin"/>
          <w:color w:val="111111"/>
          <w:sz w:val="28"/>
          <w:szCs w:val="28"/>
          <w:rtl w:val="true"/>
          <w:lang w:bidi="fa-IR"/>
        </w:rPr>
        <w:t>»</w:t>
      </w:r>
      <w:r>
        <w:rPr>
          <w:rStyle w:val="FootnoteAnchor"/>
          <w:rtl w:val="true"/>
        </w:rPr>
        <w:footnoteReference w:id="29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4" w:name="__RefHeading___Toc9697117_73709187"/>
      <w:bookmarkStart w:id="815" w:name="_Toc302"/>
      <w:bookmarkEnd w:id="814"/>
      <w:r>
        <w:rPr>
          <w:rtl w:val="true"/>
        </w:rPr>
        <w:t>أدلّة القول بعدم صحّة طلاق الصبیّ‌</w:t>
      </w:r>
      <w:bookmarkEnd w:id="81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و یمکن تقریره بأنّ الأصل بقاؤه علی الحجر و المنع من التصرّف، کما فی کشف الرموز</w:t>
      </w:r>
      <w:r>
        <w:rPr>
          <w:rStyle w:val="FootnoteAnchor"/>
          <w:rtl w:val="true"/>
        </w:rPr>
        <w:footnoteReference w:id="2926"/>
      </w:r>
      <w:r>
        <w:rPr>
          <w:rFonts w:ascii="IRNazanin" w:hAnsi="IRNazanin" w:eastAsia="IRNazanin"/>
          <w:color w:val="111111"/>
          <w:sz w:val="28"/>
          <w:sz w:val="28"/>
          <w:szCs w:val="28"/>
          <w:rtl w:val="true"/>
          <w:lang w:bidi="fa-IR"/>
        </w:rPr>
        <w:t>، أو الأصل بقاء النکاح، کما فی کشف اللثام</w:t>
      </w:r>
      <w:r>
        <w:rPr>
          <w:rStyle w:val="FootnoteAnchor"/>
          <w:rtl w:val="true"/>
        </w:rPr>
        <w:footnoteReference w:id="2927"/>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الاحتیاط و التحفّظ من تطرّق الکلام إلی التناکح و التناسل یقتضی عدم صحّته</w:t>
      </w:r>
      <w:r>
        <w:rPr>
          <w:rStyle w:val="FootnoteAnchor"/>
          <w:rtl w:val="true"/>
        </w:rPr>
        <w:footnoteReference w:id="2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و الاحتیاط لا مورد لهما مع وجود الروایات التامّة دلالةً و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بقسمیه، کما فی الجواهر</w:t>
      </w:r>
      <w:r>
        <w:rPr>
          <w:rStyle w:val="FootnoteAnchor"/>
          <w:rtl w:val="true"/>
        </w:rPr>
        <w:footnoteReference w:id="2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اعتبار للإجماع؛ لکون المسألة ذات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الفرق بین الطلاق و غیره من العقود؛ لسلب عبارته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صار سبباً للفرق بین الطلاق و غیره هو النصوص الخاصّة الواردة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الشهرة العظیمة القائمة علی عدم الصحّة</w:t>
      </w:r>
      <w:r>
        <w:rPr>
          <w:rStyle w:val="FootnoteAnchor"/>
          <w:rtl w:val="true"/>
        </w:rPr>
        <w:footnoteReference w:id="2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الشهرة هی الشهرة بین المتأخّرین، و الشهرة بین القدماء علی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اعتبار بطلاق الصبیّ الممیّز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الأشهر، بل علیه کافّة من تأخّر، و هو الأظهر؛ للأصل و أدلّة الحجر عموماً فی الأکثر، أو فحوی فی الجمیع إن ادّعی اختصاصها بالمال؛ إذ المنع عن التصرّف فی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سیّما قلیله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للمنع عنه فی الطلاق بطریق أولی، کیف لا و لتعلّقه بأمر الفروج أمره أشدّ من أمر المال بمراتب شتّی جدّاً وفاقاً نصّاً و فتویً؟</w:t>
      </w:r>
      <w:r>
        <w:rPr>
          <w:rFonts w:eastAsia="IRNazanin" w:cs="IRNazanin"/>
          <w:color w:val="111111"/>
          <w:sz w:val="28"/>
          <w:szCs w:val="28"/>
          <w:rtl w:val="true"/>
          <w:lang w:bidi="fa-IR"/>
        </w:rPr>
        <w:t>!»</w:t>
      </w:r>
      <w:r>
        <w:rPr>
          <w:rStyle w:val="FootnoteAnchor"/>
          <w:rtl w:val="true"/>
        </w:rPr>
        <w:footnoteReference w:id="2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یلاحظ علیه بأنّ الأولویّة مع ورود النصّ بالجواز فی الطلاق ممنوعة</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أبی الصباح الکنانی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طلاق الصبیّ بشیء</w:t>
      </w:r>
      <w:r>
        <w:rPr>
          <w:rFonts w:eastAsia="IRNazanin" w:cs="IRNazanin"/>
          <w:color w:val="111111"/>
          <w:sz w:val="28"/>
          <w:szCs w:val="28"/>
          <w:rtl w:val="true"/>
          <w:lang w:bidi="fa-IR"/>
        </w:rPr>
        <w:t>»</w:t>
      </w:r>
      <w:r>
        <w:rPr>
          <w:rStyle w:val="FootnoteAnchor"/>
          <w:rtl w:val="true"/>
        </w:rPr>
        <w:footnoteReference w:id="2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أبی بصیر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طلاق الصبیّ و لا السکران</w:t>
      </w:r>
      <w:r>
        <w:rPr>
          <w:rFonts w:eastAsia="IRNazanin" w:cs="IRNazanin"/>
          <w:color w:val="111111"/>
          <w:sz w:val="28"/>
          <w:szCs w:val="28"/>
          <w:rtl w:val="true"/>
          <w:lang w:bidi="fa-IR"/>
        </w:rPr>
        <w:t>»</w:t>
      </w:r>
      <w:r>
        <w:rPr>
          <w:rStyle w:val="FootnoteAnchor"/>
          <w:rtl w:val="true"/>
        </w:rPr>
        <w:footnoteReference w:id="2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السکونی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طلاق جائز إلّا طلاق المعتوه أو الصبیّ أو مبرسم أو مجنون أو مکره</w:t>
      </w:r>
      <w:r>
        <w:rPr>
          <w:rFonts w:eastAsia="IRNazanin" w:cs="IRNazanin"/>
          <w:color w:val="111111"/>
          <w:sz w:val="28"/>
          <w:szCs w:val="28"/>
          <w:rtl w:val="true"/>
          <w:lang w:bidi="fa-IR"/>
        </w:rPr>
        <w:t>»</w:t>
      </w:r>
      <w:r>
        <w:rPr>
          <w:rStyle w:val="FootnoteAnchor"/>
          <w:rtl w:val="true"/>
        </w:rPr>
        <w:footnoteReference w:id="2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الحسین بن علوان عن جعفر بن محمّد، عن أبیه، عن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طلاق الغلام حتّی یحتلم</w:t>
      </w:r>
      <w:r>
        <w:rPr>
          <w:rFonts w:eastAsia="IRNazanin" w:cs="IRNazanin"/>
          <w:color w:val="111111"/>
          <w:sz w:val="28"/>
          <w:szCs w:val="28"/>
          <w:rtl w:val="true"/>
          <w:lang w:bidi="fa-IR"/>
        </w:rPr>
        <w:t>»</w:t>
      </w:r>
      <w:r>
        <w:rPr>
          <w:rStyle w:val="FootnoteAnchor"/>
          <w:rtl w:val="true"/>
        </w:rPr>
        <w:footnoteReference w:id="2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زکریّا بن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طلاق السکران و الصبیّ و المعتوه و المغلوب علی عقله و من لم یتزوّج بعد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r>
        <w:rPr>
          <w:rStyle w:val="FootnoteAnchor"/>
          <w:rtl w:val="true"/>
        </w:rPr>
        <w:footnoteReference w:id="2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الصبیّ یتزوّج الصبیّة؟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أبواهما اللّذان زوجاهما فنعم جائز و لکن لهما الخیار إذا أدرکا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الحدیث</w:t>
      </w:r>
      <w:r>
        <w:rPr>
          <w:rStyle w:val="FootnoteAnchor"/>
          <w:rtl w:val="true"/>
        </w:rPr>
        <w:footnoteReference w:id="2937"/>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حملها الشیخ علی أنّ للصبیّ الطلاق بعد البلوغ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أن یکون أراد لهما ذلک بفسخ العقد إمّا بالطلاق من جهة الزوج و اختیاره أو مطالبة المرأة له بالطلاق و ما یجری مجری ذلک ممّا یفسخ العقد</w:t>
      </w:r>
      <w:r>
        <w:rPr>
          <w:rFonts w:eastAsia="IRNazanin" w:cs="IRNazanin"/>
          <w:color w:val="111111"/>
          <w:sz w:val="28"/>
          <w:szCs w:val="28"/>
          <w:rtl w:val="true"/>
          <w:lang w:bidi="fa-IR"/>
        </w:rPr>
        <w:t>»</w:t>
      </w:r>
      <w:r>
        <w:rPr>
          <w:rStyle w:val="FootnoteAnchor"/>
          <w:rtl w:val="true"/>
        </w:rPr>
        <w:footnoteReference w:id="29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w:t>
      </w:r>
    </w:p>
    <w:p>
      <w:pPr>
        <w:pStyle w:val="BookText"/>
        <w:rPr/>
      </w:pPr>
      <w:r>
        <w:rPr>
          <w:rFonts w:ascii="IRNazanin" w:hAnsi="IRNazanin" w:eastAsia="IRNazanin"/>
          <w:color w:val="111111"/>
          <w:sz w:val="28"/>
          <w:sz w:val="28"/>
          <w:szCs w:val="28"/>
          <w:rtl w:val="true"/>
          <w:lang w:bidi="fa-IR"/>
        </w:rPr>
        <w:t>الوسائل</w:t>
      </w:r>
      <w:r>
        <w:rPr>
          <w:rStyle w:val="FootnoteAnchor"/>
          <w:rtl w:val="true"/>
        </w:rPr>
        <w:footnoteReference w:id="2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حمل الشیخ و غیره الخیار فیه علی الطلاق، فیدلّ حینئذٍ علی اشتراطه بالإدراک الدالّ بمفهومه علی العدم بعدمه</w:t>
      </w:r>
      <w:r>
        <w:rPr>
          <w:rFonts w:eastAsia="IRNazanin" w:cs="IRNazanin"/>
          <w:color w:val="111111"/>
          <w:sz w:val="28"/>
          <w:szCs w:val="28"/>
          <w:rtl w:val="true"/>
          <w:lang w:bidi="fa-IR"/>
        </w:rPr>
        <w:t>»</w:t>
      </w:r>
      <w:r>
        <w:rPr>
          <w:rStyle w:val="FootnoteAnchor"/>
          <w:rtl w:val="true"/>
        </w:rPr>
        <w:footnoteReference w:id="2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الأخبار مع استفاضتها و غضّ النظر عن سندها مطلقة، تقیّد بمن لم یبلغ عشراً أو کان لا یعقل الطلاق؛ جمعاً بین الأخبار إلاّ أنّ روایة الحسین بن علوان، و مفهوم معتبرة أو صحیحة محمّد بن مسلم کالنصّ بعدم جواز طلاق الغلام حتّی یحتلم أو یدرک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یقع التعارض بینهما و بین الأخبار المتقدّمة الدالّة علی صحّة طلاق الصبیّ الذی بلغ عشراً و کان یعقل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تقدیم الروایات الدالّة علی الصحّة؛ لأنّها مخالفة لأکثر أهل السنّة کما سیأتی، إلاّ أنّ إعراض مشهور المتأخّرین عن العمل بمضمون الروایات المتقدّمة یوجب وهنها و عدم الاطمئنان بمفادها کما تقدّم</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أجاد فی الریاض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فحمل تلک علی هذه بالتقیید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تقیید الروایات الدالّة علی المنع بمن لم یبلغ عشراً أو کان لا یعقل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المناقشة فیه واضحة، مع بُعد جریانه فی بعضها ممّا جعل فیه غایة الجواز إلی الاحتلام؛ لکونه کالصریح فی المنع عن طلاق ذی العشر؛ لعدم کونه الغایة، فالقول بهذه الروایة ضعیف البتّة کالجواز المطلق فی ذی التمیز</w:t>
      </w:r>
      <w:r>
        <w:rPr>
          <w:rFonts w:eastAsia="IRNazanin" w:cs="IRNazanin"/>
          <w:color w:val="111111"/>
          <w:sz w:val="28"/>
          <w:szCs w:val="28"/>
          <w:rtl w:val="true"/>
          <w:lang w:bidi="fa-IR"/>
        </w:rPr>
        <w:t>»</w:t>
      </w:r>
      <w:r>
        <w:rPr>
          <w:rStyle w:val="FootnoteAnchor"/>
          <w:rtl w:val="true"/>
        </w:rPr>
        <w:footnoteReference w:id="2941"/>
      </w:r>
      <w:r>
        <w:rPr>
          <w:rFonts w:eastAsia="Times New Roman" w:cs="Times New Roman" w:ascii="Times New Roman" w:hAnsi="Times New Roman"/>
          <w:color w:val="111111"/>
          <w:sz w:val="28"/>
          <w:szCs w:val="28"/>
          <w:rtl w:val="true"/>
          <w:lang w:val="en-US" w:bidi="en-US"/>
        </w:rPr>
        <w:t>.</w:t>
      </w:r>
      <w:bookmarkStart w:id="816" w:name="pg11757_135926"/>
    </w:p>
    <w:p>
      <w:pPr>
        <w:pStyle w:val="Heading5"/>
        <w:numPr>
          <w:ilvl w:val="4"/>
          <w:numId w:val="1"/>
        </w:numPr>
        <w:rPr/>
      </w:pPr>
      <w:bookmarkStart w:id="817" w:name="__RefHeading___Toc9697119_73709187"/>
      <w:bookmarkStart w:id="818" w:name="_Toc303"/>
      <w:bookmarkEnd w:id="816"/>
      <w:bookmarkEnd w:id="817"/>
      <w:r>
        <w:rPr>
          <w:rtl w:val="true"/>
        </w:rPr>
        <w:t>الاستدلال بحدیث الرفع</w:t>
      </w:r>
      <w:bookmarkEnd w:id="818"/>
    </w:p>
    <w:p>
      <w:pPr>
        <w:pStyle w:val="BookText"/>
        <w:rPr/>
      </w:pPr>
      <w:r>
        <w:rPr>
          <w:rFonts w:ascii="IRNazanin" w:hAnsi="IRNazanin" w:eastAsia="IRNazanin"/>
          <w:color w:val="111111"/>
          <w:sz w:val="28"/>
          <w:sz w:val="28"/>
          <w:szCs w:val="28"/>
          <w:rtl w:val="true"/>
          <w:lang w:bidi="fa-IR"/>
        </w:rPr>
        <w:t>و قد استدلّ جمع من الأصحاب علی عدم نفوذ طلاق الصبیّ بحدیث رفع القلم، ففی السرائر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المطلّق ممّن یصحّ تصرّفه و لا یکون ممّن رفع القلم عنه</w:t>
      </w:r>
      <w:r>
        <w:rPr>
          <w:rFonts w:eastAsia="IRNazanin" w:cs="IRNazanin"/>
          <w:color w:val="111111"/>
          <w:sz w:val="28"/>
          <w:szCs w:val="28"/>
          <w:rtl w:val="true"/>
          <w:lang w:bidi="fa-IR"/>
        </w:rPr>
        <w:t>»</w:t>
      </w:r>
      <w:r>
        <w:rPr>
          <w:rStyle w:val="FootnoteAnchor"/>
          <w:rtl w:val="true"/>
        </w:rPr>
        <w:footnoteReference w:id="2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التنقیح الرائع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ثانیاً فلقوله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القلم عن ثلاثة عن الصبیّ حتّی یحتلم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الحدیث</w:t>
      </w:r>
      <w:r>
        <w:rPr>
          <w:rStyle w:val="FootnoteAnchor"/>
          <w:rtl w:val="true"/>
        </w:rPr>
        <w:footnoteReference w:id="2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لقوّة الإطلاق السابق المؤیّد بنصوص رفع القلم الشامل للوضعی و التکلیفی</w:t>
      </w:r>
      <w:r>
        <w:rPr>
          <w:rFonts w:eastAsia="IRNazanin" w:cs="IRNazanin"/>
          <w:color w:val="111111"/>
          <w:sz w:val="28"/>
          <w:szCs w:val="28"/>
          <w:rtl w:val="true"/>
          <w:lang w:bidi="fa-IR"/>
        </w:rPr>
        <w:t>»</w:t>
      </w:r>
      <w:r>
        <w:rPr>
          <w:rStyle w:val="FootnoteAnchor"/>
          <w:rtl w:val="true"/>
        </w:rPr>
        <w:footnoteReference w:id="29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وردت عدّة أخبار تدلّ علی جواز وصیّة الصبیّ و صدقته وهبته و عتقه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الالتزام بتخصیص حدیث رفع القلم بموارد تلک النصوص فی غایة الإشکال؛ لإباء سیاقه عن التخصیص، فتکون تلک النصوص واردة فی الصبیّ الذی یعقل، و جواز هذه الاُمور من الصبیّ علی طبق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المتحصّل من 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المسألة خلافیّة بین الفقهاء، و منشأ الخلاف إنّما هو اختلاف الأخبار، و الاحتیاط و التحفّظ من تطرّق الکلام إلی التناکح و التناسل یقتضی القول بعدم صحّة طلاق الصبیّ</w:t>
      </w:r>
      <w:r>
        <w:rPr>
          <w:rFonts w:eastAsia="IRNazanin" w:cs="IRNazanin"/>
          <w:color w:val="111111"/>
          <w:sz w:val="28"/>
          <w:szCs w:val="28"/>
          <w:rtl w:val="true"/>
          <w:lang w:bidi="fa-IR"/>
        </w:rPr>
        <w:t>.</w:t>
      </w:r>
    </w:p>
    <w:p>
      <w:pPr>
        <w:pStyle w:val="Heading5"/>
        <w:numPr>
          <w:ilvl w:val="4"/>
          <w:numId w:val="1"/>
        </w:numPr>
        <w:rPr/>
      </w:pPr>
      <w:bookmarkStart w:id="819" w:name="__RefHeading___Toc9697121_73709187"/>
      <w:bookmarkStart w:id="820" w:name="_Toc304"/>
      <w:bookmarkEnd w:id="819"/>
      <w:r>
        <w:rPr>
          <w:rtl w:val="true"/>
        </w:rPr>
        <w:t>طلاق الصبیّ عند أهل السنّة</w:t>
      </w:r>
      <w:bookmarkEnd w:id="820"/>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اشترطوا لصحّة الطلاق جملة شروط،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المطلِّق بالغاً، عاقلاً، مختاراً، قاصداً إیقاع الطلاق، و لأجل ذلک ذهب جمهور الفقهاء إلی عدم وقوع</w:t>
      </w:r>
    </w:p>
    <w:p>
      <w:pPr>
        <w:pStyle w:val="BookText"/>
        <w:rPr/>
      </w:pPr>
      <w:r>
        <w:rPr>
          <w:rFonts w:ascii="IRNazanin" w:hAnsi="IRNazanin" w:eastAsia="IRNazanin"/>
          <w:color w:val="111111"/>
          <w:sz w:val="28"/>
          <w:sz w:val="28"/>
          <w:szCs w:val="28"/>
          <w:rtl w:val="true"/>
          <w:lang w:bidi="fa-IR"/>
        </w:rPr>
        <w:t>طلاق الصبیّ الذی لم یبلغ، سواء کان یعقل الطلاق أم لم یعقله، و سواء کان مراهقاً قارب البلوغ أو لم یکن مراهقاً، اذِن له بذلک أم لا، اجیز بعد ذلک من الولیّ أم لا؟</w:t>
      </w:r>
      <w:r>
        <w:rPr>
          <w:rStyle w:val="FootnoteAnchor"/>
          <w:rtl w:val="true"/>
        </w:rPr>
        <w:footnoteReference w:id="2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علّلوه بأنّ الطلاق تصرّف خطیر و ضرر محض، فلا یملکه الصغیر و لا یملکه ولیّه؛ و لأنّ العقل شرط أهلیّة التصرّف، لأنّه به یعرف کون ذلک 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المجموع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اتّفق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طلاق الصبیّ و المجنون لا یقع، فإذا تلفّظا بالطلاق فلا طلاق علیها، و لحدیث علیّ علیه السلام و عائشة، عن النبیّ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النائم حتّی یستیقظ، و عن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یحتلم و عن المجنون حتّی یفیق</w:t>
      </w:r>
      <w:r>
        <w:rPr>
          <w:rFonts w:eastAsia="IRNazanin" w:cs="IRNazanin"/>
          <w:color w:val="111111"/>
          <w:sz w:val="28"/>
          <w:szCs w:val="28"/>
          <w:rtl w:val="true"/>
          <w:lang w:bidi="fa-IR"/>
        </w:rPr>
        <w:t>»</w:t>
      </w:r>
      <w:r>
        <w:rPr>
          <w:rStyle w:val="FootnoteAnchor"/>
          <w:rtl w:val="true"/>
        </w:rPr>
        <w:footnoteReference w:id="2946"/>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حدیثان صحیحان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الشافعی فی الاُمّ‌</w:t>
      </w:r>
      <w:r>
        <w:rPr>
          <w:rStyle w:val="FootnoteAnchor"/>
          <w:rtl w:val="true"/>
        </w:rPr>
        <w:footnoteReference w:id="29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طلاق من لزمه فرض الصلاة و الحدود، و ذلک کلّ بالغ من الرجال غیر مغلوب علی عقله</w:t>
      </w:r>
      <w:r>
        <w:rPr>
          <w:rFonts w:eastAsia="IRNazanin" w:cs="IRNazanin"/>
          <w:color w:val="111111"/>
          <w:sz w:val="28"/>
          <w:szCs w:val="28"/>
          <w:rtl w:val="true"/>
          <w:lang w:bidi="fa-IR"/>
        </w:rPr>
        <w:t>»</w:t>
      </w:r>
      <w:r>
        <w:rPr>
          <w:rStyle w:val="FootnoteAnchor"/>
          <w:rtl w:val="true"/>
        </w:rPr>
        <w:footnoteReference w:id="2948"/>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البدائع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شرائط الرکن فأنواع بعضها یرجع إلی الزوج، و بعضها یرجع إلی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الذی یرجع إلی الزوج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عاقلاً حقیقةً أو تقدیراً، فلا یقع طلاق المجنون و الصبیّ الذی لا یعقل؛ لأنّ العقل شرط أهلیّة التصرّف؛ لأنّ به یعرف کون التصرّف مصلحة، و هذه التصرّفات ما شرعت</w:t>
      </w:r>
    </w:p>
    <w:p>
      <w:pPr>
        <w:pStyle w:val="BookText"/>
        <w:rPr/>
      </w:pPr>
      <w:r>
        <w:rPr>
          <w:rFonts w:ascii="IRNazanin" w:hAnsi="IRNazanin" w:eastAsia="IRNazanin"/>
          <w:color w:val="111111"/>
          <w:sz w:val="28"/>
          <w:sz w:val="28"/>
          <w:szCs w:val="28"/>
          <w:rtl w:val="true"/>
          <w:lang w:bidi="fa-IR"/>
        </w:rPr>
        <w:t xml:space="preserve">إلّا لمصالح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طلاق جائز إلّا طلاق الصبیّ و المعتوه</w:t>
      </w:r>
      <w:r>
        <w:rPr>
          <w:rFonts w:eastAsia="IRNazanin" w:cs="IRNazanin"/>
          <w:color w:val="111111"/>
          <w:sz w:val="28"/>
          <w:szCs w:val="28"/>
          <w:rtl w:val="true"/>
          <w:lang w:bidi="fa-IR"/>
        </w:rPr>
        <w:t>»</w:t>
      </w:r>
      <w:r>
        <w:rPr>
          <w:rStyle w:val="FootnoteAnchor"/>
          <w:rtl w:val="true"/>
        </w:rPr>
        <w:footnoteReference w:id="29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البیان</w:t>
      </w:r>
      <w:r>
        <w:rPr>
          <w:rStyle w:val="FootnoteAnchor"/>
          <w:rtl w:val="true"/>
        </w:rPr>
        <w:footnoteReference w:id="2950"/>
      </w:r>
      <w:r>
        <w:rPr>
          <w:rFonts w:ascii="IRNazanin" w:hAnsi="IRNazanin" w:eastAsia="IRNazanin"/>
          <w:color w:val="111111"/>
          <w:sz w:val="28"/>
          <w:sz w:val="28"/>
          <w:szCs w:val="28"/>
          <w:rtl w:val="true"/>
          <w:lang w:bidi="fa-IR"/>
        </w:rPr>
        <w:t>،</w:t>
      </w:r>
      <w:r>
        <w:rPr>
          <w:rStyle w:val="FootnoteAnchor"/>
          <w:rtl w:val="true"/>
        </w:rPr>
        <w:footnoteReference w:id="2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صرّح بعدم وقوع الطلاق من الصبیّ أیضاً فی الشرح الکبیر للدردیر حاشیة الدسوقی</w:t>
      </w:r>
      <w:r>
        <w:rPr>
          <w:rStyle w:val="FootnoteAnchor"/>
          <w:rtl w:val="true"/>
        </w:rPr>
        <w:footnoteReference w:id="2952"/>
      </w:r>
      <w:r>
        <w:rPr>
          <w:rFonts w:ascii="IRNazanin" w:hAnsi="IRNazanin" w:eastAsia="IRNazanin"/>
          <w:color w:val="111111"/>
          <w:sz w:val="28"/>
          <w:sz w:val="28"/>
          <w:szCs w:val="28"/>
          <w:rtl w:val="true"/>
          <w:lang w:bidi="fa-IR"/>
        </w:rPr>
        <w:t>و التاج الإکلیل</w:t>
      </w:r>
      <w:r>
        <w:rPr>
          <w:rStyle w:val="FootnoteAnchor"/>
          <w:rtl w:val="true"/>
        </w:rPr>
        <w:footnoteReference w:id="2953"/>
      </w:r>
      <w:r>
        <w:rPr>
          <w:rFonts w:ascii="IRNazanin" w:hAnsi="IRNazanin" w:eastAsia="IRNazanin"/>
          <w:color w:val="111111"/>
          <w:sz w:val="28"/>
          <w:sz w:val="28"/>
          <w:szCs w:val="28"/>
          <w:rtl w:val="true"/>
          <w:lang w:bidi="fa-IR"/>
        </w:rPr>
        <w:t>و عقد الجواهر الثمینة</w:t>
      </w:r>
      <w:r>
        <w:rPr>
          <w:rStyle w:val="FootnoteAnchor"/>
          <w:rtl w:val="true"/>
        </w:rPr>
        <w:footnoteReference w:id="2954"/>
      </w:r>
      <w:r>
        <w:rPr>
          <w:rFonts w:ascii="IRNazanin" w:hAnsi="IRNazanin" w:eastAsia="IRNazanin"/>
          <w:color w:val="111111"/>
          <w:sz w:val="28"/>
          <w:sz w:val="28"/>
          <w:szCs w:val="28"/>
          <w:rtl w:val="true"/>
          <w:lang w:bidi="fa-IR"/>
        </w:rPr>
        <w:t>و غیرها</w:t>
      </w:r>
      <w:r>
        <w:rPr>
          <w:rStyle w:val="FootnoteAnchor"/>
          <w:rtl w:val="true"/>
        </w:rPr>
        <w:footnoteReference w:id="2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خالف الحنابلة فی الصبیّ الذی یعقل الطلاق و کان عاقلاً مختاراً ممیّزاً،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طلاقه واقع علی أکثر الروایات عن أحمد، و أمّا من لا یعقل فوافقوا الجمهور فی أنّه لا یصحّ طلاقه</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الصبیّ الذی لا یعقل فلا خلاف فی أنّه لا طلاق له، و أمّا الذی یعقل الطلاق و یعلم أنّ زوجته تبین منه و تحرم علیه؛ فأکثر الروایات عن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طلاقه یقع، اختارها أبو بکر و الخرقی و ابن حامد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لمن أخذ بالساق</w:t>
      </w:r>
      <w:r>
        <w:rPr>
          <w:rFonts w:eastAsia="IRNazanin" w:cs="IRNazanin"/>
          <w:color w:val="111111"/>
          <w:sz w:val="28"/>
          <w:szCs w:val="28"/>
          <w:rtl w:val="true"/>
          <w:lang w:bidi="fa-IR"/>
        </w:rPr>
        <w:t>»</w:t>
      </w:r>
      <w:r>
        <w:rPr>
          <w:rStyle w:val="FootnoteAnchor"/>
          <w:rtl w:val="true"/>
        </w:rPr>
        <w:footnoteReference w:id="2956"/>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طلاق جائز إلّا طلاق المعتوه المغلوب علی عقله</w:t>
      </w:r>
      <w:r>
        <w:rPr>
          <w:rFonts w:eastAsia="IRNazanin" w:cs="IRNazanin"/>
          <w:color w:val="111111"/>
          <w:sz w:val="28"/>
          <w:szCs w:val="28"/>
          <w:rtl w:val="true"/>
          <w:lang w:bidi="fa-IR"/>
        </w:rPr>
        <w:t>»</w:t>
      </w:r>
      <w:r>
        <w:rPr>
          <w:rStyle w:val="FootnoteAnchor"/>
          <w:rtl w:val="true"/>
        </w:rPr>
        <w:footnoteReference w:id="29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لأنّه طلاق من عاقل صادف محلّ الطلاق فوقع کطلاق البالغ</w:t>
      </w:r>
      <w:r>
        <w:rPr>
          <w:rFonts w:eastAsia="IRNazanin" w:cs="IRNazanin"/>
          <w:color w:val="111111"/>
          <w:sz w:val="28"/>
          <w:szCs w:val="28"/>
          <w:rtl w:val="true"/>
          <w:lang w:bidi="fa-IR"/>
        </w:rPr>
        <w:t>»</w:t>
      </w:r>
      <w:r>
        <w:rPr>
          <w:rStyle w:val="FootnoteAnchor"/>
          <w:rtl w:val="true"/>
        </w:rPr>
        <w:footnoteReference w:id="29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الشرح الکبیر</w:t>
      </w:r>
      <w:r>
        <w:rPr>
          <w:rStyle w:val="FootnoteAnchor"/>
          <w:rtl w:val="true"/>
        </w:rPr>
        <w:footnoteReference w:id="2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المقنع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یصحّ من الصبیّ العاقل، و عنه لا یصحّ حتّی یبلغ</w:t>
      </w:r>
      <w:r>
        <w:rPr>
          <w:rFonts w:eastAsia="IRNazanin" w:cs="IRNazanin"/>
          <w:color w:val="111111"/>
          <w:sz w:val="28"/>
          <w:szCs w:val="28"/>
          <w:rtl w:val="true"/>
          <w:lang w:bidi="fa-IR"/>
        </w:rPr>
        <w:t>»</w:t>
      </w:r>
      <w:r>
        <w:rPr>
          <w:rStyle w:val="FootnoteAnchor"/>
          <w:rtl w:val="true"/>
        </w:rPr>
        <w:footnoteReference w:id="2960"/>
      </w:r>
      <w:r>
        <w:rPr>
          <w:rFonts w:ascii="Amiri" w:hAnsi="Amiri" w:eastAsia="Amiri" w:cs="Amiri"/>
          <w:color w:val="111111"/>
          <w:sz w:val="28"/>
          <w:sz w:val="28"/>
          <w:szCs w:val="28"/>
          <w:rtl w:val="true"/>
          <w:lang w:bidi="ar-SA"/>
        </w:rPr>
        <w:t>، و به قال عدّة من فقهاء الحنابلة</w:t>
      </w:r>
      <w:r>
        <w:rPr>
          <w:rStyle w:val="FootnoteAnchor"/>
          <w:rtl w:val="true"/>
        </w:rPr>
        <w:footnoteReference w:id="2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الإنصاف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یصحّ طلاق الممیّز العاقل علی الصحیح من المذهب و علیه جماهیر الأصحاب</w:t>
      </w:r>
      <w:r>
        <w:rPr>
          <w:rFonts w:eastAsia="IRNazanin" w:cs="IRNazanin"/>
          <w:color w:val="111111"/>
          <w:sz w:val="28"/>
          <w:szCs w:val="28"/>
          <w:rtl w:val="true"/>
          <w:lang w:bidi="fa-IR"/>
        </w:rPr>
        <w:t>...»</w:t>
      </w:r>
      <w:r>
        <w:rPr>
          <w:rStyle w:val="FootnoteAnchor"/>
          <w:rtl w:val="true"/>
        </w:rPr>
        <w:footnoteReference w:id="29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الفروع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اختاره الأکثر</w:t>
      </w:r>
      <w:r>
        <w:rPr>
          <w:rFonts w:eastAsia="IRNazanin" w:cs="IRNazanin"/>
          <w:color w:val="111111"/>
          <w:sz w:val="28"/>
          <w:szCs w:val="28"/>
          <w:rtl w:val="true"/>
          <w:lang w:bidi="fa-IR"/>
        </w:rPr>
        <w:t>»</w:t>
      </w:r>
      <w:r>
        <w:rPr>
          <w:rStyle w:val="FootnoteAnchor"/>
          <w:rtl w:val="true"/>
        </w:rPr>
        <w:footnoteReference w:id="2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الزرکشی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کلام الماتن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عقل الصبیّ الطلاق فطلّق لزمه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هذه إحدی الروایتین عن أحمد و اختیار عامّة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یقع طلاقه حتّی یبلغ</w:t>
      </w:r>
      <w:r>
        <w:rPr>
          <w:rFonts w:eastAsia="IRNazanin" w:cs="IRNazanin"/>
          <w:color w:val="111111"/>
          <w:sz w:val="28"/>
          <w:szCs w:val="28"/>
          <w:rtl w:val="true"/>
          <w:lang w:bidi="fa-IR"/>
        </w:rPr>
        <w:t>»</w:t>
      </w:r>
      <w:r>
        <w:rPr>
          <w:rStyle w:val="FootnoteAnchor"/>
          <w:rtl w:val="true"/>
        </w:rPr>
        <w:footnoteReference w:id="2964"/>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المغنی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أکثر الروایات عن أحمد تحدید من یقع طلاقه من الصبیان بکونه یعقل، و هو اختیار القاضی و روی عن أحمد أبو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الطلاق جاز طلاقه ما بین عشر إلی اثنتی عشرة، و هذا یدلّ علی أنّه لا یقع لدون العشر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العشر حدّ للضرب علی الصلاة و الصیام و صحّة الوصیّة، فکذلک هذا</w:t>
      </w:r>
      <w:r>
        <w:rPr>
          <w:rFonts w:eastAsia="IRNazanin" w:cs="IRNazanin"/>
          <w:color w:val="111111"/>
          <w:sz w:val="28"/>
          <w:szCs w:val="28"/>
          <w:rtl w:val="true"/>
          <w:lang w:bidi="fa-IR"/>
        </w:rPr>
        <w:t>»</w:t>
      </w:r>
      <w:r>
        <w:rPr>
          <w:rStyle w:val="FootnoteAnchor"/>
          <w:rtl w:val="true"/>
        </w:rPr>
        <w:footnoteReference w:id="2965"/>
      </w:r>
      <w:r>
        <w:rPr>
          <w:rFonts w:eastAsia="Times New Roman" w:cs="Times New Roman" w:ascii="Times New Roman" w:hAnsi="Times New Roman"/>
          <w:color w:val="111111"/>
          <w:sz w:val="28"/>
          <w:szCs w:val="28"/>
          <w:rtl w:val="true"/>
          <w:lang w:val="en-US" w:bidi="en-US"/>
        </w:rPr>
        <w:t>.</w:t>
      </w:r>
      <w:bookmarkStart w:id="821" w:name="pg11757_135931"/>
    </w:p>
    <w:p>
      <w:pPr>
        <w:pStyle w:val="Heading4"/>
        <w:numPr>
          <w:ilvl w:val="3"/>
          <w:numId w:val="1"/>
        </w:numPr>
        <w:rPr/>
      </w:pPr>
      <w:bookmarkStart w:id="822" w:name="__RefHeading___Toc9697123_73709187"/>
      <w:bookmarkStart w:id="823" w:name="_Toc305"/>
      <w:bookmarkEnd w:id="821"/>
      <w:bookmarkEnd w:id="822"/>
      <w:r>
        <w:rPr>
          <w:rtl w:val="true"/>
        </w:rPr>
        <w:t>المبحث الثالث</w:t>
      </w:r>
      <w:r>
        <w:rPr>
          <w:rtl w:val="true"/>
        </w:rPr>
        <w:t xml:space="preserve">: </w:t>
      </w:r>
      <w:r>
        <w:rPr>
          <w:rtl w:val="true"/>
        </w:rPr>
        <w:t>محلّلیّة الصبیّ‌</w:t>
      </w:r>
      <w:bookmarkEnd w:id="823"/>
    </w:p>
    <w:p>
      <w:pPr>
        <w:pStyle w:val="Heading5"/>
        <w:numPr>
          <w:ilvl w:val="4"/>
          <w:numId w:val="1"/>
        </w:numPr>
        <w:rPr/>
      </w:pPr>
      <w:bookmarkStart w:id="824" w:name="__RefHeading___Toc9697125_73709187"/>
      <w:bookmarkStart w:id="825" w:name="_Toc306"/>
      <w:bookmarkEnd w:id="824"/>
      <w:r>
        <w:rPr>
          <w:rtl w:val="true"/>
        </w:rPr>
        <w:t>اشارة</w:t>
      </w:r>
      <w:bookmarkEnd w:id="825"/>
    </w:p>
    <w:p>
      <w:pPr>
        <w:pStyle w:val="BookText"/>
        <w:rPr/>
      </w:pPr>
      <w:r>
        <w:rPr>
          <w:rFonts w:ascii="IRNazanin" w:hAnsi="IRNazanin" w:eastAsia="IRNazanin"/>
          <w:color w:val="111111"/>
          <w:sz w:val="28"/>
          <w:sz w:val="28"/>
          <w:szCs w:val="28"/>
          <w:rtl w:val="true"/>
          <w:lang w:bidi="fa-IR"/>
        </w:rPr>
        <w:t>المحلّل من أحللت له الشیء، أی جعلته له حلالاً،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أحللت المرأة لزوجها، أی یطلّق الرجل امرأته ثلاثاً، فیتزوّجها رجلٌ آخر بشرط أن یطلّقها بعد مواقعته إیّاها لتحلّ للزوج الأوّل، کما فی لسان العرب</w:t>
      </w:r>
      <w:r>
        <w:rPr>
          <w:rStyle w:val="FootnoteAnchor"/>
          <w:rtl w:val="true"/>
        </w:rPr>
        <w:footnoteReference w:id="2966"/>
      </w:r>
      <w:r>
        <w:rPr>
          <w:rFonts w:ascii="IRNazanin" w:hAnsi="IRNazanin" w:eastAsia="IRNazanin"/>
          <w:color w:val="111111"/>
          <w:sz w:val="28"/>
          <w:sz w:val="28"/>
          <w:szCs w:val="28"/>
          <w:rtl w:val="true"/>
          <w:lang w:bidi="fa-IR"/>
        </w:rPr>
        <w:t>و غیره</w:t>
      </w:r>
      <w:r>
        <w:rPr>
          <w:rStyle w:val="FootnoteAnchor"/>
          <w:rtl w:val="true"/>
        </w:rPr>
        <w:footnoteReference w:id="2967"/>
      </w:r>
      <w:r>
        <w:rPr>
          <w:rFonts w:ascii="IRNazanin" w:hAnsi="IRNazanin" w:eastAsia="IRNazanin"/>
          <w:color w:val="111111"/>
          <w:sz w:val="28"/>
          <w:sz w:val="28"/>
          <w:szCs w:val="28"/>
          <w:rtl w:val="true"/>
          <w:lang w:bidi="fa-IR"/>
        </w:rPr>
        <w:t>، و المقصود منه فی الاصطلاح ما یزول به تحریم الطلقة الثالثة</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مذهب الأصحاب من غیر خلاف یعرف أنّ کلّ امرأة حرّة استکملت الطلاق ثلاثاً حرمت علی المطلّق حتّی تنکح زوجاً غیره، کما فی الشرائع و القواعد و إیضاح الفوائد و الحدائق و نهایة المرام و الجواهر</w:t>
      </w:r>
    </w:p>
    <w:p>
      <w:pPr>
        <w:pStyle w:val="BookText"/>
        <w:rPr/>
      </w:pPr>
      <w:r>
        <w:rPr>
          <w:rFonts w:ascii="IRNazanin" w:hAnsi="IRNazanin" w:eastAsia="IRNazanin"/>
          <w:color w:val="111111"/>
          <w:sz w:val="28"/>
          <w:sz w:val="28"/>
          <w:szCs w:val="28"/>
          <w:rtl w:val="true"/>
          <w:lang w:bidi="fa-IR"/>
        </w:rPr>
        <w:t>و غیرها</w:t>
      </w:r>
      <w:r>
        <w:rPr>
          <w:rStyle w:val="FootnoteAnchor"/>
          <w:rtl w:val="true"/>
        </w:rPr>
        <w:footnoteReference w:id="2968"/>
      </w:r>
      <w:r>
        <w:rPr>
          <w:rFonts w:ascii="IRNazanin" w:hAnsi="IRNazanin" w:eastAsia="IRNazanin"/>
          <w:color w:val="111111"/>
          <w:sz w:val="28"/>
          <w:sz w:val="28"/>
          <w:szCs w:val="28"/>
          <w:rtl w:val="true"/>
          <w:lang w:bidi="fa-IR"/>
        </w:rPr>
        <w:t>علی اختلاف تعبیراتهم، جاء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امرأة حرّة إذا استکملت الطلاق ثلاثاً مع تخلّل رجعتین فی البین حرمت علی المطلّق حتّی تنکح زوجاً غیره، سواء واقعها بعد کلّ رجعة و طلّقها فی طهر آخر غیر طهر المواقعة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یقال له طلاق العدّة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یواقعها، و سواء وقع کلّ طلاق فی طهر أو وقع الجمیع فی طهر واحد، فلو طلّقها مع الشرائط ثمّ راجعها ثمّ طلّقها ثمّ راجعها ثمّ طلّقها فی مجلس واحد حرمت علیه، فضلاً عمّا إذا طلّقها ثمّ راجعها ثمّ ترکها حتّی حاضت و طهرت ثمّ طلّقها، و هکذا</w:t>
      </w:r>
      <w:r>
        <w:rPr>
          <w:rFonts w:eastAsia="IRNazanin" w:cs="IRNazanin"/>
          <w:color w:val="111111"/>
          <w:sz w:val="28"/>
          <w:szCs w:val="28"/>
          <w:rtl w:val="true"/>
          <w:lang w:bidi="fa-IR"/>
        </w:rPr>
        <w:t>»</w:t>
      </w:r>
      <w:r>
        <w:rPr>
          <w:rStyle w:val="FootnoteAnchor"/>
          <w:rtl w:val="true"/>
        </w:rPr>
        <w:footnoteReference w:id="2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الحکم المزبور الکتاب و السنّة</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 فَلا تَحِلُّ لَهُ مِنْ بَعْدُ حَتّی تَنْکِحَ زَوْجاً غَیْرَهُ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مدلول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طلّقها الزوج عقیب الطلقتین الاُولیین و الإمساک بعدهما طلقةً ثالثة، حرمت علیه حتّی تنکح زوجاً غیر ذلک المطلّق، و هذا الحکم عند أصحابنا مخصوص بما عدا طلاق العدّة، لحرمتها علیه فی التاسعة أبداً، و طلاق العدّة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یطلّق المدخول بها علی الشرائط، ثمّ یراجعها فی العدّة و یطؤها، ثمّ یطلّقها مرّة ثانیة، و یفعل کما فعل أوّلاً، ثمّ یطلّقها ثالثة، فإذا فعل ذلک ثلاث مرّات، حرمت علیه عندهم أبداً، کما فی کنز العرفان</w:t>
      </w:r>
      <w:r>
        <w:rPr>
          <w:rStyle w:val="FootnoteAnchor"/>
          <w:rtl w:val="true"/>
        </w:rPr>
        <w:footnoteReference w:id="2970"/>
      </w:r>
      <w:r>
        <w:rPr>
          <w:rFonts w:eastAsia="Times New Roman" w:cs="Times New Roman" w:ascii="Times New Roman" w:hAnsi="Times New Roman"/>
          <w:color w:val="111111"/>
          <w:sz w:val="28"/>
          <w:szCs w:val="28"/>
          <w:rtl w:val="true"/>
          <w:lang w:val="en-US" w:bidi="en-US"/>
        </w:rPr>
        <w:t>.</w:t>
      </w:r>
      <w:bookmarkStart w:id="826" w:name="pg11757_135933"/>
    </w:p>
    <w:p>
      <w:pPr>
        <w:pStyle w:val="BookText"/>
        <w:rPr/>
      </w:pPr>
      <w:bookmarkEnd w:id="826"/>
      <w:r>
        <w:rPr>
          <w:rFonts w:ascii="Amiri" w:hAnsi="Amiri" w:eastAsia="Amiri" w:cs="Amiri"/>
          <w:color w:val="111111"/>
          <w:sz w:val="28"/>
          <w:sz w:val="28"/>
          <w:szCs w:val="28"/>
          <w:rtl w:val="true"/>
          <w:lang w:bidi="ar-SA"/>
        </w:rPr>
        <w:t>و أمّا السنّة فقد وردت نصوص</w:t>
      </w:r>
      <w:r>
        <w:rPr>
          <w:rStyle w:val="FootnoteAnchor"/>
          <w:rtl w:val="true"/>
        </w:rPr>
        <w:footnoteReference w:id="2971"/>
      </w:r>
      <w:r>
        <w:rPr>
          <w:rFonts w:ascii="IRNazanin" w:hAnsi="IRNazanin" w:eastAsia="IRNazanin"/>
          <w:color w:val="111111"/>
          <w:sz w:val="28"/>
          <w:sz w:val="28"/>
          <w:szCs w:val="28"/>
          <w:rtl w:val="true"/>
          <w:lang w:bidi="fa-IR"/>
        </w:rPr>
        <w:t>مستفیضة تدلّ علی ذلک و استدلّ بها الفقهاء و البحث فیها فی محلّه، و المقصود فی المقام أنّه هل یصحّ أن یکون الصبیّ محلّلاً أم لا؟</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الأصحاب علی أنّ الصغیر الذی لم یقارب البلوغ و لا یشتهی الجماع</w:t>
      </w:r>
      <w:r>
        <w:rPr>
          <w:rStyle w:val="FootnoteAnchor"/>
          <w:rtl w:val="true"/>
        </w:rPr>
        <w:footnoteReference w:id="2972"/>
      </w:r>
      <w:r>
        <w:rPr>
          <w:rFonts w:ascii="IRNazanin" w:hAnsi="IRNazanin" w:eastAsia="IRNazanin"/>
          <w:color w:val="111111"/>
          <w:sz w:val="28"/>
          <w:sz w:val="28"/>
          <w:szCs w:val="28"/>
          <w:rtl w:val="true"/>
          <w:lang w:bidi="fa-IR"/>
        </w:rPr>
        <w:t>لا یصحّ أن یکون محلّلاً، 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یکفی غیر المراهق من الصبیان الذین لا یلتذّون بالنکاح و لا یلتذّ بهم قولاً واحداً بین المسلمین فضلاً عن المؤمنین، و هو الحجّة</w:t>
      </w:r>
      <w:r>
        <w:rPr>
          <w:rFonts w:eastAsia="IRNazanin" w:cs="IRNazanin"/>
          <w:color w:val="111111"/>
          <w:sz w:val="28"/>
          <w:szCs w:val="28"/>
          <w:rtl w:val="true"/>
          <w:lang w:bidi="fa-IR"/>
        </w:rPr>
        <w:t>»</w:t>
      </w:r>
      <w:r>
        <w:rPr>
          <w:rStyle w:val="FootnoteAnchor"/>
          <w:rtl w:val="true"/>
        </w:rPr>
        <w:footnoteReference w:id="29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تفصیل الشریعة</w:t>
      </w:r>
      <w:r>
        <w:rPr>
          <w:rStyle w:val="FootnoteAnchor"/>
          <w:rtl w:val="true"/>
        </w:rPr>
        <w:footnoteReference w:id="2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تحلیل بالصغیر إجماعاً منّا</w:t>
      </w:r>
      <w:r>
        <w:rPr>
          <w:rFonts w:eastAsia="IRNazanin" w:cs="IRNazanin"/>
          <w:color w:val="111111"/>
          <w:sz w:val="28"/>
          <w:szCs w:val="28"/>
          <w:rtl w:val="true"/>
          <w:lang w:bidi="fa-IR"/>
        </w:rPr>
        <w:t>»</w:t>
      </w:r>
      <w:r>
        <w:rPr>
          <w:rStyle w:val="FootnoteAnchor"/>
          <w:rtl w:val="true"/>
        </w:rPr>
        <w:footnoteReference w:id="2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کشف اللثام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اعتبار بوط‌ء الصبیّ غیر المراهق بالاتّفاق</w:t>
      </w:r>
      <w:r>
        <w:rPr>
          <w:rFonts w:eastAsia="IRNazanin" w:cs="IRNazanin"/>
          <w:color w:val="111111"/>
          <w:sz w:val="28"/>
          <w:szCs w:val="28"/>
          <w:rtl w:val="true"/>
          <w:lang w:bidi="fa-IR"/>
        </w:rPr>
        <w:t>»</w:t>
      </w:r>
      <w:r>
        <w:rPr>
          <w:rStyle w:val="FootnoteAnchor"/>
          <w:rtl w:val="true"/>
        </w:rPr>
        <w:footnoteReference w:id="2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المراهق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المقارب للبلوغ بحیث یمکن أن یتحقّق بلوغه بغیر السنّ، و هو ابن عشر سنین فصاعداً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قولان</w:t>
      </w:r>
      <w:r>
        <w:rPr>
          <w:rFonts w:eastAsia="IRNazanin" w:cs="IRNazanin"/>
          <w:color w:val="111111"/>
          <w:sz w:val="28"/>
          <w:szCs w:val="28"/>
          <w:rtl w:val="true"/>
          <w:lang w:bidi="fa-IR"/>
        </w:rPr>
        <w:t>:</w:t>
      </w:r>
    </w:p>
    <w:p>
      <w:pPr>
        <w:pStyle w:val="Heading5"/>
        <w:numPr>
          <w:ilvl w:val="4"/>
          <w:numId w:val="1"/>
        </w:numPr>
        <w:rPr/>
      </w:pPr>
      <w:bookmarkStart w:id="827" w:name="__RefHeading___Toc9697127_73709187"/>
      <w:bookmarkStart w:id="828" w:name="_Toc307"/>
      <w:bookmarkEnd w:id="827"/>
      <w:r>
        <w:rPr>
          <w:rtl w:val="true"/>
        </w:rPr>
        <w:t>الأوّل</w:t>
      </w:r>
      <w:r>
        <w:rPr>
          <w:rtl w:val="true"/>
        </w:rPr>
        <w:t xml:space="preserve">: </w:t>
      </w:r>
      <w:r>
        <w:rPr>
          <w:rtl w:val="true"/>
        </w:rPr>
        <w:t>صحّة کون الصبیّ المراهق محلّلاً</w:t>
      </w:r>
      <w:bookmarkEnd w:id="828"/>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مراهقاً قد بلغ مثله أو یمکن ذلک فیه و کان ینشر علیه، أو یحصل منه الجماع، و یعرف ذوق العسیلة، فإنّها تحلّ عند بعضهم للأوّل و عند بعضهم لا تحلّ، و الأوّل أقوی</w:t>
      </w:r>
      <w:r>
        <w:rPr>
          <w:rFonts w:eastAsia="IRNazanin" w:cs="IRNazanin"/>
          <w:color w:val="111111"/>
          <w:sz w:val="28"/>
          <w:szCs w:val="28"/>
          <w:rtl w:val="true"/>
          <w:lang w:bidi="fa-IR"/>
        </w:rPr>
        <w:t>»</w:t>
      </w:r>
      <w:r>
        <w:rPr>
          <w:rStyle w:val="FootnoteAnchor"/>
          <w:rtl w:val="true"/>
        </w:rPr>
        <w:footnoteReference w:id="2977"/>
      </w:r>
      <w:r>
        <w:rPr>
          <w:rFonts w:ascii="IRNazanin" w:hAnsi="IRNazanin" w:eastAsia="IRNazanin"/>
          <w:color w:val="111111"/>
          <w:sz w:val="28"/>
          <w:sz w:val="28"/>
          <w:szCs w:val="28"/>
          <w:rtl w:val="true"/>
          <w:lang w:bidi="fa-IR"/>
        </w:rPr>
        <w:t>، و کذا فی الخلاف</w:t>
      </w:r>
      <w:r>
        <w:rPr>
          <w:rStyle w:val="FootnoteAnchor"/>
          <w:rtl w:val="true"/>
        </w:rPr>
        <w:footnoteReference w:id="2978"/>
      </w:r>
      <w:r>
        <w:rPr>
          <w:rFonts w:ascii="IRNazanin" w:hAnsi="IRNazanin" w:eastAsia="IRNazanin"/>
          <w:color w:val="111111"/>
          <w:sz w:val="28"/>
          <w:sz w:val="28"/>
          <w:szCs w:val="28"/>
          <w:rtl w:val="true"/>
          <w:lang w:bidi="fa-IR"/>
        </w:rPr>
        <w:t>، و به قال</w:t>
      </w:r>
    </w:p>
    <w:p>
      <w:pPr>
        <w:pStyle w:val="BookText"/>
        <w:rPr/>
      </w:pPr>
      <w:r>
        <w:rPr>
          <w:rFonts w:ascii="IRNazanin" w:hAnsi="IRNazanin" w:eastAsia="IRNazanin"/>
          <w:color w:val="111111"/>
          <w:sz w:val="28"/>
          <w:sz w:val="28"/>
          <w:szCs w:val="28"/>
          <w:rtl w:val="true"/>
          <w:lang w:bidi="fa-IR"/>
        </w:rPr>
        <w:t>ابن الجنید</w:t>
      </w:r>
      <w:r>
        <w:rPr>
          <w:rStyle w:val="FootnoteAnchor"/>
          <w:rtl w:val="true"/>
        </w:rPr>
        <w:footnoteReference w:id="2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مالَ إلیه فی المسالک حیث إنّه استشکل علی أدلّة القول الثانی،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التخفیف فی هذا الباب مطلوب؛ لما فیه من الغضاضة و العار و إن کان النکاح مبنیّاً علی الاحتیاط</w:t>
      </w:r>
      <w:r>
        <w:rPr>
          <w:rFonts w:eastAsia="IRNazanin" w:cs="IRNazanin"/>
          <w:color w:val="111111"/>
          <w:sz w:val="28"/>
          <w:szCs w:val="28"/>
          <w:rtl w:val="true"/>
          <w:lang w:bidi="fa-IR"/>
        </w:rPr>
        <w:t>»</w:t>
      </w:r>
      <w:r>
        <w:rPr>
          <w:rStyle w:val="FootnoteAnchor"/>
          <w:rtl w:val="true"/>
        </w:rPr>
        <w:footnoteReference w:id="2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یدلّ علیه إطلاق قوله تعالی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تَنْکِحَ زَوْجاً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یشمل التزویج مع الصبیّ المراهق، و هکذا إطلاق بعض النصوص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التی لا تحلّ لزوجها حتّی تنکح زوجاً غیره و تذوق عسیلته و یذوق عسیلتها، و هو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مَرَّتانِ فَإِمْساکٌ بِمَعْرُوفٍ أَوْ تَسْرِیحٌ بِإِحْسانٍ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التسریح بإحسان التطلیقة الثالثة</w:t>
      </w:r>
      <w:r>
        <w:rPr>
          <w:rFonts w:eastAsia="Amiri" w:cs="Amiri" w:ascii="Amiri" w:hAnsi="Amiri"/>
          <w:color w:val="111111"/>
          <w:sz w:val="28"/>
          <w:szCs w:val="28"/>
          <w:rtl w:val="true"/>
          <w:lang w:bidi="ar-SA"/>
        </w:rPr>
        <w:t>»</w:t>
      </w:r>
      <w:r>
        <w:rPr>
          <w:rStyle w:val="FootnoteAnchor"/>
          <w:rtl w:val="true"/>
        </w:rPr>
        <w:footnoteReference w:id="2981"/>
      </w:r>
      <w:r>
        <w:rPr>
          <w:rFonts w:ascii="IRNazanin" w:hAnsi="IRNazanin" w:eastAsia="IRNazanin"/>
          <w:color w:val="111111"/>
          <w:sz w:val="28"/>
          <w:sz w:val="28"/>
          <w:szCs w:val="28"/>
          <w:rtl w:val="true"/>
          <w:lang w:bidi="fa-IR"/>
        </w:rPr>
        <w:t>استدلّ بهما الشیخ فی المبسوط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لعموم الآیة و الخبر</w:t>
      </w:r>
      <w:r>
        <w:rPr>
          <w:rFonts w:eastAsia="IRNazanin" w:cs="IRNazanin"/>
          <w:color w:val="111111"/>
          <w:sz w:val="28"/>
          <w:szCs w:val="28"/>
          <w:rtl w:val="true"/>
          <w:lang w:bidi="fa-IR"/>
        </w:rPr>
        <w:t>»</w:t>
      </w:r>
      <w:r>
        <w:rPr>
          <w:rStyle w:val="FootnoteAnchor"/>
          <w:rtl w:val="true"/>
        </w:rPr>
        <w:footnoteReference w:id="2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المراهق له لذّة الجماع، و کذلک المرأة تلتذّ به، فیتناوله الخبر</w:t>
      </w:r>
      <w:r>
        <w:rPr>
          <w:rFonts w:eastAsia="IRNazanin" w:cs="IRNazanin"/>
          <w:color w:val="111111"/>
          <w:sz w:val="28"/>
          <w:szCs w:val="28"/>
          <w:rtl w:val="true"/>
          <w:lang w:bidi="fa-IR"/>
        </w:rPr>
        <w:t>»</w:t>
      </w:r>
      <w:r>
        <w:rPr>
          <w:rStyle w:val="FootnoteAnchor"/>
          <w:rtl w:val="true"/>
        </w:rPr>
        <w:footnoteReference w:id="2983"/>
      </w:r>
      <w:r>
        <w:rPr>
          <w:rFonts w:ascii="IRNazanin" w:hAnsi="IRNazanin" w:eastAsia="IRNazanin"/>
          <w:color w:val="111111"/>
          <w:sz w:val="28"/>
          <w:sz w:val="28"/>
          <w:szCs w:val="28"/>
          <w:rtl w:val="true"/>
          <w:lang w:bidi="fa-IR"/>
        </w:rPr>
        <w:t>، و سیأتی فی ذلک زیادة توضیح</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أورد علیه فی الحدائق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استند إلیه من ظاهر الآیة یردّه أنّهم قد صرّحوا فی غیر مقام بأنّ الإطلاق إنّما ینصرف إلی الأفراد الکثیرة المتعارفة دون الأفراد النادرة، و لا ریب أنّ نکاح غیر البالغ من أندر الفروض</w:t>
      </w:r>
      <w:bookmarkStart w:id="829" w:name="pg11757_135935"/>
    </w:p>
    <w:p>
      <w:pPr>
        <w:pStyle w:val="BookText"/>
        <w:rPr/>
      </w:pPr>
      <w:bookmarkEnd w:id="829"/>
      <w:r>
        <w:rPr>
          <w:rFonts w:ascii="Amiri" w:hAnsi="Amiri" w:eastAsia="Amiri" w:cs="Amiri"/>
          <w:color w:val="111111"/>
          <w:sz w:val="28"/>
          <w:sz w:val="28"/>
          <w:szCs w:val="28"/>
          <w:rtl w:val="true"/>
          <w:lang w:bidi="ar-SA"/>
        </w:rPr>
        <w:t>النادرة</w:t>
      </w:r>
      <w:r>
        <w:rPr>
          <w:rFonts w:eastAsia="Amiri" w:cs="Amiri" w:ascii="Amiri" w:hAnsi="Amiri"/>
          <w:color w:val="111111"/>
          <w:sz w:val="28"/>
          <w:szCs w:val="28"/>
          <w:rtl w:val="true"/>
          <w:lang w:bidi="ar-SA"/>
        </w:rPr>
        <w:t>»</w:t>
      </w:r>
      <w:r>
        <w:rPr>
          <w:rStyle w:val="FootnoteAnchor"/>
          <w:rtl w:val="true"/>
        </w:rPr>
        <w:footnoteReference w:id="2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الملاک هو الصدق العرفی، بحیث لا یکون إلی حدّ الخفاء، أمّا کثرة الأفراد و قلّتها فلیس ملاکاً للانصراف و عدمه، کما بیّن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السیّد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 الخبر المذکور المنجبر بالشهرة، و إلّا فلا مانع من الأخذ بإطلاق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تَنْکِحَ زَوْجاً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أمّا دعوی الانصراف إلی الأفراد الکثیرة دون النادرة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یخفی ما فیها من الإشکال؛ لأنّ مجرّد الکثرة لا یوجب الانصراف</w:t>
      </w:r>
      <w:r>
        <w:rPr>
          <w:rFonts w:eastAsia="IRNazanin" w:cs="IRNazanin"/>
          <w:color w:val="111111"/>
          <w:sz w:val="28"/>
          <w:szCs w:val="28"/>
          <w:rtl w:val="true"/>
          <w:lang w:bidi="fa-IR"/>
        </w:rPr>
        <w:t>»</w:t>
      </w:r>
      <w:r>
        <w:rPr>
          <w:rStyle w:val="FootnoteAnchor"/>
          <w:rtl w:val="true"/>
        </w:rPr>
        <w:footnoteReference w:id="29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0" w:name="__RefHeading___Toc9697129_73709187"/>
      <w:bookmarkStart w:id="831" w:name="_Toc308"/>
      <w:bookmarkEnd w:id="830"/>
      <w:r>
        <w:rPr>
          <w:rtl w:val="true"/>
        </w:rPr>
        <w:t>القول الثانی</w:t>
      </w:r>
      <w:r>
        <w:rPr>
          <w:rtl w:val="true"/>
        </w:rPr>
        <w:t xml:space="preserve">: </w:t>
      </w:r>
      <w:r>
        <w:rPr>
          <w:rtl w:val="true"/>
        </w:rPr>
        <w:t>عدم صحّة کون الصبیّ المراهق محلّلاً</w:t>
      </w:r>
      <w:bookmarkEnd w:id="831"/>
    </w:p>
    <w:p>
      <w:pPr>
        <w:pStyle w:val="Heading6"/>
        <w:numPr>
          <w:ilvl w:val="5"/>
          <w:numId w:val="1"/>
        </w:numPr>
        <w:rPr/>
      </w:pPr>
      <w:bookmarkStart w:id="832" w:name="__RefHeading___Toc9697131_73709187"/>
      <w:bookmarkStart w:id="833" w:name="_Toc309"/>
      <w:bookmarkEnd w:id="832"/>
      <w:r>
        <w:rPr>
          <w:rtl w:val="true"/>
        </w:rPr>
        <w:t>اشارة</w:t>
      </w:r>
      <w:bookmarkEnd w:id="833"/>
    </w:p>
    <w:p>
      <w:pPr>
        <w:pStyle w:val="BookText"/>
        <w:rPr/>
      </w:pPr>
      <w:r>
        <w:rPr>
          <w:rFonts w:ascii="IRNazanin" w:hAnsi="IRNazanin" w:eastAsia="IRNazanin"/>
          <w:color w:val="111111"/>
          <w:sz w:val="28"/>
          <w:sz w:val="28"/>
          <w:szCs w:val="28"/>
          <w:rtl w:val="true"/>
          <w:lang w:bidi="fa-IR"/>
        </w:rPr>
        <w:t>ذهب المشهور بل کافّة المتأخّرین إلی أنّه لا تصحّ محلّلیّة الصبیّ المراهق الذی قارب البلوغ، و هو الأظهر، و هو اختیار الشیخ فی النهایة حیث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طلّقها الثالثة لم تحلّ له حتّی تنکح زوجاً غیره، فإن تزوّجت فیما بین التطلیقة الاُولی أو الثانیة أو الثالثة زوجاً بالغاً و دخل بها و یکون التزویج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إن تزوّجت بعد التطلیقات الثلاث، هدم الزوج الثلاث تطلیقات، و جاز لها أن ترجع إلی الأوّل بعقد</w:t>
      </w:r>
      <w:r>
        <w:rPr>
          <w:rFonts w:eastAsia="IRNazanin" w:cs="IRNazanin"/>
          <w:color w:val="111111"/>
          <w:sz w:val="28"/>
          <w:szCs w:val="28"/>
          <w:rtl w:val="true"/>
          <w:lang w:bidi="fa-IR"/>
        </w:rPr>
        <w:t>»</w:t>
      </w:r>
      <w:r>
        <w:rPr>
          <w:rStyle w:val="FootnoteAnchor"/>
          <w:rtl w:val="true"/>
        </w:rPr>
        <w:footnoteReference w:id="2986"/>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قال فی السرائر</w:t>
      </w:r>
      <w:r>
        <w:rPr>
          <w:rStyle w:val="FootnoteAnchor"/>
          <w:rtl w:val="true"/>
        </w:rPr>
        <w:footnoteReference w:id="2987"/>
      </w:r>
      <w:r>
        <w:rPr>
          <w:rFonts w:ascii="IRNazanin" w:hAnsi="IRNazanin" w:eastAsia="IRNazanin"/>
          <w:color w:val="111111"/>
          <w:sz w:val="28"/>
          <w:sz w:val="28"/>
          <w:szCs w:val="28"/>
          <w:rtl w:val="true"/>
          <w:lang w:bidi="fa-IR"/>
        </w:rPr>
        <w:t>و الغنیة</w:t>
      </w:r>
      <w:r>
        <w:rPr>
          <w:rStyle w:val="FootnoteAnchor"/>
          <w:rtl w:val="true"/>
        </w:rPr>
        <w:footnoteReference w:id="2988"/>
      </w:r>
      <w:r>
        <w:rPr>
          <w:rFonts w:ascii="IRNazanin" w:hAnsi="IRNazanin" w:eastAsia="IRNazanin"/>
          <w:color w:val="111111"/>
          <w:sz w:val="28"/>
          <w:sz w:val="28"/>
          <w:szCs w:val="28"/>
          <w:rtl w:val="true"/>
          <w:lang w:bidi="fa-IR"/>
        </w:rPr>
        <w:t>و الجامع للشرائع</w:t>
      </w:r>
      <w:r>
        <w:rPr>
          <w:rStyle w:val="FootnoteAnchor"/>
          <w:rtl w:val="true"/>
        </w:rPr>
        <w:footnoteReference w:id="2989"/>
      </w:r>
      <w:r>
        <w:rPr>
          <w:rFonts w:ascii="IRNazanin" w:hAnsi="IRNazanin" w:eastAsia="IRNazanin"/>
          <w:color w:val="111111"/>
          <w:sz w:val="28"/>
          <w:sz w:val="28"/>
          <w:szCs w:val="28"/>
          <w:rtl w:val="true"/>
          <w:lang w:bidi="fa-IR"/>
        </w:rPr>
        <w:t>، و اختاره العلّامة فی</w:t>
      </w:r>
      <w:bookmarkStart w:id="834" w:name="pg11757_135936"/>
    </w:p>
    <w:p>
      <w:pPr>
        <w:pStyle w:val="BookText"/>
        <w:rPr/>
      </w:pPr>
      <w:bookmarkEnd w:id="834"/>
      <w:r>
        <w:rPr>
          <w:rFonts w:ascii="IRNazanin" w:hAnsi="IRNazanin" w:eastAsia="IRNazanin"/>
          <w:color w:val="111111"/>
          <w:sz w:val="28"/>
          <w:sz w:val="28"/>
          <w:szCs w:val="28"/>
          <w:rtl w:val="true"/>
          <w:lang w:bidi="fa-IR"/>
        </w:rPr>
        <w:t>جملة من کتبه</w:t>
      </w:r>
      <w:r>
        <w:rPr>
          <w:rStyle w:val="FootnoteAnchor"/>
          <w:rtl w:val="true"/>
        </w:rPr>
        <w:footnoteReference w:id="2990"/>
      </w:r>
      <w:r>
        <w:rPr>
          <w:rFonts w:ascii="IRNazanin" w:hAnsi="IRNazanin" w:eastAsia="IRNazanin"/>
          <w:color w:val="111111"/>
          <w:sz w:val="28"/>
          <w:sz w:val="28"/>
          <w:szCs w:val="28"/>
          <w:rtl w:val="true"/>
          <w:lang w:bidi="fa-IR"/>
        </w:rPr>
        <w:t>و ولده فی الإیضاح</w:t>
      </w:r>
      <w:r>
        <w:rPr>
          <w:rStyle w:val="FootnoteAnchor"/>
          <w:rtl w:val="true"/>
        </w:rPr>
        <w:footnoteReference w:id="2991"/>
      </w:r>
      <w:r>
        <w:rPr>
          <w:rFonts w:ascii="Amiri" w:hAnsi="Amiri" w:eastAsia="Amiri" w:cs="Amiri"/>
          <w:color w:val="111111"/>
          <w:sz w:val="28"/>
          <w:sz w:val="28"/>
          <w:szCs w:val="28"/>
          <w:rtl w:val="true"/>
          <w:lang w:bidi="ar-SA"/>
        </w:rPr>
        <w:t>، و تردّد فی الشرائع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أشبهه أنّه لا یحلّل</w:t>
      </w:r>
      <w:r>
        <w:rPr>
          <w:rFonts w:eastAsia="Amiri" w:cs="Amiri" w:ascii="Amiri" w:hAnsi="Amiri"/>
          <w:color w:val="111111"/>
          <w:sz w:val="28"/>
          <w:szCs w:val="28"/>
          <w:rtl w:val="true"/>
          <w:lang w:bidi="ar-SA"/>
        </w:rPr>
        <w:t>»</w:t>
      </w:r>
      <w:r>
        <w:rPr>
          <w:rStyle w:val="FootnoteAnchor"/>
          <w:rtl w:val="true"/>
        </w:rPr>
        <w:footnoteReference w:id="2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یعتبر فیه البلوغ فلا تحلیل بالصغیر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المقارب للبلوغ المعبّر عنه بالمراهق علی الأظهر الأشهر، بل علیه کافّة من تأخّر إلّا من ندر</w:t>
      </w:r>
      <w:r>
        <w:rPr>
          <w:rFonts w:eastAsia="IRNazanin" w:cs="IRNazanin"/>
          <w:color w:val="111111"/>
          <w:sz w:val="28"/>
          <w:szCs w:val="28"/>
          <w:rtl w:val="true"/>
          <w:lang w:bidi="fa-IR"/>
        </w:rPr>
        <w:t>»</w:t>
      </w:r>
      <w:r>
        <w:rPr>
          <w:rStyle w:val="FootnoteAnchor"/>
          <w:rtl w:val="true"/>
        </w:rPr>
        <w:footnoteReference w:id="2993"/>
      </w:r>
      <w:r>
        <w:rPr>
          <w:rFonts w:ascii="IRNazanin" w:hAnsi="IRNazanin" w:eastAsia="IRNazanin"/>
          <w:color w:val="111111"/>
          <w:sz w:val="28"/>
          <w:sz w:val="28"/>
          <w:szCs w:val="28"/>
          <w:rtl w:val="true"/>
          <w:lang w:bidi="fa-IR"/>
        </w:rPr>
        <w:t>، و کذا فی کشف اللثام</w:t>
      </w:r>
      <w:r>
        <w:rPr>
          <w:rStyle w:val="FootnoteAnchor"/>
          <w:rtl w:val="true"/>
        </w:rPr>
        <w:footnoteReference w:id="2994"/>
      </w:r>
      <w:r>
        <w:rPr>
          <w:rFonts w:ascii="IRNazanin" w:hAnsi="IRNazanin" w:eastAsia="IRNazanin"/>
          <w:color w:val="111111"/>
          <w:sz w:val="28"/>
          <w:sz w:val="28"/>
          <w:szCs w:val="28"/>
          <w:rtl w:val="true"/>
          <w:lang w:bidi="fa-IR"/>
        </w:rPr>
        <w:t>و الحدائق</w:t>
      </w:r>
      <w:r>
        <w:rPr>
          <w:rStyle w:val="FootnoteAnchor"/>
          <w:rtl w:val="true"/>
        </w:rPr>
        <w:footnoteReference w:id="2995"/>
      </w:r>
      <w:r>
        <w:rPr>
          <w:rFonts w:ascii="IRNazanin" w:hAnsi="IRNazanin" w:eastAsia="IRNazanin"/>
          <w:color w:val="111111"/>
          <w:sz w:val="28"/>
          <w:sz w:val="28"/>
          <w:szCs w:val="28"/>
          <w:rtl w:val="true"/>
          <w:lang w:bidi="fa-IR"/>
        </w:rPr>
        <w:t>و الجواهر</w:t>
      </w:r>
      <w:r>
        <w:rPr>
          <w:rStyle w:val="FootnoteAnchor"/>
          <w:rtl w:val="true"/>
        </w:rPr>
        <w:footnoteReference w:id="2996"/>
      </w:r>
      <w:r>
        <w:rPr>
          <w:rFonts w:ascii="IRNazanin" w:hAnsi="IRNazanin" w:eastAsia="IRNazanin"/>
          <w:color w:val="111111"/>
          <w:sz w:val="28"/>
          <w:sz w:val="28"/>
          <w:szCs w:val="28"/>
          <w:rtl w:val="true"/>
          <w:lang w:bidi="fa-IR"/>
        </w:rPr>
        <w:t>، و به قال بعض أعلام العصر</w:t>
      </w:r>
      <w:r>
        <w:rPr>
          <w:rStyle w:val="FootnoteAnchor"/>
          <w:rtl w:val="true"/>
        </w:rPr>
        <w:footnoteReference w:id="2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تعتبر فی زوال التحریم به امور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الزوج المحلّل بالغاً، فلا اعتبار بنکاح غیر البالغ و إن کان مراهقاً</w:t>
      </w:r>
      <w:r>
        <w:rPr>
          <w:rFonts w:eastAsia="IRNazanin" w:cs="IRNazanin"/>
          <w:color w:val="111111"/>
          <w:sz w:val="28"/>
          <w:szCs w:val="28"/>
          <w:rtl w:val="true"/>
          <w:lang w:bidi="fa-IR"/>
        </w:rPr>
        <w:t>»</w:t>
      </w:r>
      <w:r>
        <w:rPr>
          <w:rStyle w:val="FootnoteAnchor"/>
          <w:rtl w:val="true"/>
        </w:rPr>
        <w:footnoteReference w:id="2998"/>
      </w:r>
      <w:r>
        <w:rPr>
          <w:rFonts w:ascii="IRNazanin" w:hAnsi="IRNazanin" w:eastAsia="IRNazanin"/>
          <w:color w:val="111111"/>
          <w:sz w:val="28"/>
          <w:sz w:val="28"/>
          <w:szCs w:val="28"/>
          <w:rtl w:val="true"/>
          <w:lang w:bidi="fa-IR"/>
        </w:rPr>
        <w:t>، و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وفاقاً للمشهور شهرة عظیمة</w:t>
      </w:r>
      <w:r>
        <w:rPr>
          <w:rFonts w:eastAsia="IRNazanin" w:cs="IRNazanin"/>
          <w:color w:val="111111"/>
          <w:sz w:val="28"/>
          <w:szCs w:val="28"/>
          <w:rtl w:val="true"/>
          <w:lang w:bidi="fa-IR"/>
        </w:rPr>
        <w:t>»</w:t>
      </w:r>
      <w:r>
        <w:rPr>
          <w:rStyle w:val="FootnoteAnchor"/>
          <w:rtl w:val="true"/>
        </w:rPr>
        <w:footnoteReference w:id="29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35" w:name="__RefHeading___Toc9697133_73709187"/>
      <w:bookmarkStart w:id="836" w:name="_Toc310"/>
      <w:bookmarkEnd w:id="835"/>
      <w:r>
        <w:rPr>
          <w:rtl w:val="true"/>
        </w:rPr>
        <w:t>الأدلّة علی عدم صحّة کون الصبیّ المراهق محلّلاً</w:t>
      </w:r>
      <w:r>
        <w:rPr>
          <w:rtl w:val="true"/>
        </w:rPr>
        <w:t>:</w:t>
      </w:r>
      <w:bookmarkEnd w:id="83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اعتبار بأفعال الصبیّ لرفع القلم عنه</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رفع القلم عن الصبیّ لا ینافی اعتداد المکلّف بفعله و ترتّب الأثر</w:t>
      </w:r>
    </w:p>
    <w:p>
      <w:pPr>
        <w:pStyle w:val="BookText"/>
        <w:rPr/>
      </w:pPr>
      <w:r>
        <w:rPr>
          <w:rFonts w:ascii="IRNazanin" w:hAnsi="IRNazanin" w:eastAsia="IRNazanin"/>
          <w:color w:val="111111"/>
          <w:sz w:val="28"/>
          <w:sz w:val="28"/>
          <w:szCs w:val="28"/>
          <w:rtl w:val="true"/>
          <w:lang w:bidi="fa-IR"/>
        </w:rPr>
        <w:t>علیه، کما یجب علیها الغسل بوطئه، و خصوصاً مع دخوله فی إطلاق الآیة</w:t>
      </w:r>
      <w:r>
        <w:rPr>
          <w:rStyle w:val="FootnoteAnchor"/>
          <w:rtl w:val="true"/>
        </w:rPr>
        <w:footnoteReference w:id="3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مکاتبة علیّ بن فضل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الرضا علیه السلام رجل طلّق امرأته الطلاق الذی لا تحلّ له حتّی تنکح زوجاً غیره، فتزوّجها غلام لم یحتلم،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حتّی یبلغ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 البلوغ؟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المؤمنین الحدود</w:t>
      </w:r>
      <w:r>
        <w:rPr>
          <w:rFonts w:eastAsia="IRNazanin" w:cs="IRNazanin"/>
          <w:color w:val="111111"/>
          <w:sz w:val="28"/>
          <w:szCs w:val="28"/>
          <w:rtl w:val="true"/>
          <w:lang w:bidi="fa-IR"/>
        </w:rPr>
        <w:t>»</w:t>
      </w:r>
      <w:r>
        <w:rPr>
          <w:rStyle w:val="FootnoteAnchor"/>
          <w:rtl w:val="true"/>
        </w:rPr>
        <w:footnoteReference w:id="30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ضعفه منجبر</w:t>
      </w:r>
      <w:r>
        <w:rPr>
          <w:rStyle w:val="FootnoteAnchor"/>
          <w:rtl w:val="true"/>
        </w:rPr>
        <w:footnoteReference w:id="3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الواردة من طرق العامّة</w:t>
      </w:r>
      <w:r>
        <w:rPr>
          <w:rStyle w:val="FootnoteAnchor"/>
          <w:rtl w:val="true"/>
        </w:rPr>
        <w:footnoteReference w:id="3003"/>
      </w:r>
      <w:r>
        <w:rPr>
          <w:rFonts w:ascii="IRNazanin" w:hAnsi="IRNazanin" w:eastAsia="IRNazanin"/>
          <w:color w:val="111111"/>
          <w:sz w:val="28"/>
          <w:sz w:val="28"/>
          <w:szCs w:val="28"/>
          <w:rtl w:val="true"/>
          <w:lang w:bidi="fa-IR"/>
        </w:rPr>
        <w:t>و الخاصّة الدالّة علی أنّه لم تحلّ لزوجها الأوّل حتّی یذوق الآخر عسیلتها و تذوق عسیلته، کموثّقة سماعة المتقدّمة</w:t>
      </w:r>
      <w:r>
        <w:rPr>
          <w:rStyle w:val="FootnoteAnchor"/>
          <w:rtl w:val="true"/>
        </w:rPr>
        <w:footnoteReference w:id="3004"/>
      </w:r>
      <w:r>
        <w:rPr>
          <w:rFonts w:ascii="IRNazanin" w:hAnsi="IRNazanin" w:eastAsia="IRNazanin"/>
          <w:color w:val="111111"/>
          <w:sz w:val="28"/>
          <w:sz w:val="28"/>
          <w:szCs w:val="28"/>
          <w:rtl w:val="true"/>
          <w:lang w:bidi="fa-IR"/>
        </w:rPr>
        <w:t>، و معتبرة أبی بصیر المرادی،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التی لا تحلّ لزوجها حتّی تنکح زوجاً غیره؟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التی تطلّق ثمّ تراجع، ثمّ تطلّق ثمّ تراجع، ثمّ تطلّق الثالثة، فهی التی لا تحلّ له حتّی تنکح زوجاً غیره و یذوق عسیلتها</w:t>
      </w:r>
      <w:r>
        <w:rPr>
          <w:rFonts w:eastAsia="IRNazanin" w:cs="IRNazanin"/>
          <w:color w:val="111111"/>
          <w:sz w:val="28"/>
          <w:szCs w:val="28"/>
          <w:rtl w:val="true"/>
          <w:lang w:bidi="fa-IR"/>
        </w:rPr>
        <w:t>»</w:t>
      </w:r>
      <w:r>
        <w:rPr>
          <w:rStyle w:val="FootnoteAnchor"/>
          <w:rtl w:val="true"/>
        </w:rPr>
        <w:footnoteReference w:id="3005"/>
      </w:r>
      <w:r>
        <w:rPr>
          <w:rFonts w:ascii="IRNazanin" w:hAnsi="IRNazanin" w:eastAsia="IRNazanin"/>
          <w:color w:val="111111"/>
          <w:sz w:val="28"/>
          <w:sz w:val="28"/>
          <w:szCs w:val="28"/>
          <w:rtl w:val="true"/>
          <w:lang w:bidi="fa-IR"/>
        </w:rPr>
        <w:t>، و غیرهما</w:t>
      </w:r>
      <w:r>
        <w:rPr>
          <w:rStyle w:val="FootnoteAnchor"/>
          <w:rtl w:val="true"/>
        </w:rPr>
        <w:footnoteReference w:id="30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الرجل، و النطفة تسمّی العسیلة کنایة عن حلاوة الجماع الذی یکون بتغیّب الحشفة فی فرج المرأة، کما فی لسان العرب</w:t>
      </w:r>
      <w:r>
        <w:rPr>
          <w:rStyle w:val="FootnoteAnchor"/>
          <w:rtl w:val="true"/>
        </w:rPr>
        <w:footnoteReference w:id="3007"/>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العُسیلة تصغیر العسلة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القطعة من العسل، فشبّه</w:t>
      </w:r>
    </w:p>
    <w:p>
      <w:pPr>
        <w:pStyle w:val="BookText"/>
        <w:rPr/>
      </w:pPr>
      <w:r>
        <w:rPr>
          <w:rFonts w:ascii="IRNazanin" w:hAnsi="IRNazanin" w:eastAsia="IRNazanin"/>
          <w:color w:val="111111"/>
          <w:sz w:val="28"/>
          <w:sz w:val="28"/>
          <w:szCs w:val="28"/>
          <w:rtl w:val="true"/>
          <w:lang w:bidi="fa-IR"/>
        </w:rPr>
        <w:t>لذّة الجماع بذوق العسل، و إنّما صغّرت إشارةً إلی القدر الذی یحلّل و لو بغیبوبة الحشفة</w:t>
      </w:r>
      <w:r>
        <w:rPr>
          <w:rStyle w:val="FootnoteAnchor"/>
          <w:rtl w:val="true"/>
        </w:rPr>
        <w:footnoteReference w:id="3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استشکل فی المسالک بأنّ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المراهق له لذّة الجماع، و کذلک المرأة تلتذّ به، فیتناوله الخبر و الروایة الأخیرة فی طریقها ضعف و جهالة، فلا تصلح دلیلاً و یمکن مع ذلک حملها علی الأکملیّة</w:t>
      </w:r>
      <w:r>
        <w:rPr>
          <w:rFonts w:eastAsia="IRNazanin" w:cs="IRNazanin"/>
          <w:color w:val="111111"/>
          <w:sz w:val="28"/>
          <w:szCs w:val="28"/>
          <w:rtl w:val="true"/>
          <w:lang w:bidi="fa-IR"/>
        </w:rPr>
        <w:t>»</w:t>
      </w:r>
      <w:r>
        <w:rPr>
          <w:rStyle w:val="FootnoteAnchor"/>
          <w:rtl w:val="true"/>
        </w:rPr>
        <w:footnoteReference w:id="3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عنه فی الحدائق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الإنزال، و هو لا یتحقّق إلّا فی البالغ؛ لأنّ اللّذة التامّة إنّما تحصل بإنزال المنیّ و إن حصل قبله لذّة ما، و یشیر إلیه التشبیه بالعسل المشتمل علی کمال اللّذة</w:t>
      </w:r>
      <w:r>
        <w:rPr>
          <w:rFonts w:eastAsia="IRNazanin" w:cs="IRNazanin"/>
          <w:color w:val="111111"/>
          <w:sz w:val="28"/>
          <w:szCs w:val="28"/>
          <w:rtl w:val="true"/>
          <w:lang w:bidi="fa-IR"/>
        </w:rPr>
        <w:t>»</w:t>
      </w:r>
      <w:r>
        <w:rPr>
          <w:rStyle w:val="FootnoteAnchor"/>
          <w:rtl w:val="true"/>
        </w:rPr>
        <w:footnoteReference w:id="3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ذوق العسیلة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یتحقّق إلّا فی البالغ، بناءً علی أنّ المراد منه الإنزال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ینافیه ما عن النهایة و غیرها من تفسیره بلذّة الجماع</w:t>
      </w:r>
      <w:r>
        <w:rPr>
          <w:rStyle w:val="FootnoteAnchor"/>
          <w:rtl w:val="true"/>
        </w:rPr>
        <w:footnoteReference w:id="3011"/>
      </w:r>
      <w:r>
        <w:rPr>
          <w:rFonts w:ascii="IRNazanin" w:hAnsi="IRNazanin" w:eastAsia="IRNazanin"/>
          <w:color w:val="111111"/>
          <w:sz w:val="28"/>
          <w:sz w:val="28"/>
          <w:szCs w:val="28"/>
          <w:rtl w:val="true"/>
          <w:lang w:bidi="fa-IR"/>
        </w:rPr>
        <w:t>المحمول علی إرادة الکاملة التی لا تحصل إلاّ بالإنزال</w:t>
      </w:r>
      <w:r>
        <w:rPr>
          <w:rFonts w:eastAsia="IRNazanin" w:cs="IRNazanin"/>
          <w:color w:val="111111"/>
          <w:sz w:val="28"/>
          <w:szCs w:val="28"/>
          <w:rtl w:val="true"/>
          <w:lang w:bidi="fa-IR"/>
        </w:rPr>
        <w:t>»</w:t>
      </w:r>
      <w:r>
        <w:rPr>
          <w:rStyle w:val="FootnoteAnchor"/>
          <w:rtl w:val="true"/>
        </w:rPr>
        <w:footnoteReference w:id="3012"/>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أجاد فی جامع المدارک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العمدة الخبر المذکور المنجبر بالشهرة، و إلّا فلا مانع من الأخذ بإطلاق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تَنْکِحَ زَوْجاً غَیْرَهُ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حمل ذوق العسیلة علی اللّذة، الکاملة الغیر الحاصلة لغیر البالغ حیث لا تتحقّق إلاّ بالإنزال، فلا یخفی ما فیها من الإشکال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w:t>
      </w:r>
      <w:bookmarkStart w:id="837" w:name="pg11757_135939"/>
    </w:p>
    <w:p>
      <w:pPr>
        <w:pStyle w:val="BookText"/>
        <w:rPr/>
      </w:pPr>
      <w:bookmarkEnd w:id="837"/>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الإنزال فی المرأة غیر غالب بل یکون نادراً علی ما قیل، فکیف یتحقّق الذوق بالنسبة إلیهما؟ و مع الإجمال و احتمال کون المراد ذوق لذّة الجماع یؤخذ بإطلاق الکتاب العزیز؛ لأنّ الشبهة مفهومیّة فالمرجع الإطلاق</w:t>
      </w:r>
      <w:r>
        <w:rPr>
          <w:rFonts w:eastAsia="IRNazanin" w:cs="IRNazanin"/>
          <w:color w:val="111111"/>
          <w:sz w:val="28"/>
          <w:szCs w:val="28"/>
          <w:rtl w:val="true"/>
          <w:lang w:bidi="fa-IR"/>
        </w:rPr>
        <w:t>»</w:t>
      </w:r>
      <w:r>
        <w:rPr>
          <w:rStyle w:val="FootnoteAnchor"/>
          <w:rtl w:val="true"/>
        </w:rPr>
        <w:footnoteReference w:id="3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کشف اللثام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الظاهر من نکاح زوج آخر استقلال کلّ منهما بالنکاح، خصوصاً قد وقع فی الآیة بعد 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الطلاق لا یصدر إلّا عن البالغ</w:t>
      </w:r>
      <w:r>
        <w:rPr>
          <w:rFonts w:eastAsia="IRNazanin" w:cs="IRNazanin"/>
          <w:color w:val="111111"/>
          <w:sz w:val="28"/>
          <w:szCs w:val="28"/>
          <w:rtl w:val="true"/>
          <w:lang w:bidi="fa-IR"/>
        </w:rPr>
        <w:t>»</w:t>
      </w:r>
      <w:r>
        <w:rPr>
          <w:rStyle w:val="FootnoteAnchor"/>
          <w:rtl w:val="true"/>
        </w:rPr>
        <w:footnoteReference w:id="30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الجواهر، و 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أقلّ من الشکّ فی تناول الفرض، و الأصل البقاء علی الحرمة</w:t>
      </w:r>
      <w:r>
        <w:rPr>
          <w:rFonts w:eastAsia="IRNazanin" w:cs="IRNazanin"/>
          <w:color w:val="111111"/>
          <w:sz w:val="28"/>
          <w:szCs w:val="28"/>
          <w:rtl w:val="true"/>
          <w:lang w:bidi="fa-IR"/>
        </w:rPr>
        <w:t>»</w:t>
      </w:r>
      <w:r>
        <w:rPr>
          <w:rStyle w:val="FootnoteAnchor"/>
          <w:rtl w:val="true"/>
        </w:rPr>
        <w:footnoteReference w:id="3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فتحصّل ممّا ذکرنا أنّ الأظهر هو القول الثانی کما هو المشهور؛ لحصول الاطمئنان بالتحلیل بعد ثبوت الحرمة القطعیّة، و هو الموافق للاحتیاط أیضاً، و اللّه هو العالم</w:t>
      </w:r>
      <w:r>
        <w:rPr>
          <w:rFonts w:eastAsia="IRNazanin" w:cs="IRNazanin"/>
          <w:color w:val="111111"/>
          <w:sz w:val="28"/>
          <w:szCs w:val="28"/>
          <w:rtl w:val="true"/>
          <w:lang w:bidi="fa-IR"/>
        </w:rPr>
        <w:t>.</w:t>
      </w:r>
    </w:p>
    <w:p>
      <w:pPr>
        <w:pStyle w:val="Heading6"/>
        <w:numPr>
          <w:ilvl w:val="5"/>
          <w:numId w:val="1"/>
        </w:numPr>
        <w:rPr/>
      </w:pPr>
      <w:bookmarkStart w:id="838" w:name="__RefHeading___Toc9697135_73709187"/>
      <w:bookmarkStart w:id="839" w:name="_Toc311"/>
      <w:bookmarkEnd w:id="838"/>
      <w:r>
        <w:rPr>
          <w:rtl w:val="true"/>
        </w:rPr>
        <w:t>آراء أهل السنّة فی محلّلیّة الصبیّ‌</w:t>
      </w:r>
      <w:bookmarkEnd w:id="839"/>
    </w:p>
    <w:p>
      <w:pPr>
        <w:pStyle w:val="BookText"/>
        <w:rPr/>
      </w:pPr>
      <w:r>
        <w:rPr>
          <w:rFonts w:ascii="IRNazanin" w:hAnsi="IRNazanin" w:eastAsia="IRNazanin"/>
          <w:color w:val="111111"/>
          <w:sz w:val="28"/>
          <w:sz w:val="28"/>
          <w:szCs w:val="28"/>
          <w:rtl w:val="true"/>
          <w:lang w:bidi="fa-IR"/>
        </w:rPr>
        <w:t>ذهب الحنفیّة و الشافعیّة و الحنابلة من الجمهور إلی أنّ التحلیل یتحقّق بنکاح الصبیّ لو کان مراهقاً و یقدر علی الجماع؛ لأنّ شرط التحلیل هو عقد الزوج الثانی مع الجماع، و الإنزال لیس بشرط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إلیک نصّ کلماتهم</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البدائع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القول بعدم شرطیّة الإنزال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سواء کان الزوج الثانی بالغاً أو صبیّاً یجامع فجامعها أو مجنوناً فجامعها، لقوله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p>
    <w:p>
      <w:pPr>
        <w:pStyle w:val="BookText"/>
        <w:rPr/>
      </w:pPr>
      <w:r>
        <w:rPr>
          <w:rFonts w:ascii="Amiri" w:hAnsi="Amiri" w:eastAsia="Amiri" w:cs="Amiri"/>
          <w:color w:val="111111"/>
          <w:sz w:val="28"/>
          <w:sz w:val="28"/>
          <w:szCs w:val="28"/>
          <w:rtl w:val="true"/>
          <w:lang w:bidi="ar-SA"/>
        </w:rPr>
        <w:t>تَنْکِحَ زَوْجاً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غیر فصل بین زوج و زوج، و لأنّ وط‌ء الصبیّ و المجنون یتعلّق به أحکام النکاح من المهر و التحریم کوط‌ء البالغ العاقل، و کذلک الصغیرة التی یجامع مثلها إذا طلّقها زوجها ثلاثاً و دخل بها الزوج الثانی حلّت للأوّل؛ لإطلاق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 فَلا تَحِلُّ لَهُ مِنْ بَعْدُ حَتّی تَنْکِحَ زَوْجاً غَیْرَهُ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فی مجمع الأنهر</w:t>
      </w:r>
      <w:r>
        <w:rPr>
          <w:rStyle w:val="FootnoteAnchor"/>
          <w:rtl w:val="true"/>
        </w:rPr>
        <w:footnoteReference w:id="3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تزوّجها مراهق فوطئها أحلّها فی قولهم إلّا مالکاً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لنا ظاهر النصّ، و أنّه وط‌ء من زوج فی نکاح صحیح، فأشبه البالغ و یخالف الصغیر، فإنّه لا یمکن الوط‌ء منه و لا تذاق عسیلته، قال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أن یکون له اثنا عشر سنة؛ لأنّ من دون ذلک لا یمکنه المجامعة، و لا معنی لهذا، فإنّ الخلاف فی المجامع، و متی أمکنه الجماع فقد وجد منه المقصود، فلا معنی لاعتبار سنّ ما ورد الشرع باعتبارها و تقدیره بمجرّد الرأی و التحکّم</w:t>
      </w:r>
      <w:r>
        <w:rPr>
          <w:rFonts w:eastAsia="IRNazanin" w:cs="IRNazanin"/>
          <w:color w:val="111111"/>
          <w:sz w:val="28"/>
          <w:szCs w:val="28"/>
          <w:rtl w:val="true"/>
          <w:lang w:bidi="fa-IR"/>
        </w:rPr>
        <w:t>»</w:t>
      </w:r>
      <w:r>
        <w:rPr>
          <w:rStyle w:val="FootnoteAnchor"/>
          <w:rtl w:val="true"/>
        </w:rPr>
        <w:footnoteReference w:id="30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الشرح الکبیر</w:t>
      </w:r>
      <w:r>
        <w:rPr>
          <w:rStyle w:val="FootnoteAnchor"/>
          <w:rtl w:val="true"/>
        </w:rPr>
        <w:footnoteReference w:id="3018"/>
      </w:r>
      <w:r>
        <w:rPr>
          <w:rFonts w:ascii="IRNazanin" w:hAnsi="IRNazanin" w:eastAsia="IRNazanin"/>
          <w:color w:val="111111"/>
          <w:sz w:val="28"/>
          <w:sz w:val="28"/>
          <w:szCs w:val="28"/>
          <w:rtl w:val="true"/>
          <w:lang w:bidi="fa-IR"/>
        </w:rPr>
        <w:t>و الإنصاف</w:t>
      </w:r>
      <w:r>
        <w:rPr>
          <w:rStyle w:val="FootnoteAnchor"/>
          <w:rtl w:val="true"/>
        </w:rPr>
        <w:footnoteReference w:id="3019"/>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تزوّجها صبیّ فجامعها، فإن کان صبیّاً غیر مراهق، کابن سبع سنین فما دون فلا یحکم بمجامعته، و لا یحلّها للأوّل؛ لأنّ هذا الجماع لا یُلتذّ به، فهو کما لو أدخل إصبعه فی فرجها، و إن کان مراهقاً ینتشر علیها أحلّها للأوّل، و 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یحلّها، 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جماع ممّن یجامع مثله، فأحلّها</w:t>
      </w:r>
    </w:p>
    <w:p>
      <w:pPr>
        <w:pStyle w:val="BookText"/>
        <w:rPr/>
      </w:pPr>
      <w:r>
        <w:rPr>
          <w:rFonts w:ascii="IRNazanin" w:hAnsi="IRNazanin" w:eastAsia="IRNazanin"/>
          <w:color w:val="111111"/>
          <w:sz w:val="28"/>
          <w:sz w:val="28"/>
          <w:szCs w:val="28"/>
          <w:rtl w:val="true"/>
          <w:lang w:bidi="fa-IR"/>
        </w:rPr>
        <w:t>للأوّل کالبالغ</w:t>
      </w:r>
      <w:r>
        <w:rPr>
          <w:rFonts w:eastAsia="IRNazanin" w:cs="IRNazanin"/>
          <w:color w:val="111111"/>
          <w:sz w:val="28"/>
          <w:szCs w:val="28"/>
          <w:rtl w:val="true"/>
          <w:lang w:bidi="fa-IR"/>
        </w:rPr>
        <w:t>»</w:t>
      </w:r>
      <w:r>
        <w:rPr>
          <w:rStyle w:val="FootnoteAnchor"/>
          <w:rtl w:val="true"/>
        </w:rPr>
        <w:footnoteReference w:id="30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المجموع و مغنی المحتاج و الحاوی الکبیر</w:t>
      </w:r>
      <w:r>
        <w:rPr>
          <w:rStyle w:val="FootnoteAnchor"/>
          <w:rtl w:val="true"/>
        </w:rPr>
        <w:footnoteReference w:id="3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المالکیّة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شرائط تحقّق التحلیل هو البلوغ، و لا یحصل التحلیل بنکاح الصبیّ و لو کان مراهقاً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مواهب الجلیل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قول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یولج بالغ قدر الحشفة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فهم منه أنّ عقد الغیر علیها دون وط‌ء لغو، و هو کذلک، قال الشارح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و قاله فی التوضیح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فهم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شرط الإیلاج أن یکون الزوج بالغاً، و هو أعلم من أن یکون حال العقد بالغاً أو غیر بالغ، و هو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 عن الحسن البصری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إلّا بوط‌ء فیه إنزال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تذوقی عسیلته</w:t>
      </w:r>
      <w:r>
        <w:rPr>
          <w:rFonts w:eastAsia="IRNazanin" w:cs="IRNazanin"/>
          <w:color w:val="111111"/>
          <w:sz w:val="28"/>
          <w:szCs w:val="28"/>
          <w:rtl w:val="true"/>
          <w:lang w:bidi="fa-IR"/>
        </w:rPr>
        <w:t>»</w:t>
      </w:r>
      <w:r>
        <w:rPr>
          <w:rStyle w:val="FootnoteAnchor"/>
          <w:rtl w:val="true"/>
        </w:rPr>
        <w:footnoteReference w:id="3022"/>
      </w:r>
      <w:r>
        <w:rPr>
          <w:rFonts w:ascii="IRNazanin" w:hAnsi="IRNazanin" w:eastAsia="IRNazanin"/>
          <w:color w:val="111111"/>
          <w:sz w:val="28"/>
          <w:sz w:val="28"/>
          <w:szCs w:val="28"/>
          <w:rtl w:val="true"/>
          <w:lang w:bidi="fa-IR"/>
        </w:rPr>
        <w:t>، و رأی العلماء أنّ مغیب الحشفة هی العسیلة، فأمّا الإنزال فهی الذبیلة</w:t>
      </w:r>
      <w:r>
        <w:rPr>
          <w:rFonts w:eastAsia="IRNazanin" w:cs="IRNazanin"/>
          <w:color w:val="111111"/>
          <w:sz w:val="28"/>
          <w:szCs w:val="28"/>
          <w:rtl w:val="true"/>
          <w:lang w:bidi="fa-IR"/>
        </w:rPr>
        <w:t>»</w:t>
      </w:r>
      <w:r>
        <w:rPr>
          <w:rStyle w:val="FootnoteAnchor"/>
          <w:rtl w:val="true"/>
        </w:rPr>
        <w:footnoteReference w:id="3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أسهل المدارک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شرح قول الماتن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المبتوتة حتّی یطأها زوج غیره وطئاً مباحاً فی نکاح الصحیح</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المبتوتة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المطلّقة ثلاثاً التی قال اللّه تعالی فی 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 فَلا تَحِلُّ لَهُ مِنْ بَعْدُ حَتّی تَنْکِحَ زَوْجاً غَیْرَهُ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الآیة</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اتّفق الجمهور علی أنّ المبتوتة لا تحلّ إلّا من بعد زوج بالغ مع إیلاج، فی نکاح صحیح</w:t>
      </w:r>
      <w:r>
        <w:rPr>
          <w:rFonts w:eastAsia="IRNazanin" w:cs="IRNazanin"/>
          <w:color w:val="111111"/>
          <w:sz w:val="28"/>
          <w:szCs w:val="28"/>
          <w:rtl w:val="true"/>
          <w:lang w:bidi="fa-IR"/>
        </w:rPr>
        <w:t>»</w:t>
      </w:r>
      <w:r>
        <w:rPr>
          <w:rStyle w:val="FootnoteAnchor"/>
          <w:rtl w:val="true"/>
        </w:rPr>
        <w:footnoteReference w:id="30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فی بلغة السالک و حاشیة الخرشی </w:t>
      </w:r>
      <w:r>
        <w:rPr>
          <w:rStyle w:val="FootnoteAnchor"/>
          <w:rtl w:val="true"/>
        </w:rPr>
        <w:footnoteReference w:id="3025"/>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1059:2</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القاموس المحیط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للأصفهانی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مفتاح الکرامة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المصطلحات و الألفاظ الفقهیة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مبنی علی عدم شمول حدیث الرفع للأحکام الوضعیّة، و قد صرّح الشیخ الأعظم الأنصاری و تبعه المحقّق النائینی بأنّ المستفاد ممّا ذکره الإمام الرضا علیه السلام فی صحیحة البزنطی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الواردة فی الإکراه علی الحلف بالطلاق و العتاق و صدقة ما یملک، و قال بأنّه لا یلزمه ذلک، و استشهد علیه السلام بکلام النبیّ صلی الله علیه و آله، فإنّه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وضع عن امّتی ما اکرهوا علیه، و ما لم یطیقوا، و ما أخطئوا، و أنّ الحلف عن إکراه 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فحدیث الرفع شامل للأحکام الوضعیّة أیضاً، و قد خالفهما السیّد المحقّق الإمام الخمینی و المحقّق الإیروانی فذهبا إلی أنّ استشهاد الإمام علیه السلام بحدیث النبیّ جار علی زعم الطرف المقابل للعموم فیه، فلا یمکن استفادة العموم من الحدیث، و قد حقّقنا فی محلّه، أنّ العموم مستفاد من هذه الصحیحة، فإذا کنّا نحن و هذه الصحیحة فقط نستفید جریان الرفع فی جمیع الأحکام الوضعیّة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مع قطع النظر عنها، لا یصحّ القول بجریان خصوص ما لا یعلمون فی الأحکام الوضعیّة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تفصیل ذلک فی محلّه من مباحثنا الاُصولیّة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القواعد للشهید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تراث الشیخ الأعظم، کتاب المکاسب </w:t>
      </w:r>
      <w:r>
        <w:rPr>
          <w:rFonts w:eastAsia="IRNazanin" w:cs="IRNazanin"/>
          <w:b w:val="false"/>
          <w:bCs w:val="false"/>
          <w:i w:val="false"/>
          <w:iCs w:val="false"/>
          <w:color w:val="333333"/>
          <w:sz w:val="20"/>
          <w:szCs w:val="20"/>
        </w:rPr>
        <w:t>278:3</w:t>
      </w:r>
      <w:r>
        <w:rPr>
          <w:rFonts w:ascii="IRNazanin" w:hAnsi="IRNazanin" w:eastAsia="IRNazanin"/>
          <w:b w:val="false"/>
          <w:b w:val="false"/>
          <w:bCs w:val="false"/>
          <w:i w:val="false"/>
          <w:i w:val="false"/>
          <w:iCs w:val="false"/>
          <w:color w:val="333333"/>
          <w:sz w:val="20"/>
          <w:sz w:val="20"/>
          <w:szCs w:val="20"/>
          <w:rtl w:val="true"/>
        </w:rPr>
        <w:t xml:space="preserve">، حاشیة کتاب المکاسب للإیروانی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مصباح الفقاهة </w:t>
      </w:r>
      <w:r>
        <w:rPr>
          <w:rFonts w:eastAsia="IRNazanin" w:cs="IRNazanin"/>
          <w:b w:val="false"/>
          <w:bCs w:val="false"/>
          <w:i w:val="false"/>
          <w:iCs w:val="false"/>
          <w:color w:val="333333"/>
          <w:sz w:val="20"/>
          <w:szCs w:val="20"/>
        </w:rPr>
        <w:t>251:3</w:t>
      </w:r>
      <w:r>
        <w:rPr>
          <w:rFonts w:ascii="IRNazanin" w:hAnsi="IRNazanin" w:eastAsia="IRNazanin"/>
          <w:b w:val="false"/>
          <w:b w:val="false"/>
          <w:bCs w:val="false"/>
          <w:i w:val="false"/>
          <w:i w:val="false"/>
          <w:iCs w:val="false"/>
          <w:color w:val="333333"/>
          <w:sz w:val="20"/>
          <w:sz w:val="20"/>
          <w:szCs w:val="20"/>
          <w:rtl w:val="true"/>
        </w:rPr>
        <w:t xml:space="preserve">، منیة الطالب للنائینی </w:t>
      </w:r>
      <w:r>
        <w:rPr>
          <w:rFonts w:eastAsia="IRNazanin" w:cs="IRNazanin"/>
          <w:b w:val="false"/>
          <w:bCs w:val="false"/>
          <w:i w:val="false"/>
          <w:iCs w:val="false"/>
          <w:color w:val="333333"/>
          <w:sz w:val="20"/>
          <w:szCs w:val="20"/>
        </w:rPr>
        <w:t>360:1</w:t>
      </w:r>
      <w:r>
        <w:rPr>
          <w:rFonts w:ascii="IRNazanin" w:hAnsi="IRNazanin" w:eastAsia="IRNazanin"/>
          <w:b w:val="false"/>
          <w:b w:val="false"/>
          <w:bCs w:val="false"/>
          <w:i w:val="false"/>
          <w:i w:val="false"/>
          <w:iCs w:val="false"/>
          <w:color w:val="333333"/>
          <w:sz w:val="20"/>
          <w:sz w:val="20"/>
          <w:szCs w:val="20"/>
          <w:rtl w:val="true"/>
        </w:rPr>
        <w:t xml:space="preserve">، القواعد الفقهیّة للبجنوردی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نضد القواعد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العناوین </w:t>
      </w:r>
      <w:r>
        <w:rPr>
          <w:rFonts w:eastAsia="IRNazanin" w:cs="IRNazanin"/>
          <w:b w:val="false"/>
          <w:bCs w:val="false"/>
          <w:i w:val="false"/>
          <w:iCs w:val="false"/>
          <w:color w:val="333333"/>
          <w:sz w:val="20"/>
          <w:szCs w:val="20"/>
        </w:rPr>
        <w:t>660:2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للبجنوردی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360:1</w:t>
      </w:r>
      <w:r>
        <w:rPr>
          <w:rFonts w:ascii="IRNazanin" w:hAnsi="IRNazanin" w:eastAsia="IRNazanin"/>
          <w:b w:val="false"/>
          <w:b w:val="false"/>
          <w:bCs w:val="false"/>
          <w:i w:val="false"/>
          <w:i w:val="false"/>
          <w:iCs w:val="false"/>
          <w:color w:val="333333"/>
          <w:sz w:val="20"/>
          <w:sz w:val="20"/>
          <w:szCs w:val="20"/>
          <w:rtl w:val="true"/>
        </w:rPr>
        <w:t xml:space="preserve">، مختلف الشیعة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 نهایة الإحکام </w:t>
      </w:r>
      <w:r>
        <w:rPr>
          <w:rFonts w:eastAsia="IRNazanin" w:cs="IRNazanin"/>
          <w:b w:val="false"/>
          <w:bCs w:val="false"/>
          <w:i w:val="false"/>
          <w:iCs w:val="false"/>
          <w:color w:val="333333"/>
          <w:sz w:val="20"/>
          <w:szCs w:val="20"/>
        </w:rPr>
        <w:t>454:2</w:t>
      </w:r>
      <w:r>
        <w:rPr>
          <w:rFonts w:ascii="IRNazanin" w:hAnsi="IRNazanin" w:eastAsia="IRNazanin"/>
          <w:b w:val="false"/>
          <w:b w:val="false"/>
          <w:bCs w:val="false"/>
          <w:i w:val="false"/>
          <w:i w:val="false"/>
          <w:iCs w:val="false"/>
          <w:color w:val="333333"/>
          <w:sz w:val="20"/>
          <w:sz w:val="20"/>
          <w:szCs w:val="20"/>
          <w:rtl w:val="true"/>
        </w:rPr>
        <w:t xml:space="preserve">، تحریر الأحکام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372:18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کفایة الأحکام </w:t>
      </w:r>
      <w:r>
        <w:rPr>
          <w:rFonts w:eastAsia="IRNazanin" w:cs="IRNazanin"/>
          <w:b w:val="false"/>
          <w:bCs w:val="false"/>
          <w:i w:val="false"/>
          <w:iCs w:val="false"/>
          <w:color w:val="333333"/>
          <w:sz w:val="20"/>
          <w:szCs w:val="20"/>
        </w:rPr>
        <w:t>449:1</w:t>
      </w:r>
      <w:r>
        <w:rPr>
          <w:rFonts w:ascii="IRNazanin" w:hAnsi="IRNazanin" w:eastAsia="IRNazanin"/>
          <w:b w:val="false"/>
          <w:b w:val="false"/>
          <w:bCs w:val="false"/>
          <w:i w:val="false"/>
          <w:i w:val="false"/>
          <w:iCs w:val="false"/>
          <w:color w:val="333333"/>
          <w:sz w:val="20"/>
          <w:sz w:val="20"/>
          <w:szCs w:val="20"/>
          <w:rtl w:val="true"/>
        </w:rPr>
        <w:t xml:space="preserve">، مفتاح الکرامة </w:t>
      </w:r>
      <w:r>
        <w:rPr>
          <w:rFonts w:eastAsia="IRNazanin" w:cs="IRNazanin"/>
          <w:b w:val="false"/>
          <w:bCs w:val="false"/>
          <w:i w:val="false"/>
          <w:iCs w:val="false"/>
          <w:color w:val="333333"/>
          <w:sz w:val="20"/>
          <w:szCs w:val="20"/>
        </w:rPr>
        <w:t>550:12</w:t>
      </w:r>
      <w:r>
        <w:rPr>
          <w:rFonts w:ascii="IRNazanin" w:hAnsi="IRNazanin" w:eastAsia="IRNazanin"/>
          <w:b w:val="false"/>
          <w:b w:val="false"/>
          <w:bCs w:val="false"/>
          <w:i w:val="false"/>
          <w:i w:val="false"/>
          <w:iCs w:val="false"/>
          <w:color w:val="333333"/>
          <w:sz w:val="20"/>
          <w:sz w:val="20"/>
          <w:szCs w:val="20"/>
          <w:rtl w:val="true"/>
        </w:rPr>
        <w:t>، 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260:22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263:14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اعتبار البلوغ مفروض فی فرض عدم الرشد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فی فرض الرشد قبل البلوغ لا اعتبار للبلوغ، و سیأتی تفسیر الآیة إن شاء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و حصول العلم متوقّف علی الابتلاء؟ فجعل البلوغ غایة للابتلاء یصیر لغواً بناءً علی دخالة الرشد أیضاً،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 للإنکار موجودة جدّاً، و سیأتی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الکشّاف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497:3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استفاده من الآیة الشریفة مستفاد عرفاً و لا یتوقّف علی کون الجملة الأخیرة استدراکاً عن صدر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تبارک و تعالی قد علّق الابتلاء علی بلوغ النکاح و وقّته به، ثمّ ثانیاً قد علّق الدفع علی استیناس الرشد فتکون النتیجة فی أمرین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الابتلاء و عدم الدفع طُرّاً إلی وقت البلوغ و مع البلوغ، یجب الدفع، سواء کان رشیداً أو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دفع الأموال قبل البلوغ جائز مع استیناس الرشد، ففی ما بین زمان الابتلاء و زمان البلوغ إن تحقّق الرشد فتدفع الأموال إلیهم، و بناءً علی ذلک یکون الرشد هو الملاک لدفع الأموال قبل البلوغ، و أمّا مع البلوغ فالمعتبر نفس البلوغ، و لا دخل للرشد فبعد البلوغ یجب دفع الأموال إلیهم کما یجب دفعها إلی سائر البالغین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بالجملة، المستفاد من الآیة لزوم دفع الأموال إلی الیتامی مع استیناس الرشد قبل البلوغ، کما أنّ لزوم الدفع إلیهم بعد البلوغ واضح، و الشاهد علی هذا التفسیر ان الضمیر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یرجع إلی الیتامی، لا إلی الیتامی البالغین کما هو واضح جدّاً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یمکن أن یقال فی تأیید هذا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الظاهر أنّ البلوغ أمارة علی الرشد غالباً، فلیس فی الآیة شرطان البلوغ و الرشد، بل الملاک شرط واحد و هو الرشد، و البلوغ أمارة غالبیة علی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ذلک یحمل ما یستفاد من الروایات المتعدّدة من اعتبار البلوغ، فإنّ ذکر الاحتلام و البلوغ فیها من جهة الأماریة علی الرشد، و لذا قد ترتّب دفع المال إلی الیتامی بعد بلوغ النکاح و الاحتلام، مع أنّ هذا الأمر متفرّع علی استیناس الرشد فی الآیة الشریفة، و قد ورد فی بعض الروایات أنّ الاحتلام هو الرشد، فقد ورد فی صحیحة هشام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انقطاع یتم الیتیم بالاحتلام و هو أشدّه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141:13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الحجر،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قد ورد فی ذیلها بأنّه إن احتلم و لم یؤنس فیه رشد و کان سفیهاً أو ضعیفاً، فلیمسک عنه ولیّه ماله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المکاسب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للإمام الخمینی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المکاسب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أنّه لا اجمال فی الآیة الشریفة کما تقدّم و الظاهر منها شرطیة الرشد فقط، و اللّه أعلم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141:13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الحجر،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أنّه لا أولویة فی المقام و إن کان أغلب الأطفال من الذین لا عقل لهم فی المعاملة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بطلان التصرّف فی السفیه البالغ لا یدلّ علی البطلان فی الصبیّ من حیث إنّه 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 السفاهة أمر و الصباوة أمر آخر و لا ملازمة و لا أولویّة بینهما، کما هو واضح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207:3</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265:22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التعبیر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526:2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272:16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ینافی الالتزام بصحّة العقود و الإیقاعات الصادرة منه حتّی من دون إذن الولیّ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المکاسب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العناوین </w:t>
      </w:r>
      <w:r>
        <w:rPr>
          <w:rFonts w:eastAsia="IRNazanin" w:cs="IRNazanin"/>
          <w:b w:val="false"/>
          <w:bCs w:val="false"/>
          <w:i w:val="false"/>
          <w:iCs w:val="false"/>
          <w:color w:val="333333"/>
          <w:sz w:val="20"/>
          <w:szCs w:val="20"/>
        </w:rPr>
        <w:t>675:2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143:13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الحجر،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268:12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 شروطه،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143:13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الحجر،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270:12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 شروطه،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 هذه الروایات تدلّ علی عدم اعتبار الرشد فی جواز اموره و نفوذ تصرّفاته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 علی أنّ الشرط لجواز التصرّفات هو البلوغ فقط، و بعد ذلک یقع البحث فی کیفیّة مقابلتها للآیة الشریفة، و قد مرّ أنّها دلّت علی اعتبار الرشد فی جواز دفع الأموال إلیه، فیقع التعارض بین الآیة و هذه الأخبار من هذه الجهة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إلاّ أن یقال بما احتملناه سابقاً من کون البلوغ أمارة علی الرشد، و الملاک الوحید هو الرشد فقط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370:18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548:12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261:22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السفیه لیس مسلوب العبارة، فیعلم من الاستثناء أنّ المراد من عدم نفوذ أمر الصبیّ فیها إنّما هو عدم استقلاله فی التصرّف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المکاسب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للأصفهانی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الإنصاف خلاف الإنصاف جدّاً، فإنّه مع التصریح بجواز الأمر فی الشراء و البیع کما فی معتبرة حمزة بن حمران کیف یصحّ ادّعاء هذا الانصراف؟ و الحقّ ما ذکره المحقّق النجفی من أنّ الأمر شامل للقولی و الفعلی، و هذا بمعنی سلب عبارته فی المعاملة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233:10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307:19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233:10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307:19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66:19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المکاسب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للخاطئ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المناسب ما اثبت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للإیروانی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تکون قاصرة عن ذلک و الحال أنّها ظاهرة فی أنّ الأمر الواقع عنه مع القصد یکون کالواقع بلا قصد؟ فهذه الروایات تدلّ علی أنّه لا قصد للصبیّ حتّی مع إذن الولیّ،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للإیروانی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مع وجود قید صالح للتقیید و التخصیص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للیزدی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لعدم وجود تنافی بینها، فإنّ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عمد الصبی و خطأه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ضابطة کلّیة و لیست مختصّة بباب الجنایات، بخلاف ما ورد فیه من التقیید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تحمله العاقلة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مصداق من مصادیق للضابطة، و فی خصوص هذا المصداق یکون الأمر متوجّهاً إلی العاقلة، و علی هذا فلا منافاة بینهما حتّی یحمل المطلق علی المقیّد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66:19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277:3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338:5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410:9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w:t>
      </w:r>
      <w:r>
        <w:rPr>
          <w:rFonts w:eastAsia="IRNazanin" w:cs="IRNazanin"/>
          <w:b w:val="false"/>
          <w:bCs w:val="false"/>
          <w:i w:val="false"/>
          <w:iCs w:val="false"/>
          <w:color w:val="333333"/>
          <w:sz w:val="20"/>
          <w:szCs w:val="20"/>
        </w:rPr>
        <w:t>330:11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حاشیة کتاب المکاسب للسیّد الیزدی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التعبیر و تصرّف و تلخیص</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65:19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لا بأس بسند الروایة، فالتعبیر عنها بالخبر لعلّه من سهو القلم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306:19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للسیّد الیزدی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367:6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118:12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273:16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یبعد الحمل علی الإرشاد بملاحظة التقیید و التعلیل؛ فإنّ الأوّل شاهد علی الإرشاد جدّاً، و العقل یری أولویّة الاجتناب عن کسب الغلام الذی لا یحسن صناعة بیده، کما أنّ الثانی أیضاً مطابق للعقل و العقلاء، فانّ الناس فی موارد احتمال السرقة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یجتنبون عن الکسب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 الظاهر من الروایة أنّ الرسول صلی الله علیه و آله لیس فی مقام أعمال المولویة فی هذین الموردین حتّی یقال بأنّ النهی مولوی تنزیهی،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208:5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269:12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 شروطه،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264:14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المکاسب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العناوین </w:t>
      </w:r>
      <w:r>
        <w:rPr>
          <w:rFonts w:eastAsia="IRNazanin" w:cs="IRNazanin"/>
          <w:b w:val="false"/>
          <w:bCs w:val="false"/>
          <w:i w:val="false"/>
          <w:iCs w:val="false"/>
          <w:color w:val="333333"/>
          <w:sz w:val="20"/>
          <w:szCs w:val="20"/>
        </w:rPr>
        <w:t>674:2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هذا المقدار من المخالفة لا یضرّ بحجّیة الإجماع حتّی علی مسلک المتأخّرین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367:18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المکاسب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محصل المطالب فی تعلیقات المکاسب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للسیّد الیزدی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للأصفهانی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للإیروانی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حقّقنا فی محلّه أنّ المدرکیة أو محتملها لا یخرجه عن الحجّیة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549:12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428:13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الحجر،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435:13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إطلاق الآیة الشریفة یدلّ علی عدم جواز دفع المال إلیه حتّی مع إذن الولیّ اللّهمّ إلاّ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المقصود من الابتلاء هو الدفع علی نحو الاستقلال، و إلّا فبیعه مع إذن الولیّ لا یحتاج إلی الابتلاء، فلزوم الابتلاء قرینة علی أنّ الآیة الشریفة بصدد دفع المال إلیه و تصرّفه فیه استقلالاً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412:1</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370:18</w:t>
      </w:r>
      <w:r>
        <w:rPr>
          <w:rFonts w:ascii="IRNazanin" w:hAnsi="IRNazanin" w:eastAsia="IRNazanin"/>
          <w:b w:val="false"/>
          <w:b w:val="false"/>
          <w:bCs w:val="false"/>
          <w:i w:val="false"/>
          <w:i w:val="false"/>
          <w:iCs w:val="false"/>
          <w:color w:val="333333"/>
          <w:sz w:val="20"/>
          <w:sz w:val="20"/>
          <w:szCs w:val="20"/>
          <w:rtl w:val="true"/>
        </w:rPr>
        <w:t>، کتاب 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271:16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تلخیص و تصرّف</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مجرّد دعوی، و الظاهر عدم إمکان هذا الأمر فی غیر باب الوکالة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مراد المحقّق النائینی لیس کما فهمه السیّد الخوانساری رحمه الله و لیس مراده أنّه کیف تتغیّر السلطنة التامّة و تتبدّل إلی الناقصة حتّی ینتقض بالموارد المذکورة، بل مراده قدس سره أنّ الولیّ له السلطنة التامّة قبل البلوغ و الرشد و بعدهما تکون سلطنة ناقصة منضمة إلی سلطنة الصبیّ، و هذه الناقصة إذا لم تکن لصاحبها منع غیره فلا إشکال، و أمّا إذا کانت بحیث یقدر علی منع الغیر فلا یجتمع مع السلطنة للغیر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التحقیق فی الجواب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جواز بیع الصبیّ مع إذن الولیّ إنّما یکون بمعنی کون الولیّ ذا سلطنة تامّة و لا دخل للصبیّ و لا سلطنة له حتّی یقال باستحالة اجتماعهما، فنفوذ تصرّفه فی ماله بإذن الولیّ لیس بمعنی وجود السلطنة للصبیّ و لو ناقصاً، کما أنّ تأثیر إذنه لیس بمعنی کونه ضمیمةً،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خلاف ذلک، سلطنتهما فی حال حیاتهما مستقلّة و لیست بالانضمام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العبارة عدم الفرق بین کونه ممیّزاً أو غیر ممیّز، و الاعتبار یساعده؛ لأنّه مع إذن الولیّ یکون تمام الملاک ذلک فلا فرق بینهما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المکاسب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کتاب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المجلّة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275:16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عدم انعقاد العقد من الصبیّ یخرجه عن الابتلاء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الابتلاء ظاهرة فی جمیع امور البیع و منها انعقاد العقد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143:13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أحکام الحجر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العناوین </w:t>
      </w:r>
      <w:r>
        <w:rPr>
          <w:rFonts w:eastAsia="IRNazanin" w:cs="IRNazanin"/>
          <w:b w:val="false"/>
          <w:bCs w:val="false"/>
          <w:i w:val="false"/>
          <w:iCs w:val="false"/>
          <w:color w:val="333333"/>
          <w:sz w:val="20"/>
          <w:szCs w:val="20"/>
        </w:rPr>
        <w:t>679:2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إلی أنّ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أَحَلَّ اللّهُ الْبَیْعَ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فیه خطاب إلی شخص بل هو علی نهج القضیة الحقیقیة علی رأی المتأخّرین سیّما النائینی،، و علی نحو الخطابات القانونیة علی رأی السیّد الإمام الخمینی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عین الدعوی، و المستشکل یدّعی أنّ الخطاب فی هذه الآیة شامل لعقد البالغین من أوّل الأمر؛ بمعنی أنّ الشارع یوجب الوفاء بعقودهم و هم البالغون،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الفقهیّة للفاضل اللنکرانی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صحیح، و لکن بعد تسلیم کون الآیة الشریفة شاملة للصبیّ و البالغ من أوّل الأمر، و أمّا إذا قلنا بأنّ الآیة من أوّل الأمر غیر شاملة للصبیّ و الخطاب فیها للبالغین فقط، فلا یصحّ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الفقهیّة للفاضل اللنکرانی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المکاسب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أوّل النزاع أیضاً، فإنّ صحّة المعاملة مع الأطفال بالنسبة إلی البالغین لیست مسلّمة، بل الصناعة تقتضی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إذا کان عقد الصبیّ باطلاً فلا یجب الوفاء به علی البالغ الذی عامله، و علیه فلا یلزم اتّصاف عقد واحد بالصحّة و الفساد معاً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و تغییر و تلخیص</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275:16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118:12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معنی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الذی یحصّله الصبیّ عن طریق المعاملة منهی عنه، کما أنّ الذی تحصّله الإماء عن طریق العمل منهی عنه، فالروایة تدلّ علی لزوم الاجتناب أو کراهة التصرّف بالنسبة إلی المکسوب الموجود الحاصل من طریق الکسب فی ید الصبیّ، و لا دلالة لها بالمطابقة علی صحّة معاملته أو عدمها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مفهوم التقیید و کذا التعلیل یدلّان بوضوح علی صحّة کسبه و معاملته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للأراکی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للأصفهانی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المکاسب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إلی القدر المتیقّن إنّما یصحّ بعد تسلیم الإجماع فی المقام و قد مرّ أنّه قدس سره قد أنکره من جهة المدرکیة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273:16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271:16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الحقّ المستفاد من الأدلّة الواردة فی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393:9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الأدلّة فی مجرّد الاقتضاء فقط، بل تدلّ علی الصحّة الفعلیة فی فرض کونه رشیداً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مجال للرجوع إلی أصالة الفساد فی المقام مع دلالة الآیة الشریفة و الأخبار المتعدّدة کما هو واضح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دلالة فی هذه الروایة علی کون الاختبار و الابتلاء یکون بعد الاحتلام و کذا الروایة الآتیة، بل المستفاد منها أنّ الاحتلام یکون غالباً أمارة علی الرشد، و لکن فی بعض الموارد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احتلم و لم یؤنس رشده فلا یدفع إلیه المال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هکذا ما جاء فی الفقه الرضوی، فإنّ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احتلم و امتحن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دالّ علی أنّ الاحتلام غالباً دالّ علی الرشد بحسب الواقع و الثبوت، و بالنسبة إلی الإثبات و الاستیناس یمتحنّ،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183:9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430:13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368:1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434:13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الوصایا،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إلی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الإنصاف أنّ الابتلاء ظاهر فی التصدّی لجیمع امور البیع من دون دخالة شخص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263:22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إنّ ظاهر الآیة دالّ علی إمکان بتحقّق الرشد قبل البلوغ، و هو أمارة علی الرشد، و هذا الأمر بحسب الواقع أیضاً هکذا؛ فإنّ إیناس الرشد لا یتوقّف علی البلوغ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یمکن أن یکون رشیداً فی الواقع و کان أهلاً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قبل البلوغ لا علم بالأهلیّة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الإنصاف أنّ هذا الفرض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کون الصبیّ رشیداً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 عن معقد الإجماع، و لا أقلّ من الشکّ فی الدخول فیه و هذا کاف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الصغیر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الفقه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388:7</w:t>
      </w:r>
      <w:r>
        <w:rPr>
          <w:rFonts w:ascii="IRNazanin" w:hAnsi="IRNazanin" w:eastAsia="IRNazanin"/>
          <w:b w:val="false"/>
          <w:b w:val="false"/>
          <w:bCs w:val="false"/>
          <w:i w:val="false"/>
          <w:i w:val="false"/>
          <w:iCs w:val="false"/>
          <w:color w:val="333333"/>
          <w:sz w:val="20"/>
          <w:sz w:val="20"/>
          <w:szCs w:val="20"/>
          <w:rtl w:val="true"/>
        </w:rPr>
        <w:t xml:space="preserve">، باب شهادة الصبیان،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251:6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أنّه لیس مجرّد قول إسماعیل، بل هو ناقل لکلام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من هذه الجهة یکون مرسلاً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الصحّة لا تتوقّف علی إحراز الرشد، بل متوقّفة علی الرشد الواقعی، و هو یمکن أن یکون موجوداً وقت الاختبار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وقت الاختبار من حیث هو هو لا اعتبار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276:16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549:12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275:16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لا وجه للمنع سیّما بناءً علی التقریر الثانی فی الاستدلال من لزوم الحرج فی التجنّب عن معاملتهم بعد بناء الناس علی نصب الصبیان للبیع و الشراء فی الأشیاء الیسیرة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المکاسب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أثبتنا فی محلّه أن لا حرج کما یکون نافیاً للإلزام الشرعی کذلک یکون مثبتاً للحکم، فراجع رسالتنا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253:18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549:12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 ممنوع جدّاً و السیرة موجودة فی جمیع الأعصار حتّی بین المتدیّنین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263:22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یبعد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الصبی مأذون بإذن عام فی الأشیاء الیسیرة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بتعبیر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الإذن العامّ بالنسبة إلی المعاملة فی الأشیاء الحقیرة موجود دائماً، بل 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العقلاء و کذا المتدیّنین یسقطون الإذن فی الأشیاء الیسیرة، و علیه فما سیأتی من الشیخ الأعظم غیر تامّ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263:22</w:t>
      </w:r>
      <w:r>
        <w:rPr>
          <w:rFonts w:ascii="IRNazanin" w:hAnsi="IRNazanin" w:eastAsia="IRNazanin"/>
          <w:b w:val="false"/>
          <w:b w:val="false"/>
          <w:bCs w:val="false"/>
          <w:i w:val="false"/>
          <w:i w:val="false"/>
          <w:iCs w:val="false"/>
          <w:color w:val="333333"/>
          <w:sz w:val="20"/>
          <w:sz w:val="20"/>
          <w:szCs w:val="20"/>
          <w:rtl w:val="true"/>
        </w:rPr>
        <w:t xml:space="preserve">، حاشیة کتاب المکاسب للسیّد الیزدی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المکاسب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أنّ إرجاع فرض کون الصبیّ آلة إلی کونه مأذوناً من طرف المالک خارج عن الصواب، فإنّ الفرض الثانی یکون البیع فیه مستنداً إلی الصبیّ، بخلاف الفرض الأوّل فلیس له فیه شأن إلاّ الآلیة، و لا یذهب علیک أنّ الآلیة تجری فی غیر الممیّز، بخلاف الفرض الأوّل فإنّه لا یجری فی غیر الممیّز کما هو واضح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المکاسب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بالاعتماد علی ما یصدر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باعتماد ما یصدر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یتوقّف علی العلم بل الجلوس مقام الأولیاء یدلّ علی مأذونیّته فی جمیع التصرّفات، 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یجعل الشخص الآخر موجباً؛ بمعنی أن یوکّله فی الإیجاب بحسب الواقع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المفروض ثبوته لدلالة القرائن الموجودة علی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المکاسب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الإفهام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تراث الشیخ الأعظم، کتاب المکاسب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الإقناع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267:4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فقه أحمد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ردّ المحتار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الصبیّ و العبد و المجنون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القدیر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الدسوقی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الخرشی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الجلیل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359:7</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فی فقه الشافعی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مذهب الشافعی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المنثور فی القواعد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740:2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89:13</w:t>
      </w:r>
      <w:r>
        <w:rPr>
          <w:rFonts w:ascii="IRNazanin" w:hAnsi="IRNazanin" w:eastAsia="IRNazanin"/>
          <w:b w:val="false"/>
          <w:b w:val="false"/>
          <w:bCs w:val="false"/>
          <w:i w:val="false"/>
          <w:i w:val="false"/>
          <w:iCs w:val="false"/>
          <w:color w:val="333333"/>
          <w:sz w:val="20"/>
          <w:sz w:val="20"/>
          <w:szCs w:val="20"/>
          <w:rtl w:val="true"/>
        </w:rPr>
        <w:t>، کتاب 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108:13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209:8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254:20</w:t>
      </w:r>
      <w:r>
        <w:rPr>
          <w:rFonts w:ascii="IRNazanin" w:hAnsi="IRNazanin" w:eastAsia="IRNazanin"/>
          <w:b w:val="false"/>
          <w:b w:val="false"/>
          <w:bCs w:val="false"/>
          <w:i w:val="false"/>
          <w:i w:val="false"/>
          <w:iCs w:val="false"/>
          <w:color w:val="333333"/>
          <w:sz w:val="20"/>
          <w:sz w:val="20"/>
          <w:szCs w:val="20"/>
          <w:rtl w:val="true"/>
        </w:rPr>
        <w:t>، مناهج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159:25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تفصیل الشریعة، کتاب المضاربة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الرهن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369:4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585:2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المحتار </w:t>
      </w:r>
      <w:r>
        <w:rPr>
          <w:rFonts w:eastAsia="IRNazanin" w:cs="IRNazanin"/>
          <w:b w:val="false"/>
          <w:bCs w:val="false"/>
          <w:i w:val="false"/>
          <w:iCs w:val="false"/>
          <w:color w:val="333333"/>
          <w:sz w:val="20"/>
          <w:szCs w:val="20"/>
        </w:rPr>
        <w:t>477:6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فی فقه الشافعی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249:13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مقابیس اللغة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511:2</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المضاربة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281:2</w:t>
      </w:r>
      <w:r>
        <w:rPr>
          <w:rFonts w:ascii="IRNazanin" w:hAnsi="IRNazanin" w:eastAsia="IRNazanin"/>
          <w:b w:val="false"/>
          <w:b w:val="false"/>
          <w:bCs w:val="false"/>
          <w:i w:val="false"/>
          <w:i w:val="false"/>
          <w:iCs w:val="false"/>
          <w:color w:val="333333"/>
          <w:sz w:val="20"/>
          <w:sz w:val="20"/>
          <w:szCs w:val="20"/>
          <w:rtl w:val="true"/>
        </w:rPr>
        <w:t>، 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جامع الخلاف و الوفاق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395:1</w:t>
      </w:r>
      <w:r>
        <w:rPr>
          <w:rFonts w:ascii="IRNazanin" w:hAnsi="IRNazanin" w:eastAsia="IRNazanin"/>
          <w:b w:val="false"/>
          <w:b w:val="false"/>
          <w:bCs w:val="false"/>
          <w:i w:val="false"/>
          <w:i w:val="false"/>
          <w:iCs w:val="false"/>
          <w:color w:val="333333"/>
          <w:sz w:val="20"/>
          <w:sz w:val="20"/>
          <w:szCs w:val="20"/>
          <w:rtl w:val="true"/>
        </w:rPr>
        <w:t>، 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نقلها عن الجعفریّات، و عبارتها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یُتم بعد تحلّم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زبدة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مسالک الأفهام إلی آیات الأحکام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 کنز الدقائق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18:26</w:t>
      </w:r>
      <w:r>
        <w:rPr>
          <w:rFonts w:ascii="IRNazanin" w:hAnsi="IRNazanin" w:eastAsia="IRNazanin"/>
          <w:b w:val="false"/>
          <w:b w:val="false"/>
          <w:bCs w:val="false"/>
          <w:i w:val="false"/>
          <w:i w:val="false"/>
          <w:iCs w:val="false"/>
          <w:color w:val="333333"/>
          <w:sz w:val="20"/>
          <w:sz w:val="20"/>
          <w:szCs w:val="20"/>
          <w:rtl w:val="true"/>
        </w:rPr>
        <w:t xml:space="preserve">، المیزان فی تفسیر القرآن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فقه المعاملات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المستفاد من الآیة الشریفة لزوم دفع الأموال إلی الیتامی مع استیناس الرشد قبل البلوغ، و ذکرنا أیضاً أنّ الآیة لا تدلّ علی شرطین، بل البلوغ أمارة علی الرشد غالباً، فالآیة تدلّ علی شرطیة الرشد فقط، و بالنتیجة لا یستفاد منها أن الصبیّ من حیث کونه صبیّاً یکون محجوراً، بل من جهة عدم رشده یکون محجوراً،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الآیة الشریفة أیضاً لا تدلّ علی أنّ الصحابی حیث کونه صبیّاً یکون محجوراً، بل تدلّ علی محجوریته لسفاهته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الدقائق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202:14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434:13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الروایة أیضاً لا تدلّ علی أنّ الصبیّ من حیث کونه صبیّاً یکون محجوراً علیه، بل الملاک فی الحجر إنّما هو السفاهة و عدم الرشد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141:13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الحجر،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143:13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الحجر،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زاد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فقرة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الشیء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نبت علیه الشعر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لم یکن فی الخصال و لا فی الوسائل التی حقّقتها مؤسّسة آل البیت علیهم السلام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143:13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الحجر،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185:14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512:2</w:t>
      </w:r>
      <w:r>
        <w:rPr>
          <w:rFonts w:ascii="IRNazanin" w:hAnsi="IRNazanin" w:eastAsia="IRNazanin"/>
          <w:b w:val="false"/>
          <w:b w:val="false"/>
          <w:bCs w:val="false"/>
          <w:i w:val="false"/>
          <w:i w:val="false"/>
          <w:iCs w:val="false"/>
          <w:color w:val="333333"/>
          <w:sz w:val="20"/>
          <w:sz w:val="20"/>
          <w:szCs w:val="20"/>
          <w:rtl w:val="true"/>
        </w:rPr>
        <w:t xml:space="preserve">، التنقیح الرائع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فی فقه الشافعی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119:14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508:4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ردّ المحتار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المسالک </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215:3</w:t>
      </w:r>
      <w:r>
        <w:rPr>
          <w:rFonts w:ascii="IRNazanin" w:hAnsi="IRNazanin" w:eastAsia="IRNazanin"/>
          <w:b w:val="false"/>
          <w:b w:val="false"/>
          <w:bCs w:val="false"/>
          <w:i w:val="false"/>
          <w:i w:val="false"/>
          <w:iCs w:val="false"/>
          <w:color w:val="333333"/>
          <w:sz w:val="20"/>
          <w:sz w:val="20"/>
          <w:szCs w:val="20"/>
          <w:rtl w:val="true"/>
        </w:rPr>
        <w:t xml:space="preserve">، عقد الجواهر الثمینة </w:t>
      </w:r>
      <w:r>
        <w:rPr>
          <w:rFonts w:eastAsia="IRNazanin" w:cs="IRNazanin"/>
          <w:b w:val="false"/>
          <w:bCs w:val="false"/>
          <w:i w:val="false"/>
          <w:iCs w:val="false"/>
          <w:color w:val="333333"/>
          <w:sz w:val="20"/>
          <w:szCs w:val="20"/>
        </w:rPr>
        <w:t>625:2</w:t>
      </w:r>
      <w:r>
        <w:rPr>
          <w:rFonts w:ascii="IRNazanin" w:hAnsi="IRNazanin" w:eastAsia="IRNazanin"/>
          <w:b w:val="false"/>
          <w:b w:val="false"/>
          <w:bCs w:val="false"/>
          <w:i w:val="false"/>
          <w:i w:val="false"/>
          <w:iCs w:val="false"/>
          <w:color w:val="333333"/>
          <w:sz w:val="20"/>
          <w:sz w:val="20"/>
          <w:szCs w:val="20"/>
          <w:rtl w:val="true"/>
        </w:rPr>
        <w:t xml:space="preserve">، البنایة </w:t>
      </w:r>
      <w:r>
        <w:rPr>
          <w:rFonts w:eastAsia="IRNazanin" w:cs="IRNazanin"/>
          <w:b w:val="false"/>
          <w:bCs w:val="false"/>
          <w:i w:val="false"/>
          <w:iCs w:val="false"/>
          <w:color w:val="333333"/>
          <w:sz w:val="20"/>
          <w:szCs w:val="20"/>
        </w:rPr>
        <w:t>108:10</w:t>
      </w:r>
      <w:r>
        <w:rPr>
          <w:rFonts w:ascii="IRNazanin" w:hAnsi="IRNazanin" w:eastAsia="IRNazanin"/>
          <w:b w:val="false"/>
          <w:b w:val="false"/>
          <w:bCs w:val="false"/>
          <w:i w:val="false"/>
          <w:i w:val="false"/>
          <w:iCs w:val="false"/>
          <w:color w:val="333333"/>
          <w:sz w:val="20"/>
          <w:sz w:val="20"/>
          <w:szCs w:val="20"/>
          <w:rtl w:val="true"/>
        </w:rPr>
        <w:t xml:space="preserve">، أحکام القرآن للجصّاص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الأوّل، الفصل السابع و الثامن و التاسع و العاشر، و هکذا الباب الثانی و الثالث و الرابع و السابع من أبواب الموسوعة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714:1</w:t>
      </w:r>
      <w:r>
        <w:rPr>
          <w:rFonts w:ascii="IRNazanin" w:hAnsi="IRNazanin" w:eastAsia="IRNazanin"/>
          <w:b w:val="false"/>
          <w:b w:val="false"/>
          <w:bCs w:val="false"/>
          <w:i w:val="false"/>
          <w:i w:val="false"/>
          <w:iCs w:val="false"/>
          <w:color w:val="333333"/>
          <w:sz w:val="20"/>
          <w:sz w:val="20"/>
          <w:szCs w:val="20"/>
          <w:rtl w:val="true"/>
        </w:rPr>
        <w:t>، 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xml:space="preserve">، معجم مقاییس اللغة </w:t>
      </w:r>
      <w:r>
        <w:rPr>
          <w:rFonts w:eastAsia="IRNazanin" w:cs="IRNazanin"/>
          <w:b w:val="false"/>
          <w:bCs w:val="false"/>
          <w:i w:val="false"/>
          <w:iCs w:val="false"/>
          <w:color w:val="333333"/>
          <w:sz w:val="20"/>
          <w:szCs w:val="20"/>
        </w:rPr>
        <w:t>289:5</w:t>
      </w:r>
      <w:r>
        <w:rPr>
          <w:rFonts w:ascii="IRNazanin" w:hAnsi="IRNazanin" w:eastAsia="IRNazanin"/>
          <w:b w:val="false"/>
          <w:b w:val="false"/>
          <w:bCs w:val="false"/>
          <w:i w:val="false"/>
          <w:i w:val="false"/>
          <w:iCs w:val="false"/>
          <w:color w:val="333333"/>
          <w:sz w:val="20"/>
          <w:sz w:val="20"/>
          <w:szCs w:val="20"/>
          <w:rtl w:val="true"/>
        </w:rPr>
        <w:t>، القاموس الفقهی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التوقیف علی مهمّات التعاریف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747:2</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الخلاف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653:2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306:7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416:13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397:5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381:2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نوافلها،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381:2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نوافلها،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4508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381:2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نوافلها،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409:3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280:1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380:2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نوافلها،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167:7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4507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5452</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182:9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428:13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4509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325:15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الطلاق، أبواب مقدّماته و شرائطه،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نوافلها،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عدم ورود عنوان التمییز فی شیء من الروایات الواردة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قد ورد فی بعضها عنوان العقل کما فی صحیحة محمّد بن مسلم فی الصبیّ متی یصلّی؟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عقل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کذلک بالنسبة إلی الطلاق ورد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یجوز طلاق الغلام إذا کان قد عقل و وصیّته و صدقته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أنّه قد ورد فی الصوم عنوان الطاقة، فإذا أطاق یجب علیه الصیام تمریناً و تأدیباً و بناءً علی ذلک 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المعیار فی الصیام لیس دائر مدار عنوان التمییز و العقل، بل هو دائر مدار وجود الطاقة و عدمها کما أنّ الاستحباب، أو لزوم التفریق بین الصبیان فی المضاجع لیس دائراً مدار هذا العنوان، بل الظاهر من الروایات استحباب التفریق بینهم و لو قبل سنّ التمییز کما ورد فی ستّ سنین الذی هو قبل سن التمییز عرفاً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المعنی للتمییز یناسب مفهوم الرشد، و علیه یطرح هذا السؤال و هو أنّه ما هو الفرق بین التمییز و الرشد؟ مع انّه لا ریب فی وجود الفرق بینهما و أنّه یتأخّر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تحقّق الرشد حتّی عن البلوغ فضلاً عن التمییز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نوافلها،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المجلّة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للشافعی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للقرطبی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الجلیل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430:9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301:9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647:1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90:10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647:11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ردّ المحتار </w:t>
      </w:r>
      <w:r>
        <w:rPr>
          <w:rFonts w:eastAsia="IRNazanin" w:cs="IRNazanin"/>
          <w:b w:val="false"/>
          <w:bCs w:val="false"/>
          <w:i w:val="false"/>
          <w:iCs w:val="false"/>
          <w:color w:val="333333"/>
          <w:sz w:val="20"/>
          <w:szCs w:val="20"/>
        </w:rPr>
        <w:t>153:11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1009:2</w:t>
      </w:r>
      <w:r>
        <w:rPr>
          <w:rFonts w:ascii="IRNazanin" w:hAnsi="IRNazanin" w:eastAsia="IRNazanin"/>
          <w:b w:val="false"/>
          <w:b w:val="false"/>
          <w:bCs w:val="false"/>
          <w:i w:val="false"/>
          <w:i w:val="false"/>
          <w:iCs w:val="false"/>
          <w:color w:val="333333"/>
          <w:sz w:val="20"/>
          <w:sz w:val="20"/>
          <w:szCs w:val="20"/>
          <w:rtl w:val="true"/>
        </w:rPr>
        <w:t xml:space="preserve">، النهایة لابن الأثیر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xml:space="preserve">، القاموس المحیط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Pr>
        <w:t>301:1</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187:14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512:2</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42:26</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121:21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المضاربة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منبت الشعر فوق القبل من المرأة و فوق الذکر من الرجل، و الشعر النابت علیهما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الشعرة و الإسب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472:4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186:14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تراث الشیخ الأعظم، کتاب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الأیّام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346:20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383:7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209:14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و أولیاء العقد،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عنهما فی وسائل الشیعة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یحتلم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المصدر</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428:13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الحجر،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11502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327:13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18527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3043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4121</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Pr>
        <w:t>326:13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18526</w:t>
      </w:r>
      <w:r>
        <w:rPr>
          <w:rFonts w:ascii="IRNazanin" w:hAnsi="IRNazanin" w:eastAsia="IRNazanin"/>
          <w:b w:val="false"/>
          <w:b w:val="false"/>
          <w:bCs w:val="false"/>
          <w:i w:val="false"/>
          <w:i w:val="false"/>
          <w:iCs w:val="false"/>
          <w:color w:val="333333"/>
          <w:sz w:val="20"/>
          <w:sz w:val="20"/>
          <w:szCs w:val="20"/>
          <w:rtl w:val="true"/>
        </w:rPr>
        <w:t xml:space="preserve">، فی مستدرک الوسائل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المضاربة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148:14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186:14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192:9</w:t>
      </w:r>
      <w:r>
        <w:rPr>
          <w:rFonts w:ascii="IRNazanin" w:hAnsi="IRNazanin" w:eastAsia="IRNazanin"/>
          <w:b w:val="false"/>
          <w:b w:val="false"/>
          <w:bCs w:val="false"/>
          <w:i w:val="false"/>
          <w:i w:val="false"/>
          <w:iCs w:val="false"/>
          <w:color w:val="333333"/>
          <w:sz w:val="20"/>
          <w:sz w:val="20"/>
          <w:szCs w:val="20"/>
          <w:rtl w:val="true"/>
        </w:rPr>
        <w:t>، 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لا مجال فی مثل هذا الموضوع للتمسّک بسیرة العقلاء؛ لأنّ الشارع قد تدخّل فیه، فلو قلنا بأنّه اختصّ البلوغ من جهة الشعر بالعانة، فلا یبقی مجال لشعر سائر أجزاء البدن تمسّکاً بالسیرة العقلائیة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دخالة الشرع فی موضوع تکفی لعدم اعتبار السیرة العقلائیة فیه،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346:20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w:t>
      </w:r>
      <w:r>
        <w:rPr>
          <w:rFonts w:eastAsia="IRNazanin" w:cs="IRNazanin"/>
          <w:b w:val="false"/>
          <w:bCs w:val="false"/>
          <w:i w:val="false"/>
          <w:iCs w:val="false"/>
          <w:color w:val="333333"/>
          <w:sz w:val="20"/>
          <w:szCs w:val="20"/>
        </w:rPr>
        <w:t>287:12</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363:3</w:t>
      </w:r>
      <w:r>
        <w:rPr>
          <w:rFonts w:ascii="IRNazanin" w:hAnsi="IRNazanin" w:eastAsia="IRNazanin"/>
          <w:b w:val="false"/>
          <w:b w:val="false"/>
          <w:bCs w:val="false"/>
          <w:i w:val="false"/>
          <w:i w:val="false"/>
          <w:iCs w:val="false"/>
          <w:color w:val="333333"/>
          <w:sz w:val="20"/>
          <w:sz w:val="20"/>
          <w:szCs w:val="20"/>
          <w:rtl w:val="true"/>
        </w:rPr>
        <w:t xml:space="preserve">، فقه الصادق </w:t>
      </w:r>
      <w:r>
        <w:rPr>
          <w:rFonts w:eastAsia="IRNazanin" w:cs="IRNazanin"/>
          <w:b w:val="false"/>
          <w:bCs w:val="false"/>
          <w:i w:val="false"/>
          <w:iCs w:val="false"/>
          <w:color w:val="333333"/>
          <w:sz w:val="20"/>
          <w:szCs w:val="20"/>
        </w:rPr>
        <w:t>101:20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383:7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یکون علامة علی البلوغ شرعاً مع کونهما متأخّرین عن البلوغ، و هذا شاهد علی أنّهما لیسا علامة للبلوغ عند العقلاء أیضاً؛ للاعتراف بتأخّرهما عن البلوغ عندهم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الکلام فیما یوجب الاطمینان بل الکلام فی الأمارات الشرعیّة علی البلوغ، و لا دخل للاطمینان فی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189:14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367:1</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المضاربة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395:1</w:t>
      </w:r>
      <w:r>
        <w:rPr>
          <w:rFonts w:ascii="IRNazanin" w:hAnsi="IRNazanin" w:eastAsia="IRNazanin"/>
          <w:b w:val="false"/>
          <w:b w:val="false"/>
          <w:bCs w:val="false"/>
          <w:i w:val="false"/>
          <w:i w:val="false"/>
          <w:iCs w:val="false"/>
          <w:color w:val="333333"/>
          <w:sz w:val="20"/>
          <w:sz w:val="20"/>
          <w:szCs w:val="20"/>
          <w:rtl w:val="true"/>
        </w:rPr>
        <w:t>، تبصرة المتعلّمین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383:7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الأیّام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لا ینافیانها مع أنّه قد صرّح فی خبر حمزة بن حمران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 الخروج عن التیم إلّا بهذه الاُمور و الإنصاف أنّ الأخبار ظاهرة فی تعلیق البلوغ علیها، و هذا أمر شرعی تعبّدی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ریب فی سبق البلوغ علیها و لکن البلوغ المعتبر شرعاً یحصل بنفس هذه الاُمور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186:14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المضاربة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القواعد و الفوائد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الفقهیّة للخواجوئی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الاستدلال عجیب جدّاً و لا ینبغی صدوره من مثل المحقّق الثانی، فإنّ الحجر مستمرّ إلی الإنبات أیضاً کما أنّه مستمرّ إلی الاحتلام و لیس قبلهما بلوغ شرعاً، و علیه لا أثر للتصرّفات القریبة من زمانهما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المضاربة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282:2</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367:1</w:t>
      </w:r>
      <w:r>
        <w:rPr>
          <w:rFonts w:ascii="IRNazanin" w:hAnsi="IRNazanin" w:eastAsia="IRNazanin"/>
          <w:b w:val="false"/>
          <w:b w:val="false"/>
          <w:bCs w:val="false"/>
          <w:i w:val="false"/>
          <w:i w:val="false"/>
          <w:iCs w:val="false"/>
          <w:color w:val="333333"/>
          <w:sz w:val="20"/>
          <w:sz w:val="20"/>
          <w:szCs w:val="20"/>
          <w:rtl w:val="true"/>
        </w:rPr>
        <w:t>،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ذکری الشیعة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190:14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347:20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المضاربة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للراوندی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الأیّام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إلی آیات الأحکام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لم یخرج منه المنی لمانع، و إلّا فنفس الإحساس بالشهوة ما دام لم یبلغ حدّ الخروج لا ینفع فی البلوغ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المراد من بلوغ الحُلُم نفس المراد من بلوغ النکاح، و لیس بینهما فرق فی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إلی آیات الأحکام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التنقیح فی شرح العروة الوثقی، کتاب الطهارة </w:t>
      </w:r>
      <w:r>
        <w:rPr>
          <w:rFonts w:eastAsia="IRNazanin" w:cs="IRNazanin"/>
          <w:b w:val="false"/>
          <w:bCs w:val="false"/>
          <w:i w:val="false"/>
          <w:iCs w:val="false"/>
          <w:color w:val="333333"/>
          <w:sz w:val="20"/>
          <w:szCs w:val="20"/>
        </w:rPr>
        <w:t>354:10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220:4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5517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141:13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الحجر،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143:13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الحجر،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هذه الروایة رواها صاحب الوسائل قدس سره عن أبی الحسین الخادم بیّاع اللؤلؤ من دون ذکر ابن سنان، لکنّه من سهو القلم أو السقط فی الاستنساخ، و الصحیح ما أثبتناه، کما أنّ فی الخصال کذلک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297:3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شرائطه،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شرائطه،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169:14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345:20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409:8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11493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11644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المتحلّی بسمة معیّنة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442:6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توحید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191:14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345:20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علی الحمل، و الصحیح ما أثبتناه، و لعلّه من سهو القلم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المضاربة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191:14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238:9</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122:21</w:t>
      </w:r>
      <w:r>
        <w:rPr>
          <w:rFonts w:ascii="IRNazanin" w:hAnsi="IRNazanin" w:eastAsia="IRNazanin"/>
          <w:b w:val="false"/>
          <w:b w:val="false"/>
          <w:bCs w:val="false"/>
          <w:i w:val="false"/>
          <w:i w:val="false"/>
          <w:iCs w:val="false"/>
          <w:color w:val="333333"/>
          <w:sz w:val="20"/>
          <w:sz w:val="20"/>
          <w:szCs w:val="20"/>
          <w:rtl w:val="true"/>
        </w:rPr>
        <w:t>، تفصیل الشریعة، کتاب المضاربة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دفق الماء یدفق، أی انصبّ،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انصبّ بمرّة، لسان العرب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190:14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344:20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الوثقی کتاب الطهارة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190:14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القواعد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344:20</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122:21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المضاربة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التنقیح الرائع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238:9</w:t>
      </w:r>
      <w:r>
        <w:rPr>
          <w:rFonts w:ascii="IRNazanin" w:hAnsi="IRNazanin" w:eastAsia="IRNazanin"/>
          <w:b w:val="false"/>
          <w:b w:val="false"/>
          <w:bCs w:val="false"/>
          <w:i w:val="false"/>
          <w:i w:val="false"/>
          <w:iCs w:val="false"/>
          <w:color w:val="333333"/>
          <w:sz w:val="20"/>
          <w:sz w:val="20"/>
          <w:szCs w:val="20"/>
          <w:rtl w:val="true"/>
        </w:rPr>
        <w:t xml:space="preserve">، الشرح الصغیر فی شرح المختصر النافع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362:3</w:t>
      </w:r>
      <w:r>
        <w:rPr>
          <w:rFonts w:ascii="IRNazanin" w:hAnsi="IRNazanin" w:eastAsia="IRNazanin"/>
          <w:b w:val="false"/>
          <w:b w:val="false"/>
          <w:bCs w:val="false"/>
          <w:i w:val="false"/>
          <w:i w:val="false"/>
          <w:iCs w:val="false"/>
          <w:color w:val="333333"/>
          <w:sz w:val="20"/>
          <w:sz w:val="20"/>
          <w:szCs w:val="20"/>
          <w:rtl w:val="true"/>
        </w:rPr>
        <w:t xml:space="preserve">، الدرّ النضید فی الاجتهاد و الاحتیاط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237:5</w:t>
      </w:r>
      <w:r>
        <w:rPr>
          <w:rFonts w:ascii="IRNazanin" w:hAnsi="IRNazanin" w:eastAsia="IRNazanin"/>
          <w:b w:val="false"/>
          <w:b w:val="false"/>
          <w:bCs w:val="false"/>
          <w:i w:val="false"/>
          <w:i w:val="false"/>
          <w:iCs w:val="false"/>
          <w:color w:val="333333"/>
          <w:sz w:val="20"/>
          <w:sz w:val="20"/>
          <w:szCs w:val="20"/>
          <w:rtl w:val="true"/>
        </w:rPr>
        <w:t>، و لم نعثر علیه فی المصدر، و لعلّه نقله بالمعنی</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143:13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الحجر،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169:14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الظاهر من الأدلّة هو الخروج الفعلی، فهو المبدأ للبلوغ الشرعی و إن کان مستعدّاً للخروج قبله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یسیر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191:14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یسیر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المضاربة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268:12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 شروطه،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یثغر الصبیّ، أی تخرج أسنانه الدائمیّة بعد سقوط الأسنان الرواضع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183:9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430:13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4509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182:15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اثنتی</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553:1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المضاربة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475:1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471:1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من أبواب الجنابة،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476:1</w:t>
      </w:r>
      <w:r>
        <w:rPr>
          <w:rFonts w:ascii="IRNazanin" w:hAnsi="IRNazanin" w:eastAsia="IRNazanin"/>
          <w:b w:val="false"/>
          <w:b w:val="false"/>
          <w:bCs w:val="false"/>
          <w:i w:val="false"/>
          <w:i w:val="false"/>
          <w:iCs w:val="false"/>
          <w:color w:val="333333"/>
          <w:sz w:val="20"/>
          <w:sz w:val="20"/>
          <w:szCs w:val="20"/>
          <w:rtl w:val="true"/>
        </w:rPr>
        <w:t xml:space="preserve">، ذ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التنقیح فی شرح العروة الوثقی، کتاب الطهارة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181:5</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344:20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المضاربة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190:14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409:8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11493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الصوم </w:t>
      </w:r>
      <w:r>
        <w:rPr>
          <w:rFonts w:eastAsia="IRNazanin" w:cs="IRNazanin"/>
          <w:b w:val="false"/>
          <w:bCs w:val="false"/>
          <w:i w:val="false"/>
          <w:iCs w:val="false"/>
          <w:color w:val="333333"/>
          <w:sz w:val="20"/>
          <w:szCs w:val="20"/>
        </w:rPr>
        <w:t>214:12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191:14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لأحمد بن حنبل </w:t>
      </w:r>
      <w:r>
        <w:rPr>
          <w:rFonts w:eastAsia="IRNazanin" w:cs="IRNazanin"/>
          <w:b w:val="false"/>
          <w:bCs w:val="false"/>
          <w:i w:val="false"/>
          <w:iCs w:val="false"/>
          <w:color w:val="333333"/>
          <w:sz w:val="20"/>
          <w:szCs w:val="20"/>
        </w:rPr>
        <w:t>396:4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13053</w:t>
      </w:r>
      <w:r>
        <w:rPr>
          <w:rFonts w:ascii="IRNazanin" w:hAnsi="IRNazanin" w:eastAsia="IRNazanin"/>
          <w:b w:val="false"/>
          <w:b w:val="false"/>
          <w:bCs w:val="false"/>
          <w:i w:val="false"/>
          <w:i w:val="false"/>
          <w:iCs w:val="false"/>
          <w:color w:val="333333"/>
          <w:sz w:val="20"/>
          <w:sz w:val="20"/>
          <w:szCs w:val="20"/>
          <w:rtl w:val="true"/>
        </w:rPr>
        <w:t xml:space="preserve">، و المصنّف لعبد الرزّاق </w:t>
      </w:r>
      <w:r>
        <w:rPr>
          <w:rFonts w:eastAsia="IRNazanin" w:cs="IRNazanin"/>
          <w:b w:val="false"/>
          <w:bCs w:val="false"/>
          <w:i w:val="false"/>
          <w:iCs w:val="false"/>
          <w:color w:val="333333"/>
          <w:sz w:val="20"/>
          <w:szCs w:val="20"/>
        </w:rPr>
        <w:t>284:1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المضاربة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المصدر، و إنّما اضیف لاقتضاء السیاق</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190:14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آل طوق </w:t>
      </w:r>
      <w:r>
        <w:rPr>
          <w:rFonts w:eastAsia="IRNazanin" w:cs="IRNazanin"/>
          <w:b w:val="false"/>
          <w:bCs w:val="false"/>
          <w:i w:val="false"/>
          <w:iCs w:val="false"/>
          <w:color w:val="333333"/>
          <w:sz w:val="20"/>
          <w:szCs w:val="20"/>
        </w:rPr>
        <w:t>283:1</w:t>
      </w:r>
      <w:r>
        <w:rPr>
          <w:rFonts w:ascii="IRNazanin" w:hAnsi="IRNazanin" w:eastAsia="IRNazanin"/>
          <w:b w:val="false"/>
          <w:b w:val="false"/>
          <w:bCs w:val="false"/>
          <w:i w:val="false"/>
          <w:i w:val="false"/>
          <w:iCs w:val="false"/>
          <w:color w:val="333333"/>
          <w:sz w:val="20"/>
          <w:sz w:val="20"/>
          <w:szCs w:val="20"/>
          <w:rtl w:val="true"/>
        </w:rPr>
        <w:t xml:space="preserve">، الأنوار اللوامع فی شرح مفاتیح الشرائع </w:t>
      </w:r>
      <w:r>
        <w:rPr>
          <w:rFonts w:eastAsia="IRNazanin" w:cs="IRNazanin"/>
          <w:b w:val="false"/>
          <w:bCs w:val="false"/>
          <w:i w:val="false"/>
          <w:iCs w:val="false"/>
          <w:color w:val="333333"/>
          <w:sz w:val="20"/>
          <w:szCs w:val="20"/>
        </w:rPr>
        <w:t>155:13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192:14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الصوم </w:t>
      </w:r>
      <w:r>
        <w:rPr>
          <w:rFonts w:eastAsia="IRNazanin" w:cs="IRNazanin"/>
          <w:b w:val="false"/>
          <w:bCs w:val="false"/>
          <w:i w:val="false"/>
          <w:iCs w:val="false"/>
          <w:color w:val="333333"/>
          <w:sz w:val="20"/>
          <w:szCs w:val="20"/>
        </w:rPr>
        <w:t>215:12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47:26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197:14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الأیّام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المضاربة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513:2</w:t>
      </w:r>
      <w:r>
        <w:rPr>
          <w:rFonts w:ascii="IRNazanin" w:hAnsi="IRNazanin" w:eastAsia="IRNazanin"/>
          <w:b w:val="false"/>
          <w:b w:val="false"/>
          <w:bCs w:val="false"/>
          <w:i w:val="false"/>
          <w:i w:val="false"/>
          <w:iCs w:val="false"/>
          <w:color w:val="333333"/>
          <w:sz w:val="20"/>
          <w:sz w:val="20"/>
          <w:szCs w:val="20"/>
          <w:rtl w:val="true"/>
        </w:rPr>
        <w:t xml:space="preserve">، کشف الرموز </w:t>
      </w:r>
      <w:r>
        <w:rPr>
          <w:rFonts w:eastAsia="IRNazanin" w:cs="IRNazanin"/>
          <w:b w:val="false"/>
          <w:bCs w:val="false"/>
          <w:i w:val="false"/>
          <w:iCs w:val="false"/>
          <w:color w:val="333333"/>
          <w:sz w:val="20"/>
          <w:szCs w:val="20"/>
        </w:rPr>
        <w:t>552:1</w:t>
      </w:r>
      <w:r>
        <w:rPr>
          <w:rFonts w:ascii="IRNazanin" w:hAnsi="IRNazanin" w:eastAsia="IRNazanin"/>
          <w:b w:val="false"/>
          <w:b w:val="false"/>
          <w:bCs w:val="false"/>
          <w:i w:val="false"/>
          <w:i w:val="false"/>
          <w:iCs w:val="false"/>
          <w:color w:val="333333"/>
          <w:sz w:val="20"/>
          <w:sz w:val="20"/>
          <w:szCs w:val="20"/>
          <w:rtl w:val="true"/>
        </w:rPr>
        <w:t xml:space="preserve">، کفایة الأحکام </w:t>
      </w:r>
      <w:r>
        <w:rPr>
          <w:rFonts w:eastAsia="IRNazanin" w:cs="IRNazanin"/>
          <w:b w:val="false"/>
          <w:bCs w:val="false"/>
          <w:i w:val="false"/>
          <w:iCs w:val="false"/>
          <w:color w:val="333333"/>
          <w:sz w:val="20"/>
          <w:szCs w:val="20"/>
        </w:rPr>
        <w:t>581:1</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195:14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الصوم </w:t>
      </w:r>
      <w:r>
        <w:rPr>
          <w:rFonts w:eastAsia="IRNazanin" w:cs="IRNazanin"/>
          <w:b w:val="false"/>
          <w:bCs w:val="false"/>
          <w:i w:val="false"/>
          <w:iCs w:val="false"/>
          <w:color w:val="333333"/>
          <w:sz w:val="20"/>
          <w:szCs w:val="20"/>
        </w:rPr>
        <w:t>207:12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123:21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المضاربة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تأمّل جدّاً، و العرف یشهد بخلافه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راجع إلی الاستدلال بالإجماع لا الآیة الشریفة، و من العجب جدّاً الاستدلال بهذه الآیة لاستفادة سن البلوغ، فکیف اقتنع صاحب المناهل و أیضاً صاحب الجواهر بالاستدلال بهذه الآیة الشریفة للمقام، و الإنصاف عدم إمکان استفادة مقدار السنّ من هذه الآیة الشریفة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الصوم </w:t>
      </w:r>
      <w:r>
        <w:rPr>
          <w:rFonts w:eastAsia="IRNazanin" w:cs="IRNazanin"/>
          <w:b w:val="false"/>
          <w:bCs w:val="false"/>
          <w:i w:val="false"/>
          <w:iCs w:val="false"/>
          <w:color w:val="333333"/>
          <w:sz w:val="20"/>
          <w:szCs w:val="20"/>
        </w:rPr>
        <w:t>208:12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للتمسّک بأصالة البراءة فی المقام؛ لأنّ المدّعی نفی التکلیف بحسب الواقع فیمن لم یکمل سنّه خمسة عشرة سنة، و أصالة البراءة تدلّ علی عدم التکلیف ظاهراً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127:18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الجواهر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 هذا النصّ بعد الفحص عنه فی مظانّه، و الذی وقفنا نحن علیه ما یوافقه فی المعنی و إن یحتمل اختصاصه بمورده، و هی روایة السُّفرة المرویّة فی الوسائل </w:t>
      </w:r>
      <w:r>
        <w:rPr>
          <w:rFonts w:eastAsia="IRNazanin" w:cs="IRNazanin"/>
          <w:b w:val="false"/>
          <w:bCs w:val="false"/>
          <w:i w:val="false"/>
          <w:iCs w:val="false"/>
          <w:color w:val="333333"/>
          <w:sz w:val="20"/>
          <w:szCs w:val="20"/>
        </w:rPr>
        <w:t>373:17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فی سعة حتّی یعلموا</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ذ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108:14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المضاربة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123:21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جریان التعزیر فی الصبیّ کما هو واضح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یخطر بالبال أنّه ما هو الوجه فی التذییل بهذا الذیل؟ و یمکن الجواب بأنّ شدّة الأهمّیة فی حدود اللّه تقتضی القیام بها بعد أن وصل الصبیّ و بلغ إلی هذا المبلغ من سنّه، و لا یصحّ أن یتوهّم أنّ حدود اللّه مختصّة بمن کان سنّه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أربعین سنة و من کان عقله کاملاً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38:10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314:18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209:14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و أولیاء العقد،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167:7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الوجه فی التردید هو التنبیه علی أنّه قد یحصل الشعر أو الإنبات فی أربع عشرة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الأربع عشرة طریق إلی حصول الإشعار أو الانبات کما هو الغالب فی الصبیان، و ما ذکره المناهل من التضییق بین العددین بعید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381:2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409:1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نوافلها،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المضاربة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إسقاط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إلی ستّ عشرة سنة و بذلک یوافق سائر الروایات التی تدلّ علی أنّ الغایة خمس عشرة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الشاهد علی ذلک أنّه لا معنی محصّل للتأدیب بین خمس عشرة سنة إلی ستّ عشرة سنة، فانّه لا فصل معتدّ به للتأدیب کما هو واضح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512:2</w:t>
      </w:r>
      <w:r>
        <w:rPr>
          <w:rFonts w:ascii="IRNazanin" w:hAnsi="IRNazanin" w:eastAsia="IRNazanin"/>
          <w:b w:val="false"/>
          <w:b w:val="false"/>
          <w:bCs w:val="false"/>
          <w:i w:val="false"/>
          <w:i w:val="false"/>
          <w:iCs w:val="false"/>
          <w:color w:val="333333"/>
          <w:sz w:val="20"/>
          <w:sz w:val="20"/>
          <w:szCs w:val="20"/>
          <w:rtl w:val="true"/>
        </w:rPr>
        <w:t xml:space="preserve">، مفاتیح الشرائع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348:20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451:5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432:13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الوصایا،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381:2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409:1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431:13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الوصایا،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وقع فی سند روایة أبی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السندی بن الربیع و یحیی بن مبارک، و هما مجهولان</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وجود الاضطراب، و لا یبعد أن یحمل علی التمرینیة فی هذا 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مع قطع النظر عن ضعف السند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30:26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یرد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إمکان وجوب الاحتیاط لا یتوقّف علی وجود التکلیف المنجّز، بل هو متوقّف علی احتمال التکلیف و بذلک یظهر بطلان الإیراد الثالث، فإنّ ذمّة من بلغ سنّة إلی أربع عشرة سنة محتملة للاشتغال، و هذا المقدار یکفی فی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Pr>
        <w:t>582:1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أنّ التعبیر بالإتیان ظاهر فی الإکمال و علیه فتوافق هذه الروایة معتبرة عبد اللّه بن 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431:13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الوصایا،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تدلّ علی مضی ثلاث عشرة سنة و الدخول فی الأربع عشرة، کما أنّ 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بلغ الغلام ثلاث عشرة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روایته الاُخری هو الإکمال، و علیه لا روایة ظاهرة علی أنّ مجرّد الدخول فی ثلاث عشرة سنة کاف فی البلوغ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431:13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الوصایا،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Pr>
        <w:t>582:1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الصوم </w:t>
      </w:r>
      <w:r>
        <w:rPr>
          <w:rFonts w:eastAsia="IRNazanin" w:cs="IRNazanin"/>
          <w:b w:val="false"/>
          <w:bCs w:val="false"/>
          <w:i w:val="false"/>
          <w:iCs w:val="false"/>
          <w:color w:val="333333"/>
          <w:sz w:val="20"/>
          <w:szCs w:val="20"/>
        </w:rPr>
        <w:t>210:12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الخلاف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یراعی فی حدّ البلوغ فی الذکور بالسنّ خمس عشرة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 الفرقة، و أخبارهم قد أوردناها فی الکتاب الکبیر</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دأب الشیخ فی الاستبصار ذکر الأخبار المعتمدة عنده، ثمّ ذکر الأخبار المعارضة ثانیاً، ثمّ الجمع بینهما إذا کان ممکناً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30:26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428:13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الوصایا،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5450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429:13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الوصایا،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362:18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526:18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شرائطه،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66:19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120:10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321:13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و الصدقات،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432:13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الوصایا،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36:26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185:13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120:10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321:13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الوقوف و الصدقات،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197:14</w:t>
      </w:r>
      <w:r>
        <w:rPr>
          <w:rFonts w:ascii="IRNazanin" w:hAnsi="IRNazanin" w:eastAsia="IRNazanin"/>
          <w:b w:val="false"/>
          <w:b w:val="false"/>
          <w:bCs w:val="false"/>
          <w:i w:val="false"/>
          <w:i w:val="false"/>
          <w:iCs w:val="false"/>
          <w:color w:val="333333"/>
          <w:sz w:val="20"/>
          <w:sz w:val="20"/>
          <w:szCs w:val="20"/>
          <w:rtl w:val="true"/>
        </w:rPr>
        <w:t xml:space="preserve">، مختلف الشیعة </w:t>
      </w:r>
      <w:r>
        <w:rPr>
          <w:rFonts w:eastAsia="IRNazanin" w:cs="IRNazanin"/>
          <w:b w:val="false"/>
          <w:bCs w:val="false"/>
          <w:i w:val="false"/>
          <w:iCs w:val="false"/>
          <w:color w:val="333333"/>
          <w:sz w:val="20"/>
          <w:szCs w:val="20"/>
        </w:rPr>
        <w:t>452:5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38:26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364:3</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منهاج الصالحین للسیّد الخوئی </w:t>
      </w:r>
      <w:r>
        <w:rPr>
          <w:rFonts w:eastAsia="IRNazanin" w:cs="IRNazanin"/>
          <w:b w:val="false"/>
          <w:bCs w:val="false"/>
          <w:i w:val="false"/>
          <w:iCs w:val="false"/>
          <w:color w:val="333333"/>
          <w:sz w:val="20"/>
          <w:szCs w:val="20"/>
        </w:rPr>
        <w:t>179:2</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123:21</w:t>
      </w:r>
      <w:r>
        <w:rPr>
          <w:rFonts w:ascii="IRNazanin" w:hAnsi="IRNazanin" w:eastAsia="IRNazanin"/>
          <w:b w:val="false"/>
          <w:b w:val="false"/>
          <w:bCs w:val="false"/>
          <w:i w:val="false"/>
          <w:i w:val="false"/>
          <w:iCs w:val="false"/>
          <w:color w:val="333333"/>
          <w:sz w:val="20"/>
          <w:sz w:val="20"/>
          <w:szCs w:val="20"/>
          <w:rtl w:val="true"/>
        </w:rPr>
        <w:t>، تفصیل الشریعة، کتاب المضاربة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منهاج الصالحین للسیّد السیستانی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348:20</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241:9</w:t>
      </w:r>
      <w:r>
        <w:rPr>
          <w:rFonts w:ascii="IRNazanin" w:hAnsi="IRNazanin" w:eastAsia="IRNazanin"/>
          <w:b w:val="false"/>
          <w:b w:val="false"/>
          <w:bCs w:val="false"/>
          <w:i w:val="false"/>
          <w:i w:val="false"/>
          <w:iCs w:val="false"/>
          <w:color w:val="333333"/>
          <w:sz w:val="20"/>
          <w:sz w:val="20"/>
          <w:szCs w:val="20"/>
          <w:rtl w:val="true"/>
        </w:rPr>
        <w:t xml:space="preserve">، تراث الشیخ الأعظم، کتاب الصوم </w:t>
      </w:r>
      <w:r>
        <w:rPr>
          <w:rFonts w:eastAsia="IRNazanin" w:cs="IRNazanin"/>
          <w:b w:val="false"/>
          <w:bCs w:val="false"/>
          <w:i w:val="false"/>
          <w:iCs w:val="false"/>
          <w:color w:val="333333"/>
          <w:sz w:val="20"/>
          <w:szCs w:val="20"/>
        </w:rPr>
        <w:t>212:12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197:14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39:26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123:21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142:13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الحجر،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433:13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الوصایا،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72:14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و آدابه،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463:5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460:14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431:13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الوصایا،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70:14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و آدابه،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70:14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 هذه الروایات تدلّ علی أنّ جواز الوطی مشروط بإکمال العشر، و لا تدلّ علی أنّ البلوغ الشرعی للمرأة هذا السنّ، و ربّما یوجد فرق بین البلوغ و الدخول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71:14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و آدابه،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التردید غیر مخلّ بل مطابق للواقع؛ لأنّ بعض الجواری صالحة للدخول فی تسع سنین و البعض الآخر فی عشر سنین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124:21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40:26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الصوم </w:t>
      </w:r>
      <w:r>
        <w:rPr>
          <w:rFonts w:eastAsia="IRNazanin" w:cs="IRNazanin"/>
          <w:b w:val="false"/>
          <w:bCs w:val="false"/>
          <w:i w:val="false"/>
          <w:iCs w:val="false"/>
          <w:color w:val="333333"/>
          <w:sz w:val="20"/>
          <w:szCs w:val="20"/>
        </w:rPr>
        <w:t>212:12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71:14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و آدابه، ذ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380:2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العملیّة للشیخ یوسف الصانعی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هذه الروایة من جهة التسویة بین الغلام و الجاریة مخالفة لما هو المرتکز بین العقلاء، فمن البدیهی الواضح عندهم أنّ البلوغ فی الاُنثی أقرب منه من المذکّر،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xml:space="preserve">، ذ ح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xml:space="preserve">، ذ 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فی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نشر مؤسّسة آل البیت، و العبارة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أمّا إذا کان الراوی من فرق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الفطحیّة و الواقفیّة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نظر فیما یرویه، فإن کان هناک طریقة تعضده أو خبر آخر من جهة الموثوقین بهم، وجب العمل به، و إن کان هناک خبر آخر یخالفه من طریق الموثوقین، وجب اطّراح ما اختصّوا بروایته و العمل بما رواه الثقة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جمیع ما یرویه هؤلاء إذا اختصّوا بروایته لا یعمل به، و إنّما یعمل به إذا انضاف إلی روایتهم من هو علی الطریقة المستقیمة،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إذا انفرد فلا یجوز ذلک فیه علی حال</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977:8</w:t>
      </w:r>
      <w:r>
        <w:rPr>
          <w:rFonts w:ascii="IRNazanin" w:hAnsi="IRNazanin" w:eastAsia="IRNazanin"/>
          <w:b w:val="false"/>
          <w:b w:val="false"/>
          <w:bCs w:val="false"/>
          <w:i w:val="false"/>
          <w:i w:val="false"/>
          <w:iCs w:val="false"/>
          <w:color w:val="333333"/>
          <w:sz w:val="20"/>
          <w:sz w:val="20"/>
          <w:szCs w:val="20"/>
          <w:rtl w:val="true"/>
        </w:rPr>
        <w:t xml:space="preserve">، ذ ح </w:t>
      </w:r>
      <w:r>
        <w:rPr>
          <w:rFonts w:eastAsia="IRNazanin" w:cs="IRNazanin"/>
          <w:b w:val="false"/>
          <w:bCs w:val="false"/>
          <w:i w:val="false"/>
          <w:iCs w:val="false"/>
          <w:color w:val="333333"/>
          <w:sz w:val="20"/>
          <w:szCs w:val="20"/>
        </w:rPr>
        <w:t>7537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المستند فی شرح العروة الوثقی، کتاب الصلاة </w:t>
      </w:r>
      <w:r>
        <w:rPr>
          <w:rFonts w:eastAsia="IRNazanin" w:cs="IRNazanin"/>
          <w:b w:val="false"/>
          <w:bCs w:val="false"/>
          <w:i w:val="false"/>
          <w:iCs w:val="false"/>
          <w:color w:val="333333"/>
          <w:sz w:val="20"/>
          <w:szCs w:val="20"/>
        </w:rPr>
        <w:t>154:18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المضاربة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349:20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الصوم </w:t>
      </w:r>
      <w:r>
        <w:rPr>
          <w:rFonts w:eastAsia="IRNazanin" w:cs="IRNazanin"/>
          <w:b w:val="false"/>
          <w:bCs w:val="false"/>
          <w:i w:val="false"/>
          <w:iCs w:val="false"/>
          <w:color w:val="333333"/>
          <w:sz w:val="20"/>
          <w:szCs w:val="20"/>
        </w:rPr>
        <w:t>210:12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یسیر</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ندری أنّهم کیف یترکون الروایات الکثیرة التی تدلّ علی أنّ البلوغ فی الاُنثی تسع و لا یوجد فی کلماتهم بیان فنّی یعتمد علیه، و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فرضنا صحّة الروایة سنداً و دلالة و لکن کیف تقاوم الروایات الکثیرة الدالّة علی التسع؟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المضاربة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184:9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452:5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183:9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المضاربة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 فی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دخل أو أخذ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198:14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الصوم </w:t>
      </w:r>
      <w:r>
        <w:rPr>
          <w:rFonts w:eastAsia="IRNazanin" w:cs="IRNazanin"/>
          <w:b w:val="false"/>
          <w:bCs w:val="false"/>
          <w:i w:val="false"/>
          <w:iCs w:val="false"/>
          <w:color w:val="333333"/>
          <w:sz w:val="20"/>
          <w:szCs w:val="20"/>
        </w:rPr>
        <w:t>213:12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123:21</w:t>
      </w:r>
      <w:r>
        <w:rPr>
          <w:rFonts w:ascii="IRNazanin" w:hAnsi="IRNazanin" w:eastAsia="IRNazanin"/>
          <w:b w:val="false"/>
          <w:b w:val="false"/>
          <w:bCs w:val="false"/>
          <w:i w:val="false"/>
          <w:i w:val="false"/>
          <w:iCs w:val="false"/>
          <w:color w:val="333333"/>
          <w:sz w:val="20"/>
          <w:sz w:val="20"/>
          <w:szCs w:val="20"/>
          <w:rtl w:val="true"/>
        </w:rPr>
        <w:t>، تفصیل الشریعة، کتاب المضاربة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Pr>
        <w:t>582:1</w:t>
      </w:r>
      <w:r>
        <w:rPr>
          <w:rFonts w:ascii="IRNazanin" w:hAnsi="IRNazanin" w:eastAsia="IRNazanin"/>
          <w:b w:val="false"/>
          <w:b w:val="false"/>
          <w:bCs w:val="false"/>
          <w:i w:val="false"/>
          <w:i w:val="false"/>
          <w:iCs w:val="false"/>
          <w:color w:val="333333"/>
          <w:sz w:val="20"/>
          <w:sz w:val="20"/>
          <w:szCs w:val="20"/>
          <w:rtl w:val="true"/>
        </w:rPr>
        <w:t>، 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198:14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198:14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209:14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و أولیاء العقد،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سورة النور </w:t>
      </w:r>
      <w:r>
        <w:rPr>
          <w:rFonts w:eastAsia="IRNazanin" w:cs="IRNazanin"/>
          <w:b w:val="false"/>
          <w:bCs w:val="false"/>
          <w:i w:val="false"/>
          <w:iCs w:val="false"/>
          <w:color w:val="333333"/>
          <w:sz w:val="20"/>
          <w:szCs w:val="20"/>
        </w:rPr>
        <w:t>59:24</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143:13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الحجر،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 الشیخ الأعظم، کتاب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Pr>
        <w:t>408:8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العبارة</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الصوم </w:t>
      </w:r>
      <w:r>
        <w:rPr>
          <w:rFonts w:eastAsia="IRNazanin" w:cs="IRNazanin"/>
          <w:b w:val="false"/>
          <w:bCs w:val="false"/>
          <w:i w:val="false"/>
          <w:iCs w:val="false"/>
          <w:color w:val="333333"/>
          <w:sz w:val="20"/>
          <w:szCs w:val="20"/>
        </w:rPr>
        <w:t>208:12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صحیح إذا لم یمکن الجمع من طریق آخر، کحمل السنة الثالثة عشرة و الرابعة عشرة علی التمرین أو مرحلة التمییز، فبعد هذا لا وجه لما ذکره الأردبیلی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350:20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تلخیص العبارة</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125:21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الأنقص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الصحیح ما أثبتناه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أنّه وقع الخطأ فی الکتابة</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40:26</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الصوم </w:t>
      </w:r>
      <w:r>
        <w:rPr>
          <w:rFonts w:eastAsia="IRNazanin" w:cs="IRNazanin"/>
          <w:b w:val="false"/>
          <w:bCs w:val="false"/>
          <w:i w:val="false"/>
          <w:iCs w:val="false"/>
          <w:color w:val="333333"/>
          <w:sz w:val="20"/>
          <w:szCs w:val="20"/>
        </w:rPr>
        <w:t>213:12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الصوم </w:t>
      </w:r>
      <w:r>
        <w:rPr>
          <w:rFonts w:eastAsia="IRNazanin" w:cs="IRNazanin"/>
          <w:b w:val="false"/>
          <w:bCs w:val="false"/>
          <w:i w:val="false"/>
          <w:iCs w:val="false"/>
          <w:color w:val="333333"/>
          <w:sz w:val="20"/>
          <w:szCs w:val="20"/>
        </w:rPr>
        <w:t>214:12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282:2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 ذ ح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350:20</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تخریجها آنفاً</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الأیّام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شرائطه،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شرائطه،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294:3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روایة جمیل بن درّاج عن أحدهما علیهما السلام فی الرّجل یطلّق الصبیّة التی لم تبلغ و لا یحمل مثلها،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علیها عدّة و إن دخل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مثلها روایة ثانیة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405:15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المصدر و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لم یعلم</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199:14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و الأخبار ظاهرة فی أنّ الطمث مبدأ التکلیف، و المفهوم منها عدم وجود التکلیف قبله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النجفیّة لبحر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الأیّام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Pr>
        <w:t>582:1</w:t>
      </w:r>
      <w:r>
        <w:rPr>
          <w:rFonts w:ascii="IRNazanin" w:hAnsi="IRNazanin" w:eastAsia="IRNazanin"/>
          <w:b w:val="false"/>
          <w:b w:val="false"/>
          <w:bCs w:val="false"/>
          <w:i w:val="false"/>
          <w:i w:val="false"/>
          <w:iCs w:val="false"/>
          <w:color w:val="333333"/>
          <w:sz w:val="20"/>
          <w:sz w:val="20"/>
          <w:szCs w:val="20"/>
          <w:rtl w:val="true"/>
        </w:rPr>
        <w:t>، 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کتاب الطهارة للإمام الخمینی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559:1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409:15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الطهارة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فی شرح العروة الوثقی </w:t>
      </w:r>
      <w:r>
        <w:rPr>
          <w:rFonts w:eastAsia="IRNazanin" w:cs="IRNazanin"/>
          <w:b w:val="false"/>
          <w:bCs w:val="false"/>
          <w:i w:val="false"/>
          <w:iCs w:val="false"/>
          <w:color w:val="333333"/>
          <w:sz w:val="20"/>
          <w:szCs w:val="20"/>
        </w:rPr>
        <w:t>383:4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190:10</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322:10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199:14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45:26</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498:14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409:15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409:15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498:14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406:15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44:26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350:20</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350:20</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 النهایة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دلیل علی وجود العلامة القطعیة و الظنّیة فی الأدلّة الشرعیة، مضافاً إلی أنّ العلامة الظنّیة غیر نافعة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یبعد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العلاقة صحیحة فیما إذا لم یحتلم و لم یشعر، و لکن بحسب العرف خرج من حدّ الصباوة و وصل إلی عقل البالغین و تمکّن من الوطی و إن لم یخرج منه المنی، و بذلک البیان یظهر وجه الانحصار،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إنکار ظهور الأدلّة فی الانحصار فی غایة المکابرة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نهد الثدی ینهُد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نهوداً، إذا ارتفع عن الصدر و صار له حجم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189:14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الأیام </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 المنکب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428:13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الحجر،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المحتاج </w:t>
      </w:r>
      <w:r>
        <w:rPr>
          <w:rFonts w:eastAsia="IRNazanin" w:cs="IRNazanin"/>
          <w:b w:val="false"/>
          <w:bCs w:val="false"/>
          <w:i w:val="false"/>
          <w:iCs w:val="false"/>
          <w:color w:val="333333"/>
          <w:sz w:val="20"/>
          <w:szCs w:val="20"/>
        </w:rPr>
        <w:t>358:4</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287:5</w:t>
      </w:r>
      <w:r>
        <w:rPr>
          <w:rFonts w:ascii="IRNazanin" w:hAnsi="IRNazanin" w:eastAsia="IRNazanin"/>
          <w:b w:val="false"/>
          <w:b w:val="false"/>
          <w:bCs w:val="false"/>
          <w:i w:val="false"/>
          <w:i w:val="false"/>
          <w:iCs w:val="false"/>
          <w:color w:val="333333"/>
          <w:sz w:val="20"/>
          <w:sz w:val="20"/>
          <w:szCs w:val="20"/>
          <w:rtl w:val="true"/>
        </w:rPr>
        <w:t xml:space="preserve">، المبدع شرح المقنع </w:t>
      </w:r>
      <w:r>
        <w:rPr>
          <w:rFonts w:eastAsia="IRNazanin" w:cs="IRNazanin"/>
          <w:b w:val="false"/>
          <w:bCs w:val="false"/>
          <w:i w:val="false"/>
          <w:iCs w:val="false"/>
          <w:color w:val="333333"/>
          <w:sz w:val="20"/>
          <w:szCs w:val="20"/>
        </w:rPr>
        <w:t>304:4</w:t>
      </w:r>
      <w:r>
        <w:rPr>
          <w:rFonts w:ascii="IRNazanin" w:hAnsi="IRNazanin" w:eastAsia="IRNazanin"/>
          <w:b w:val="false"/>
          <w:b w:val="false"/>
          <w:bCs w:val="false"/>
          <w:i w:val="false"/>
          <w:i w:val="false"/>
          <w:iCs w:val="false"/>
          <w:color w:val="333333"/>
          <w:sz w:val="20"/>
          <w:sz w:val="20"/>
          <w:szCs w:val="20"/>
          <w:rtl w:val="true"/>
        </w:rPr>
        <w:t xml:space="preserve">، عقد الجواهر الثمینة </w:t>
      </w:r>
      <w:r>
        <w:rPr>
          <w:rFonts w:eastAsia="IRNazanin" w:cs="IRNazanin"/>
          <w:b w:val="false"/>
          <w:bCs w:val="false"/>
          <w:i w:val="false"/>
          <w:iCs w:val="false"/>
          <w:color w:val="333333"/>
          <w:sz w:val="20"/>
          <w:szCs w:val="20"/>
        </w:rPr>
        <w:t>627:2</w:t>
      </w:r>
      <w:r>
        <w:rPr>
          <w:rFonts w:ascii="IRNazanin" w:hAnsi="IRNazanin" w:eastAsia="IRNazanin"/>
          <w:b w:val="false"/>
          <w:b w:val="false"/>
          <w:bCs w:val="false"/>
          <w:i w:val="false"/>
          <w:i w:val="false"/>
          <w:iCs w:val="false"/>
          <w:color w:val="333333"/>
          <w:sz w:val="20"/>
          <w:sz w:val="20"/>
          <w:szCs w:val="20"/>
          <w:rtl w:val="true"/>
        </w:rPr>
        <w:t xml:space="preserve">، مواهب الجلیل </w:t>
      </w:r>
      <w:r>
        <w:rPr>
          <w:rFonts w:eastAsia="IRNazanin" w:cs="IRNazanin"/>
          <w:b w:val="false"/>
          <w:bCs w:val="false"/>
          <w:i w:val="false"/>
          <w:iCs w:val="false"/>
          <w:color w:val="333333"/>
          <w:sz w:val="20"/>
          <w:szCs w:val="20"/>
        </w:rPr>
        <w:t>633:6</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ردّ المحتار علی الدرّ المختار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411:8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11502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327:13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18527</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فی فقه الشافعی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141:14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 السنن الکبری للبیهقی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8391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1576</w:t>
      </w:r>
      <w:r>
        <w:rPr>
          <w:rFonts w:ascii="IRNazanin" w:hAnsi="IRNazanin" w:eastAsia="IRNazanin"/>
          <w:b w:val="false"/>
          <w:b w:val="false"/>
          <w:bCs w:val="false"/>
          <w:i w:val="false"/>
          <w:i w:val="false"/>
          <w:iCs w:val="false"/>
          <w:color w:val="333333"/>
          <w:sz w:val="20"/>
          <w:sz w:val="20"/>
          <w:szCs w:val="20"/>
          <w:rtl w:val="true"/>
        </w:rPr>
        <w:t xml:space="preserve">، و سنن النسائی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513:4</w:t>
      </w:r>
      <w:r>
        <w:rPr>
          <w:rFonts w:ascii="IRNazanin" w:hAnsi="IRNazanin" w:eastAsia="IRNazanin"/>
          <w:b w:val="false"/>
          <w:b w:val="false"/>
          <w:bCs w:val="false"/>
          <w:i w:val="false"/>
          <w:i w:val="false"/>
          <w:iCs w:val="false"/>
          <w:color w:val="333333"/>
          <w:sz w:val="20"/>
          <w:sz w:val="20"/>
          <w:szCs w:val="20"/>
          <w:rtl w:val="true"/>
        </w:rPr>
        <w:t xml:space="preserve">، و الشرح الکبیر </w:t>
      </w:r>
      <w:r>
        <w:rPr>
          <w:rFonts w:eastAsia="IRNazanin" w:cs="IRNazanin"/>
          <w:b w:val="false"/>
          <w:bCs w:val="false"/>
          <w:i w:val="false"/>
          <w:iCs w:val="false"/>
          <w:color w:val="333333"/>
          <w:sz w:val="20"/>
          <w:szCs w:val="20"/>
        </w:rPr>
        <w:t>512:4</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ردّ المحتار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سنن ابن ماجة </w:t>
      </w:r>
      <w:r>
        <w:rPr>
          <w:rFonts w:eastAsia="IRNazanin" w:cs="IRNazanin"/>
          <w:b w:val="false"/>
          <w:bCs w:val="false"/>
          <w:i w:val="false"/>
          <w:iCs w:val="false"/>
          <w:color w:val="333333"/>
          <w:sz w:val="20"/>
          <w:szCs w:val="20"/>
        </w:rPr>
        <w:t>324:1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فی العبارة</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فقه الشافعی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 الشعر و لیّنه ممّا یبدو للصبیّ و للشیخ حین یرقّ شعره</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فقه الشافعی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المحتاج </w:t>
      </w:r>
      <w:r>
        <w:rPr>
          <w:rFonts w:eastAsia="IRNazanin" w:cs="IRNazanin"/>
          <w:b w:val="false"/>
          <w:bCs w:val="false"/>
          <w:i w:val="false"/>
          <w:iCs w:val="false"/>
          <w:color w:val="333333"/>
          <w:sz w:val="20"/>
          <w:szCs w:val="20"/>
        </w:rPr>
        <w:t>358:4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466:3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الجلیل </w:t>
      </w:r>
      <w:r>
        <w:rPr>
          <w:rFonts w:eastAsia="IRNazanin" w:cs="IRNazanin"/>
          <w:b w:val="false"/>
          <w:bCs w:val="false"/>
          <w:i w:val="false"/>
          <w:iCs w:val="false"/>
          <w:color w:val="333333"/>
          <w:sz w:val="20"/>
          <w:szCs w:val="20"/>
        </w:rPr>
        <w:t>631:6</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ردّ المحتار علی الدرّ المختار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الحنفی فی ثوبه الجدید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فی فقه الشافعی </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w:t>
      </w:r>
      <w:r>
        <w:rPr>
          <w:rFonts w:eastAsia="IRNazanin" w:cs="IRNazanin"/>
          <w:b w:val="false"/>
          <w:bCs w:val="false"/>
          <w:i w:val="false"/>
          <w:iCs w:val="false"/>
          <w:color w:val="333333"/>
          <w:sz w:val="20"/>
          <w:szCs w:val="20"/>
        </w:rPr>
        <w:t>141:14</w:t>
      </w:r>
      <w:r>
        <w:rPr>
          <w:rFonts w:ascii="IRNazanin" w:hAnsi="IRNazanin" w:eastAsia="IRNazanin"/>
          <w:b w:val="false"/>
          <w:b w:val="false"/>
          <w:bCs w:val="false"/>
          <w:i w:val="false"/>
          <w:i w:val="false"/>
          <w:iCs w:val="false"/>
          <w:color w:val="333333"/>
          <w:sz w:val="20"/>
          <w:sz w:val="20"/>
          <w:szCs w:val="20"/>
          <w:rtl w:val="true"/>
        </w:rPr>
        <w:t xml:space="preserve">، المغنی و الشرح الکبیر </w:t>
      </w:r>
      <w:r>
        <w:rPr>
          <w:rFonts w:eastAsia="IRNazanin" w:cs="IRNazanin"/>
          <w:b w:val="false"/>
          <w:bCs w:val="false"/>
          <w:i w:val="false"/>
          <w:iCs w:val="false"/>
          <w:color w:val="333333"/>
          <w:sz w:val="20"/>
          <w:szCs w:val="20"/>
        </w:rPr>
        <w:t>514:4</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فقه الشافعی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1184:3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1868</w:t>
      </w:r>
      <w:r>
        <w:rPr>
          <w:rFonts w:ascii="IRNazanin" w:hAnsi="IRNazanin" w:eastAsia="IRNazanin"/>
          <w:b w:val="false"/>
          <w:b w:val="false"/>
          <w:bCs w:val="false"/>
          <w:i w:val="false"/>
          <w:i w:val="false"/>
          <w:iCs w:val="false"/>
          <w:color w:val="333333"/>
          <w:sz w:val="20"/>
          <w:sz w:val="20"/>
          <w:szCs w:val="20"/>
          <w:rtl w:val="true"/>
        </w:rPr>
        <w:t xml:space="preserve">، و صحیح البخاری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515:4</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ردّ المحتار علی الدرّ المختار </w:t>
      </w:r>
      <w:r>
        <w:rPr>
          <w:rFonts w:eastAsia="IRNazanin" w:cs="IRNazanin"/>
          <w:b w:val="false"/>
          <w:bCs w:val="false"/>
          <w:i w:val="false"/>
          <w:iCs w:val="false"/>
          <w:color w:val="333333"/>
          <w:sz w:val="20"/>
          <w:szCs w:val="20"/>
        </w:rPr>
        <w:t>153:6</w:t>
      </w:r>
      <w:r>
        <w:rPr>
          <w:rFonts w:ascii="IRNazanin" w:hAnsi="IRNazanin" w:eastAsia="IRNazanin"/>
          <w:b w:val="false"/>
          <w:b w:val="false"/>
          <w:bCs w:val="false"/>
          <w:i w:val="false"/>
          <w:i w:val="false"/>
          <w:iCs w:val="false"/>
          <w:color w:val="333333"/>
          <w:sz w:val="20"/>
          <w:sz w:val="20"/>
          <w:szCs w:val="20"/>
          <w:rtl w:val="true"/>
        </w:rPr>
        <w:t xml:space="preserve">، الهدایة شرح البدایة </w:t>
      </w:r>
      <w:r>
        <w:rPr>
          <w:rFonts w:eastAsia="IRNazanin" w:cs="IRNazanin"/>
          <w:b w:val="false"/>
          <w:bCs w:val="false"/>
          <w:i w:val="false"/>
          <w:iCs w:val="false"/>
          <w:color w:val="333333"/>
          <w:sz w:val="20"/>
          <w:szCs w:val="20"/>
        </w:rPr>
        <w:t>284:3</w:t>
      </w:r>
      <w:r>
        <w:rPr>
          <w:rFonts w:ascii="IRNazanin" w:hAnsi="IRNazanin" w:eastAsia="IRNazanin"/>
          <w:b w:val="false"/>
          <w:b w:val="false"/>
          <w:bCs w:val="false"/>
          <w:i w:val="false"/>
          <w:i w:val="false"/>
          <w:iCs w:val="false"/>
          <w:color w:val="333333"/>
          <w:sz w:val="20"/>
          <w:sz w:val="20"/>
          <w:szCs w:val="20"/>
          <w:rtl w:val="true"/>
        </w:rPr>
        <w:t xml:space="preserve">، مجمع الأنهر فی شرح ملتقی الأبحر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شرح فتح القدیر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الجلیل </w:t>
      </w:r>
      <w:r>
        <w:rPr>
          <w:rFonts w:eastAsia="IRNazanin" w:cs="IRNazanin"/>
          <w:b w:val="false"/>
          <w:bCs w:val="false"/>
          <w:i w:val="false"/>
          <w:iCs w:val="false"/>
          <w:color w:val="333333"/>
          <w:sz w:val="20"/>
          <w:szCs w:val="20"/>
        </w:rPr>
        <w:t>634:6</w:t>
      </w:r>
      <w:r>
        <w:rPr>
          <w:rFonts w:ascii="IRNazanin" w:hAnsi="IRNazanin" w:eastAsia="IRNazanin"/>
          <w:b w:val="false"/>
          <w:b w:val="false"/>
          <w:bCs w:val="false"/>
          <w:i w:val="false"/>
          <w:i w:val="false"/>
          <w:iCs w:val="false"/>
          <w:color w:val="333333"/>
          <w:sz w:val="20"/>
          <w:sz w:val="20"/>
          <w:szCs w:val="20"/>
          <w:rtl w:val="true"/>
        </w:rPr>
        <w:t xml:space="preserve">، عقد الجواهر الثمینة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المسالک </w:t>
      </w:r>
      <w:r>
        <w:rPr>
          <w:rFonts w:eastAsia="IRNazanin" w:cs="IRNazanin"/>
          <w:b w:val="false"/>
          <w:bCs w:val="false"/>
          <w:i w:val="false"/>
          <w:iCs w:val="false"/>
          <w:color w:val="333333"/>
          <w:sz w:val="20"/>
          <w:szCs w:val="20"/>
        </w:rPr>
        <w:t>518:3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Pr>
        <w:t>284:2</w:t>
      </w:r>
      <w:r>
        <w:rPr>
          <w:rFonts w:ascii="IRNazanin" w:hAnsi="IRNazanin" w:eastAsia="IRNazanin"/>
          <w:b w:val="false"/>
          <w:b w:val="false"/>
          <w:bCs w:val="false"/>
          <w:i w:val="false"/>
          <w:i w:val="false"/>
          <w:iCs w:val="false"/>
          <w:color w:val="333333"/>
          <w:sz w:val="20"/>
          <w:sz w:val="20"/>
          <w:szCs w:val="20"/>
          <w:rtl w:val="true"/>
        </w:rPr>
        <w:t xml:space="preserve">، حاشیة ردّ المحتار </w:t>
      </w:r>
      <w:r>
        <w:rPr>
          <w:rFonts w:eastAsia="IRNazanin" w:cs="IRNazanin"/>
          <w:b w:val="false"/>
          <w:bCs w:val="false"/>
          <w:i w:val="false"/>
          <w:iCs w:val="false"/>
          <w:color w:val="333333"/>
          <w:sz w:val="20"/>
          <w:szCs w:val="20"/>
        </w:rPr>
        <w:t>153:6</w:t>
      </w:r>
      <w:r>
        <w:rPr>
          <w:rFonts w:ascii="IRNazanin" w:hAnsi="IRNazanin" w:eastAsia="IRNazanin"/>
          <w:b w:val="false"/>
          <w:b w:val="false"/>
          <w:bCs w:val="false"/>
          <w:i w:val="false"/>
          <w:i w:val="false"/>
          <w:iCs w:val="false"/>
          <w:color w:val="333333"/>
          <w:sz w:val="20"/>
          <w:sz w:val="20"/>
          <w:szCs w:val="20"/>
          <w:rtl w:val="true"/>
        </w:rPr>
        <w:t xml:space="preserve">، مغنی المحتاج </w:t>
      </w:r>
      <w:r>
        <w:rPr>
          <w:rFonts w:eastAsia="IRNazanin" w:cs="IRNazanin"/>
          <w:b w:val="false"/>
          <w:bCs w:val="false"/>
          <w:i w:val="false"/>
          <w:iCs w:val="false"/>
          <w:color w:val="333333"/>
          <w:sz w:val="20"/>
          <w:szCs w:val="20"/>
        </w:rPr>
        <w:t>167:2</w:t>
      </w:r>
      <w:r>
        <w:rPr>
          <w:rFonts w:ascii="IRNazanin" w:hAnsi="IRNazanin" w:eastAsia="IRNazanin"/>
          <w:b w:val="false"/>
          <w:b w:val="false"/>
          <w:bCs w:val="false"/>
          <w:i w:val="false"/>
          <w:i w:val="false"/>
          <w:iCs w:val="false"/>
          <w:color w:val="333333"/>
          <w:sz w:val="20"/>
          <w:sz w:val="20"/>
          <w:szCs w:val="20"/>
          <w:rtl w:val="true"/>
        </w:rPr>
        <w:t xml:space="preserve">، تبیین المسالک </w:t>
      </w:r>
      <w:r>
        <w:rPr>
          <w:rFonts w:eastAsia="IRNazanin" w:cs="IRNazanin"/>
          <w:b w:val="false"/>
          <w:bCs w:val="false"/>
          <w:i w:val="false"/>
          <w:iCs w:val="false"/>
          <w:color w:val="333333"/>
          <w:sz w:val="20"/>
          <w:szCs w:val="20"/>
        </w:rPr>
        <w:t>519:3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الجلیل </w:t>
      </w:r>
      <w:r>
        <w:rPr>
          <w:rFonts w:eastAsia="IRNazanin" w:cs="IRNazanin"/>
          <w:b w:val="false"/>
          <w:bCs w:val="false"/>
          <w:i w:val="false"/>
          <w:iCs w:val="false"/>
          <w:color w:val="333333"/>
          <w:sz w:val="20"/>
          <w:szCs w:val="20"/>
        </w:rPr>
        <w:t>634:6</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298:1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و سنن الترمذی </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فقه الشافعی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467:3</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فی شرح المختصر </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فی فقه القرآن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المؤتلف من المختلف بین أئمّة السّلف </w:t>
      </w:r>
      <w:r>
        <w:rPr>
          <w:rFonts w:eastAsia="IRNazanin" w:cs="IRNazanin"/>
          <w:b w:val="false"/>
          <w:bCs w:val="false"/>
          <w:i w:val="false"/>
          <w:iCs w:val="false"/>
          <w:color w:val="333333"/>
          <w:sz w:val="20"/>
          <w:szCs w:val="20"/>
        </w:rPr>
        <w:t>571:1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الصغیر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48:26</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المضاربة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453:4</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48:26</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 الدقائق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للراوندی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منّا تفسیر الآیة،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المضاربة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5523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143:13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الحجر،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434:13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الوصایا،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142:13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الحجر،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427:13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الحجر،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التمسّک بالاتّفاق غیر نافع فی فهم المدلول من کلمة کما هو واضح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48:26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أنّه لا نزاع فی مفهوم الرشد، و لا ریب فی عدم دخالة العدالة فی مفهومه، بل النزاع فی أنّه هل العدالة معتبرة فی الرشید مضافاً إلی رشده أم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للراوندی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هذا الکلام أنّ شارب الخمر حین کونه شارباً یکون سفیهاً زائلاً عقله، فإطلاق السفیه علیه حقیقی لا لکونه شارباً للخمر بل لزوال عقله بسبب شرب الخمر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434:13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الوصایا،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سلّمنا المجازیة و لکنّه لا یضرّ بالمدّعی، فإنّ المدّعی عبارة عن کون شارب الخمر سفیهاً، و الروایة تدلّ علی ذلک و إن کان مجازاً و بعبارة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غضّ النظر عن ضعف السند، لا فرق فی الاستدلال بالروایة بین کونه علی نحو الحقیقة أو کونه علی نحو المجاز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إضافات الراوی، و الشاهد علی ذلک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وجودها فی صحیحة حریز، و ثانیاً لا ریب فی أنّ بعض الرجال أسفه من النساء، و لا یصحّ القول بنحو المطلق فی أنّهنّ کلّهنّ من السفهاء، مضافاً إلی أنّه لو سلّمنا سفاتهنّ لکنّها لیست فی المرتبة الاُولی من السفاهة حتّی بالنسبة إلی الصبیان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231:13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الودیعة،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116:105</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408:2</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فی العبارة</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203:14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351:20</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50:26</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367:3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515:2</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 xml:space="preserve">، کفایة الأحکام </w:t>
      </w:r>
      <w:r>
        <w:rPr>
          <w:rFonts w:eastAsia="IRNazanin" w:cs="IRNazanin"/>
          <w:b w:val="false"/>
          <w:bCs w:val="false"/>
          <w:i w:val="false"/>
          <w:iCs w:val="false"/>
          <w:color w:val="333333"/>
          <w:sz w:val="20"/>
          <w:szCs w:val="20"/>
        </w:rPr>
        <w:t>583:1</w:t>
      </w:r>
      <w:r>
        <w:rPr>
          <w:rFonts w:ascii="IRNazanin" w:hAnsi="IRNazanin" w:eastAsia="IRNazanin"/>
          <w:b w:val="false"/>
          <w:b w:val="false"/>
          <w:bCs w:val="false"/>
          <w:i w:val="false"/>
          <w:i w:val="false"/>
          <w:iCs w:val="false"/>
          <w:color w:val="333333"/>
          <w:sz w:val="20"/>
          <w:sz w:val="20"/>
          <w:szCs w:val="20"/>
          <w:rtl w:val="true"/>
        </w:rPr>
        <w:t>، 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352:20</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الاستدلال صحیح إذا کان النزاع فی مفهوم الرشد، و قد ذکرنا فیما تقدّم أنّ النزاع لیس فی مفهومه، بل النزاع فی اعتبار شرط آخر غیر الرشد فی جواز دفع المال إلیهم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203:14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435:13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الوصایا،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163:100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50:26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و تلخیص</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352:20</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عنوان الرشد أمر واضح عند العرف و لا یعتبر فی تحقّقه وجود الملکة، کما أنّه لا یکفی رعایة الإصلاح مرّة واحدة، و المعتبر عند العرف أن یصیر الصبیّ إلی حدّ یکون أکثر تصرّفاته مطابقاً لمصالحه، و بالعکس من کان أکثر تصرّفاته مخالفاً لمصالحه یعد سفیهاً عند العرف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351:20</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Pr>
        <w:t>582:1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الروایات الواردة تدلّ علی کفایة عدم الإفساد و عدم التضییع فقط، و هذا هو المراد من إصلاح المال و حفظه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49:26</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استیناس الرشد یحتاج إلی الابتلاء کراراً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صریح الآیة الشریفة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الأمر بالابتلاء لاستیناس الرشد، و هذا العنوان متقوّم بالممارسة و التکرار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علیه فلا مجال للابتلاء، مع أنّ الآیة الشریفة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اوجبت الابتلاء، هذا مضافاً إلی أنّه لا مجال لأصالة السلامة، فإنّ مفهوم الرشد غیر مفهوم السلامة، و أیضاً القیاس بینه و بین العقل مع الفارق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367:3</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45:19</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853:2</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52:26</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المضاربة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فی العبارة و تلخیص</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241:13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 شروطه،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360:20</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205:14</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51:26</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المضاربة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149:21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434:13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205:14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51:26</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209:14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217:14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المضاربة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فی العبارة و تلخیص</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المسالک </w:t>
      </w:r>
      <w:r>
        <w:rPr>
          <w:rFonts w:eastAsia="IRNazanin" w:cs="IRNazanin"/>
          <w:b w:val="false"/>
          <w:bCs w:val="false"/>
          <w:i w:val="false"/>
          <w:iCs w:val="false"/>
          <w:color w:val="333333"/>
          <w:sz w:val="20"/>
          <w:szCs w:val="20"/>
        </w:rPr>
        <w:t>520:3</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المالکی المیسّر </w:t>
      </w:r>
      <w:r>
        <w:rPr>
          <w:rFonts w:eastAsia="IRNazanin" w:cs="IRNazanin"/>
          <w:b w:val="false"/>
          <w:bCs w:val="false"/>
          <w:i w:val="false"/>
          <w:iCs w:val="false"/>
          <w:color w:val="333333"/>
          <w:sz w:val="20"/>
          <w:szCs w:val="20"/>
        </w:rPr>
        <w:t>724:1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161:24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المبدع شرح المقنع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الحنفی و أدلّته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 المختصر للمزنی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ابن عبّاس أورده القرطبی فی جامع أحکام القرآن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فی التفسیر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صلاحاً فی العقل و حفظ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علیه فی کتب الحدیث</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فقه الشافعی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ذکرنا فی جواب قول الشیخ الطوسی قدس سره فی صدر هذا المطلب</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الزرکشی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522:4</w:t>
      </w:r>
      <w:r>
        <w:rPr>
          <w:rFonts w:ascii="IRNazanin" w:hAnsi="IRNazanin" w:eastAsia="IRNazanin"/>
          <w:b w:val="false"/>
          <w:b w:val="false"/>
          <w:bCs w:val="false"/>
          <w:i w:val="false"/>
          <w:i w:val="false"/>
          <w:iCs w:val="false"/>
          <w:color w:val="333333"/>
          <w:sz w:val="20"/>
          <w:sz w:val="20"/>
          <w:szCs w:val="20"/>
          <w:rtl w:val="true"/>
        </w:rPr>
        <w:t xml:space="preserve">، و الشرح الکبیر </w:t>
      </w:r>
      <w:r>
        <w:rPr>
          <w:rFonts w:eastAsia="IRNazanin" w:cs="IRNazanin"/>
          <w:b w:val="false"/>
          <w:bCs w:val="false"/>
          <w:i w:val="false"/>
          <w:iCs w:val="false"/>
          <w:color w:val="333333"/>
          <w:sz w:val="20"/>
          <w:szCs w:val="20"/>
        </w:rPr>
        <w:t>516:4</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فقه الشافعی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524:4</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526:4</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536:2</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224:14</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Pr>
        <w:t>584:1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353:20</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51:26</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المضاربة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224:14</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432:13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224:14</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51:26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المضاربة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العرف لا یعتبر العلم فی صدق الرشد و الشارع لم یخالفه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المفهوم و المعنی یؤخذ من العرف کذلک الخصوصیّات من قبیل اعتبار العلم و عدمه، و الظاهر أنّ العرف یکتفی بالظنّ حتّی الظنّ غیر المتأخم للعلم، کما أنّ الظنّ بالسلامة یکفی فی تحقّقها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یصحّ قیاس المقام بالقبلة أو العدالة أو غیرها من الاُمور التی تدخّل الشارع فیها،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224:14</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536:2</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223:14</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166:4</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الصغیر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185:2</w:t>
      </w:r>
      <w:r>
        <w:rPr>
          <w:rFonts w:ascii="IRNazanin" w:hAnsi="IRNazanin" w:eastAsia="IRNazanin"/>
          <w:b w:val="false"/>
          <w:b w:val="false"/>
          <w:bCs w:val="false"/>
          <w:i w:val="false"/>
          <w:i w:val="false"/>
          <w:iCs w:val="false"/>
          <w:color w:val="333333"/>
          <w:sz w:val="20"/>
          <w:sz w:val="20"/>
          <w:szCs w:val="20"/>
          <w:rtl w:val="true"/>
        </w:rPr>
        <w:t xml:space="preserve">، مفتاح الکرامة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225:14</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الشرائع للشهید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225:14</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207:9</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أنّ ظاهر الآیة الشریفة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الدفع حین استیناس الرشد و إن کان قبل البلوغ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وجود الإجماع علی استفادة الموضوعیّة للبلوغ من الآیة الشریفة، محلّ تأمّل لأنّ بعض الفقهاء لا یری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یسیر</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فی شرح نکت الإرشاد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223:14</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108:26</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428:13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الحجر،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125:14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الوصایا،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109:26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و تلخیص</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108:26</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المضاربة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150:21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وجود أسباب الضمان فی حقّه، و لیس متلفاً، و لیس یده علی المال یداً عدوانیّة، کما أنّه لیس مقدّماً علی الضمان؛ و الظاهر عدم الاحتیاج للتمسّک بالأصل؛ فإنّه مع عدم وجود أحد الأسباب لا شکّ فی البین،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226:14</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الصحیح ما أثبتناه</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208:9</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هو البطلان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الإذن للاختبار لیس ملازماً للإذن بوقوع العقد کیف ما اتّفق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قیاس المقام بعقد السفیه البالغ إذا أجازه الولی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ذکره جامع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قیاس مع الفارق جدّاً، و کما أنّ الرشد الواقعی موجب للصحّة فکذلک السفه الواقعی موجب للبطلان، فإنّه محجور واقعاً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بعد تحقّق العقد إذا أجازه الولی فهو محکوم بالصحّة،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284:2</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397:1</w:t>
      </w:r>
      <w:r>
        <w:rPr>
          <w:rFonts w:ascii="IRNazanin" w:hAnsi="IRNazanin" w:eastAsia="IRNazanin"/>
          <w:b w:val="false"/>
          <w:b w:val="false"/>
          <w:bCs w:val="false"/>
          <w:i w:val="false"/>
          <w:i w:val="false"/>
          <w:iCs w:val="false"/>
          <w:color w:val="333333"/>
          <w:sz w:val="20"/>
          <w:sz w:val="20"/>
          <w:szCs w:val="20"/>
          <w:rtl w:val="true"/>
        </w:rPr>
        <w:t xml:space="preserve">، تحریر الأحکام </w:t>
      </w:r>
      <w:r>
        <w:rPr>
          <w:rFonts w:eastAsia="IRNazanin" w:cs="IRNazanin"/>
          <w:b w:val="false"/>
          <w:bCs w:val="false"/>
          <w:i w:val="false"/>
          <w:iCs w:val="false"/>
          <w:color w:val="333333"/>
          <w:sz w:val="20"/>
          <w:szCs w:val="20"/>
        </w:rPr>
        <w:t>536:2</w:t>
      </w:r>
      <w:r>
        <w:rPr>
          <w:rFonts w:ascii="IRNazanin" w:hAnsi="IRNazanin" w:eastAsia="IRNazanin"/>
          <w:b w:val="false"/>
          <w:b w:val="false"/>
          <w:bCs w:val="false"/>
          <w:i w:val="false"/>
          <w:i w:val="false"/>
          <w:iCs w:val="false"/>
          <w:color w:val="333333"/>
          <w:sz w:val="20"/>
          <w:sz w:val="20"/>
          <w:szCs w:val="20"/>
          <w:rtl w:val="true"/>
        </w:rPr>
        <w:t xml:space="preserve">، إیضاح الفوائد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فی فقه الشافعی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154:14</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المبدع فی شرح المقنع </w:t>
      </w:r>
      <w:r>
        <w:rPr>
          <w:rFonts w:eastAsia="IRNazanin" w:cs="IRNazanin"/>
          <w:b w:val="false"/>
          <w:bCs w:val="false"/>
          <w:i w:val="false"/>
          <w:iCs w:val="false"/>
          <w:color w:val="333333"/>
          <w:sz w:val="20"/>
          <w:szCs w:val="20"/>
        </w:rPr>
        <w:t>303:4</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یجز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ما أثبتناه</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فقه الشافعی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523:4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للشافعی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فی فقه الشافعی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468:3</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154:14</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ردّ المحتار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فقه أحمد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فقه الشافعی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Pr>
        <w:t>584:1</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51:26</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51:26</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51:26</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51:26</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الصغیر فی شرح المختصر النافع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243:14</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الصغیر فی شرح المختصر النافع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52:26</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52:26</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یدلّ علیه أیضاً الخطاب المذکور فی الآیة الشریفة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آنستم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متوجّه إلی الأولیاء من دون تقیید، و البیّنة إحدی طرق الاستیناس شرعاً، فتأمّل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60:12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52:26</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التنقیح فی شرح العروة الوثقی، کتاب الطهارة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155:4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وسائل الشیعة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52:26</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60:12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التنقیح فی شرح العروة الوثقی، کتاب الطهارة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 التقلید للفاضل اللنکرانی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الإسلامی و أدلّته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Pr>
        <w:t>372:3</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القاموس المحیط </w:t>
      </w:r>
      <w:r>
        <w:rPr>
          <w:rFonts w:eastAsia="IRNazanin" w:cs="IRNazanin"/>
          <w:b w:val="false"/>
          <w:bCs w:val="false"/>
          <w:i w:val="false"/>
          <w:iCs w:val="false"/>
          <w:color w:val="333333"/>
          <w:sz w:val="20"/>
          <w:szCs w:val="20"/>
        </w:rPr>
        <w:t>239:4</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1086:2</w:t>
      </w:r>
      <w:r>
        <w:rPr>
          <w:rFonts w:ascii="IRNazanin" w:hAnsi="IRNazanin" w:eastAsia="IRNazanin"/>
          <w:b w:val="false"/>
          <w:b w:val="false"/>
          <w:bCs w:val="false"/>
          <w:i w:val="false"/>
          <w:i w:val="false"/>
          <w:iCs w:val="false"/>
          <w:color w:val="333333"/>
          <w:sz w:val="20"/>
          <w:sz w:val="20"/>
          <w:szCs w:val="20"/>
          <w:rtl w:val="true"/>
        </w:rPr>
        <w:t>، القاموس الجامع للمصطلحات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القاموس الفقهی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معجم المصطلحات و الألفاظ الفقهیّة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1086:2</w:t>
      </w:r>
      <w:r>
        <w:rPr>
          <w:rFonts w:ascii="IRNazanin" w:hAnsi="IRNazanin" w:eastAsia="IRNazanin"/>
          <w:b w:val="false"/>
          <w:b w:val="false"/>
          <w:bCs w:val="false"/>
          <w:i w:val="false"/>
          <w:i w:val="false"/>
          <w:iCs w:val="false"/>
          <w:color w:val="333333"/>
          <w:sz w:val="20"/>
          <w:sz w:val="20"/>
          <w:szCs w:val="20"/>
          <w:rtl w:val="true"/>
        </w:rPr>
        <w:t xml:space="preserve">، معجم المصطلحات و الألفاظ الفقهیّة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1577:2</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347:18</w:t>
      </w:r>
      <w:r>
        <w:rPr>
          <w:rFonts w:ascii="IRNazanin" w:hAnsi="IRNazanin" w:eastAsia="IRNazanin"/>
          <w:b w:val="false"/>
          <w:b w:val="false"/>
          <w:bCs w:val="false"/>
          <w:i w:val="false"/>
          <w:i w:val="false"/>
          <w:iCs w:val="false"/>
          <w:color w:val="333333"/>
          <w:sz w:val="20"/>
          <w:sz w:val="20"/>
          <w:szCs w:val="20"/>
          <w:rtl w:val="true"/>
        </w:rPr>
        <w:t xml:space="preserve">، معجم المصطلحات و الألفاظ الفقهیّة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الإنسان یحتاج فی حیاته إلی التعامل مع الآخرین أخذاً و عطاءً، و هو فی تعامله هذا قد لا یملک الوسائل المطلوبة لذلک التعامل من بیع و شراء و قرض و اقتراض و غیرها، و لذلک کان لا بدّ من وجود فکرة الضمان حفظاً للحقوق و الأموال، و لا یمکن قیام الحیاة بدونه، و بواسطة الضمان یأمن الإنسان علی حقّه من الضّیاع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 شرّع الضمان حفظاً للحقوق و رعایة للعهود، و جبراً للإضرار</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308:5</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379:3</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171:4</w:t>
      </w:r>
      <w:r>
        <w:rPr>
          <w:rFonts w:ascii="IRNazanin" w:hAnsi="IRNazanin" w:eastAsia="IRNazanin"/>
          <w:b w:val="false"/>
          <w:b w:val="false"/>
          <w:bCs w:val="false"/>
          <w:i w:val="false"/>
          <w:i w:val="false"/>
          <w:iCs w:val="false"/>
          <w:color w:val="333333"/>
          <w:sz w:val="20"/>
          <w:sz w:val="20"/>
          <w:szCs w:val="20"/>
          <w:rtl w:val="true"/>
        </w:rPr>
        <w:t>، 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245:13</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399:5</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114:26</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المضاربة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الضّمان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أنّه أمر عقلائی شائع بینهم و الشریعة قد قرّرته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Pr>
        <w:t>171:6</w:t>
      </w:r>
      <w:r>
        <w:rPr>
          <w:rFonts w:ascii="IRNazanin" w:hAnsi="IRNazanin" w:eastAsia="IRNazanin"/>
          <w:b w:val="false"/>
          <w:b w:val="false"/>
          <w:bCs w:val="false"/>
          <w:i w:val="false"/>
          <w:i w:val="false"/>
          <w:iCs w:val="false"/>
          <w:color w:val="333333"/>
          <w:sz w:val="20"/>
          <w:sz w:val="20"/>
          <w:szCs w:val="20"/>
          <w:rtl w:val="true"/>
        </w:rPr>
        <w:t xml:space="preserve">، تفسیر الکشّاف </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Pr>
        <w:t>86:10</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150:13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الضمان،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مسند الإمام أحمد </w:t>
      </w:r>
      <w:r>
        <w:rPr>
          <w:rFonts w:eastAsia="IRNazanin" w:cs="IRNazanin"/>
          <w:b w:val="false"/>
          <w:bCs w:val="false"/>
          <w:i w:val="false"/>
          <w:iCs w:val="false"/>
          <w:color w:val="333333"/>
          <w:sz w:val="20"/>
          <w:szCs w:val="20"/>
        </w:rPr>
        <w:t>304:8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22357</w:t>
      </w:r>
      <w:r>
        <w:rPr>
          <w:rFonts w:ascii="IRNazanin" w:hAnsi="IRNazanin" w:eastAsia="IRNazanin"/>
          <w:b w:val="false"/>
          <w:b w:val="false"/>
          <w:bCs w:val="false"/>
          <w:i w:val="false"/>
          <w:i w:val="false"/>
          <w:iCs w:val="false"/>
          <w:color w:val="333333"/>
          <w:sz w:val="20"/>
          <w:sz w:val="20"/>
          <w:szCs w:val="20"/>
          <w:rtl w:val="true"/>
        </w:rPr>
        <w:t xml:space="preserve">، و سنن التزمذی </w:t>
      </w:r>
      <w:r>
        <w:rPr>
          <w:rFonts w:eastAsia="IRNazanin" w:cs="IRNazanin"/>
          <w:b w:val="false"/>
          <w:bCs w:val="false"/>
          <w:i w:val="false"/>
          <w:iCs w:val="false"/>
          <w:color w:val="333333"/>
          <w:sz w:val="20"/>
          <w:szCs w:val="20"/>
        </w:rPr>
        <w:t>433:4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xml:space="preserve">، و السنن الکبری للبیهقی </w:t>
      </w:r>
      <w:r>
        <w:rPr>
          <w:rFonts w:eastAsia="IRNazanin" w:cs="IRNazanin"/>
          <w:b w:val="false"/>
          <w:bCs w:val="false"/>
          <w:i w:val="false"/>
          <w:iCs w:val="false"/>
          <w:color w:val="333333"/>
          <w:sz w:val="20"/>
          <w:szCs w:val="20"/>
        </w:rPr>
        <w:t>441:8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11586</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322:2</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282:14</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550:2</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291:14</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308:5</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174:4</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 کفایة الأحکام </w:t>
      </w:r>
      <w:r>
        <w:rPr>
          <w:rFonts w:eastAsia="IRNazanin" w:cs="IRNazanin"/>
          <w:b w:val="false"/>
          <w:bCs w:val="false"/>
          <w:i w:val="false"/>
          <w:iCs w:val="false"/>
          <w:color w:val="333333"/>
          <w:sz w:val="20"/>
          <w:szCs w:val="20"/>
        </w:rPr>
        <w:t>592:1</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مفتاح الکرامة </w:t>
      </w:r>
      <w:r>
        <w:rPr>
          <w:rFonts w:eastAsia="IRNazanin" w:cs="IRNazanin"/>
          <w:b w:val="false"/>
          <w:bCs w:val="false"/>
          <w:i w:val="false"/>
          <w:iCs w:val="false"/>
          <w:color w:val="333333"/>
          <w:sz w:val="20"/>
          <w:szCs w:val="20"/>
        </w:rPr>
        <w:t>356:5</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260:9</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115:26</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401:5</w:t>
      </w:r>
      <w:r>
        <w:rPr>
          <w:rFonts w:ascii="IRNazanin" w:hAnsi="IRNazanin" w:eastAsia="IRNazanin"/>
          <w:b w:val="false"/>
          <w:b w:val="false"/>
          <w:bCs w:val="false"/>
          <w:i w:val="false"/>
          <w:i w:val="false"/>
          <w:iCs w:val="false"/>
          <w:color w:val="333333"/>
          <w:sz w:val="20"/>
          <w:sz w:val="20"/>
          <w:szCs w:val="20"/>
          <w:rtl w:val="true"/>
        </w:rPr>
        <w:t>، وسیلة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251:13</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تفصیل الشریعة، کتاب المضاربة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الضمان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572:8</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251:13</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217:20</w:t>
      </w:r>
      <w:r>
        <w:rPr>
          <w:rFonts w:ascii="IRNazanin" w:hAnsi="IRNazanin" w:eastAsia="IRNazanin"/>
          <w:b w:val="false"/>
          <w:b w:val="false"/>
          <w:bCs w:val="false"/>
          <w:i w:val="false"/>
          <w:i w:val="false"/>
          <w:iCs w:val="false"/>
          <w:color w:val="333333"/>
          <w:sz w:val="20"/>
          <w:sz w:val="20"/>
          <w:szCs w:val="20"/>
          <w:rtl w:val="true"/>
        </w:rPr>
        <w:t>، الفقه للسیّد الشیرازی، کتاب الضمان و الحوالة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الحقیقة اشتغال الذمّة نوع من التصرّف المالی و الصبیّ محجور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185:14</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268:12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 شروطه،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143:13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الحجر،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143:13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الحجر،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الحقّ فإنّ إذن الولیّ غیر قابل لرفع الحجر الذی جعله الشارع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ذکره المحقّق العراقی من عموم ولایة الولیّ، مخدوش جدّاً، فإنّ الولایة مرتبطة بما إذا کان التصرّف من جانب الولیّ أو رأی مصلحة فی تصرّف من تصرّفاته فأجازه، و أمّا الإذن البدوی للتصرّف الذی لا یعلم أنّه مصلحة للصبیّ أم لا فلیس بداخل فی ولایة الولیّ قطعاً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115:26</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251:13</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المبانی فی شرح العروة الوثقی، کتاب المساقاة </w:t>
      </w:r>
      <w:r>
        <w:rPr>
          <w:rFonts w:eastAsia="IRNazanin" w:cs="IRNazanin"/>
          <w:b w:val="false"/>
          <w:bCs w:val="false"/>
          <w:i w:val="false"/>
          <w:iCs w:val="false"/>
          <w:color w:val="333333"/>
          <w:sz w:val="20"/>
          <w:szCs w:val="20"/>
        </w:rPr>
        <w:t>394:31</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للانصراف، و قد مرّ أنّ الصبیّ محجور علیه شرعاً، و الإذن لا یوجب سلب الحجر عنه، فهل تصرّفه مع الإذن تصرّف المحجور أو تصرّف من غیر المحجور؟ لا شکّ أنّ التصرّف الصادر منه هو التصرّف من المحجور و إن إذن له الصبیّ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ظهور للآیة فی ذلک و الآیة متعرّضة للابتلاء فقط و حتّی لا یستفاد منها أنّ الابتلاء فی فرض وجود المصلحة دالّ علی الصحّة، فالآیة غیر متعرّضة لصحّة البیع أو التصرّف الصادر من الصبیّ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251:13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217:20</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النجاة مع تعالیق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للسیّد الخوئی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المبانی، فی شرح العروة الوثقی، کتاب المساقاة </w:t>
      </w:r>
      <w:r>
        <w:rPr>
          <w:rFonts w:eastAsia="IRNazanin" w:cs="IRNazanin"/>
          <w:b w:val="false"/>
          <w:bCs w:val="false"/>
          <w:i w:val="false"/>
          <w:iCs w:val="false"/>
          <w:color w:val="333333"/>
          <w:sz w:val="20"/>
          <w:szCs w:val="20"/>
        </w:rPr>
        <w:t>394:31</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کتاب المضاربة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الضمان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النجاة مع تعالیق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للسّید الخوئی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150:13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الضمان،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أنّ موضوع الضمان إنّما هو فیما إذا کانت الذمّة مشغولة، و هذا لا یختصّ بحال الحیاة؛ فإنّ العقلاء یعتبرون اشتغالها حتّی بعد الممات، فالموضوع موجود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126:26</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487:5</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488:5</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إعانة الطالبین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فی فقه الشافعی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الجلیل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 مراراً</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257:14</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مهذّب الشّافعی </w:t>
      </w:r>
      <w:r>
        <w:rPr>
          <w:rFonts w:eastAsia="IRNazanin" w:cs="IRNazanin"/>
          <w:b w:val="false"/>
          <w:bCs w:val="false"/>
          <w:i w:val="false"/>
          <w:iCs w:val="false"/>
          <w:color w:val="333333"/>
          <w:sz w:val="20"/>
          <w:szCs w:val="20"/>
        </w:rPr>
        <w:t>307:6</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فقه أحمد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654:2</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الکبیر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179:14</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للطوسی </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434:14</w:t>
      </w:r>
      <w:r>
        <w:rPr>
          <w:rFonts w:ascii="IRNazanin" w:hAnsi="IRNazanin" w:eastAsia="IRNazanin"/>
          <w:b w:val="false"/>
          <w:b w:val="false"/>
          <w:bCs w:val="false"/>
          <w:i w:val="false"/>
          <w:i w:val="false"/>
          <w:iCs w:val="false"/>
          <w:color w:val="333333"/>
          <w:sz w:val="20"/>
          <w:sz w:val="20"/>
          <w:szCs w:val="20"/>
          <w:rtl w:val="true"/>
        </w:rPr>
        <w:t>، تحریر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575:2</w:t>
      </w:r>
      <w:r>
        <w:rPr>
          <w:rFonts w:ascii="IRNazanin" w:hAnsi="IRNazanin" w:eastAsia="IRNazanin"/>
          <w:b w:val="false"/>
          <w:b w:val="false"/>
          <w:bCs w:val="false"/>
          <w:i w:val="false"/>
          <w:i w:val="false"/>
          <w:iCs w:val="false"/>
          <w:color w:val="333333"/>
          <w:sz w:val="20"/>
          <w:sz w:val="20"/>
          <w:szCs w:val="20"/>
          <w:rtl w:val="true"/>
        </w:rPr>
        <w:t>، 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306:9</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160:26</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309:9</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308:9</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من المحتال فی العبارة هو المحال علیه، فإنّه یعتبر فیه عدم الحجر، و إلّا فالمحتال بمعنی الدائن لا معنی لهذا الاشتراط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للسّید الخوئی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المضاربة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الحوالة و الکفالة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302:20</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268:12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 شروطه،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305:3</w:t>
      </w:r>
      <w:r>
        <w:rPr>
          <w:rFonts w:ascii="IRNazanin" w:hAnsi="IRNazanin" w:eastAsia="IRNazanin"/>
          <w:b w:val="false"/>
          <w:b w:val="false"/>
          <w:bCs w:val="false"/>
          <w:i w:val="false"/>
          <w:i w:val="false"/>
          <w:iCs w:val="false"/>
          <w:color w:val="333333"/>
          <w:sz w:val="20"/>
          <w:sz w:val="20"/>
          <w:szCs w:val="20"/>
          <w:rtl w:val="true"/>
        </w:rPr>
        <w:t xml:space="preserve">، المبسوط للطوسی </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280:9</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160:26</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434:14</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357:5</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308:9</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402:1</w:t>
      </w:r>
      <w:r>
        <w:rPr>
          <w:rFonts w:ascii="IRNazanin" w:hAnsi="IRNazanin" w:eastAsia="IRNazanin"/>
          <w:b w:val="false"/>
          <w:b w:val="false"/>
          <w:bCs w:val="false"/>
          <w:i w:val="false"/>
          <w:i w:val="false"/>
          <w:iCs w:val="false"/>
          <w:color w:val="333333"/>
          <w:sz w:val="20"/>
          <w:sz w:val="20"/>
          <w:szCs w:val="20"/>
          <w:rtl w:val="true"/>
        </w:rPr>
        <w:t xml:space="preserve">، إیضاح الفوائد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 مفتاح الکرامة </w:t>
      </w:r>
      <w:r>
        <w:rPr>
          <w:rFonts w:eastAsia="IRNazanin" w:cs="IRNazanin"/>
          <w:b w:val="false"/>
          <w:bCs w:val="false"/>
          <w:i w:val="false"/>
          <w:iCs w:val="false"/>
          <w:color w:val="333333"/>
          <w:sz w:val="20"/>
          <w:szCs w:val="20"/>
        </w:rPr>
        <w:t>403:5</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441:14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160:26</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402:1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357:5</w:t>
      </w:r>
      <w:r>
        <w:rPr>
          <w:rFonts w:ascii="IRNazanin" w:hAnsi="IRNazanin" w:eastAsia="IRNazanin"/>
          <w:b w:val="false"/>
          <w:b w:val="false"/>
          <w:bCs w:val="false"/>
          <w:i w:val="false"/>
          <w:i w:val="false"/>
          <w:iCs w:val="false"/>
          <w:color w:val="333333"/>
          <w:sz w:val="20"/>
          <w:sz w:val="20"/>
          <w:szCs w:val="20"/>
          <w:rtl w:val="true"/>
        </w:rPr>
        <w:t xml:space="preserve">، إیضاح الفوائد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308:9</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442:14</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404:5</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491:5</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283:9</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لا یخلو من قوّة مع نقل الإجماع من قبل الشیخ و العلّامة علی اعتبار الرضا فیه، و التحقیق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فی صورة کونه بریئاً لا شکّ فی اعتبار رضاه، و أمّا إذا کانت ذمّته مشغولة بمثل ما أحال علیه المحیل فالظاهر عدم اعتباره، لأنّ حقیقة الحوالة فی هذه الصورة إنّما هی بمعنی کون المحیل مالکاً لما فی ذمّة المحال علیه، و علیه لا یعتبر فیها الرضی،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163:26</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المضاربة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الحوالة و الکفالة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404:4</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منهاج الصالحین </w:t>
      </w:r>
      <w:r>
        <w:rPr>
          <w:rFonts w:eastAsia="IRNazanin" w:cs="IRNazanin"/>
          <w:b w:val="false"/>
          <w:bCs w:val="false"/>
          <w:i w:val="false"/>
          <w:iCs w:val="false"/>
          <w:color w:val="333333"/>
          <w:sz w:val="20"/>
          <w:szCs w:val="20"/>
        </w:rPr>
        <w:t>267:9</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ردّ المحتار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فی فقه الشافعی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130:14</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فقه الشافعی </w:t>
      </w:r>
      <w:r>
        <w:rPr>
          <w:rFonts w:eastAsia="IRNazanin" w:cs="IRNazanin"/>
          <w:b w:val="false"/>
          <w:bCs w:val="false"/>
          <w:i w:val="false"/>
          <w:iCs w:val="false"/>
          <w:color w:val="333333"/>
          <w:sz w:val="20"/>
          <w:szCs w:val="20"/>
        </w:rPr>
        <w:t>287:6</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1347:2</w:t>
      </w:r>
      <w:r>
        <w:rPr>
          <w:rFonts w:ascii="IRNazanin" w:hAnsi="IRNazanin" w:eastAsia="IRNazanin"/>
          <w:b w:val="false"/>
          <w:b w:val="false"/>
          <w:bCs w:val="false"/>
          <w:i w:val="false"/>
          <w:i w:val="false"/>
          <w:iCs w:val="false"/>
          <w:color w:val="333333"/>
          <w:sz w:val="20"/>
          <w:sz w:val="20"/>
          <w:szCs w:val="20"/>
          <w:rtl w:val="true"/>
        </w:rPr>
        <w:t>، مختار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المضاربة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الحوالة و الکفالة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387:14</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أبواب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أحکام الضمان</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392:14</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174:4</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62:21</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185:26</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للسیّد الخوئی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النجاة مع تعالیق الإمام الخمینی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المضاربة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الحوالة و الکفالة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العناوین </w:t>
      </w:r>
      <w:r>
        <w:rPr>
          <w:rFonts w:eastAsia="IRNazanin" w:cs="IRNazanin"/>
          <w:b w:val="false"/>
          <w:bCs w:val="false"/>
          <w:i w:val="false"/>
          <w:iCs w:val="false"/>
          <w:color w:val="333333"/>
          <w:sz w:val="20"/>
          <w:szCs w:val="20"/>
        </w:rPr>
        <w:t>674:2</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المجلّة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مباحث البیع و الحجر و البلوغ و الحوالة و الإجارة و الرهن و غیرها</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392:14</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289:9</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340:20</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منهاج الصالحین </w:t>
      </w:r>
      <w:r>
        <w:rPr>
          <w:rFonts w:eastAsia="IRNazanin" w:cs="IRNazanin"/>
          <w:b w:val="false"/>
          <w:bCs w:val="false"/>
          <w:i w:val="false"/>
          <w:iCs w:val="false"/>
          <w:color w:val="333333"/>
          <w:sz w:val="20"/>
          <w:szCs w:val="20"/>
        </w:rPr>
        <w:t>275:9</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387:5</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المضاربة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الحوالة و الوکالة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341:20</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فقه الشافعی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و تلخیص</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290:14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 الشرح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290:14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 الإنصاف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 الکافی فی فقه أحمد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 البیان فی فقه الشافعی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 الحاوی الکبیر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الإسلامی و أدلّته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605:4</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 للمطرّزی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 التعریفات للجرجانی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 طلبة الطلبة للنّفسیّ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القاموس المحیط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للسیّد الخوئی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 الآیات الشریفة تدلّ علی أصل مشروعیة الصلح بین الشخصین أو بین الزوجة و الزوج أو بین الطائفتین، و لکنّها لا تدلّ علی مشروعیّة عقد الصلح،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164:13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الصّلح،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443:13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الصّلح،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535:5</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17:16</w:t>
      </w:r>
      <w:r>
        <w:rPr>
          <w:rFonts w:ascii="IRNazanin" w:hAnsi="IRNazanin" w:eastAsia="IRNazanin"/>
          <w:b w:val="false"/>
          <w:b w:val="false"/>
          <w:bCs w:val="false"/>
          <w:i w:val="false"/>
          <w:i w:val="false"/>
          <w:iCs w:val="false"/>
          <w:color w:val="333333"/>
          <w:sz w:val="20"/>
          <w:sz w:val="20"/>
          <w:szCs w:val="20"/>
          <w:rtl w:val="true"/>
        </w:rPr>
        <w:t xml:space="preserve">، مفتاح الکرامة </w:t>
      </w:r>
      <w:r>
        <w:rPr>
          <w:rFonts w:eastAsia="IRNazanin" w:cs="IRNazanin"/>
          <w:b w:val="false"/>
          <w:bCs w:val="false"/>
          <w:i w:val="false"/>
          <w:iCs w:val="false"/>
          <w:color w:val="333333"/>
          <w:sz w:val="20"/>
          <w:szCs w:val="20"/>
        </w:rPr>
        <w:t>461:5</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للسیّد الخوئی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النجاة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185:14</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185:14</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143:13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الحجر،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182:6</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درر الأحکام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المبدع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الإقناع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کشاف القناع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المبدع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w:t>
      </w:r>
      <w:r>
        <w:rPr>
          <w:rFonts w:eastAsia="IRNazanin" w:cs="IRNazanin"/>
          <w:b w:val="false"/>
          <w:bCs w:val="false"/>
          <w:i w:val="false"/>
          <w:iCs w:val="false"/>
          <w:color w:val="333333"/>
          <w:sz w:val="20"/>
          <w:szCs w:val="20"/>
        </w:rPr>
        <w:t>457:3</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الکافی فی فقه أحمد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الوسیط للغزالی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إعانة الطالبین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المنهجیّ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xml:space="preserve">، بلغة السالک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الشرح الصغیر فی ضمن بلغة السالک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 القوانین الفقهیّة لابن جزّی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القاموس المحیط </w:t>
      </w:r>
      <w:r>
        <w:rPr>
          <w:rFonts w:eastAsia="IRNazanin" w:cs="IRNazanin"/>
          <w:b w:val="false"/>
          <w:bCs w:val="false"/>
          <w:i w:val="false"/>
          <w:iCs w:val="false"/>
          <w:color w:val="333333"/>
          <w:sz w:val="20"/>
          <w:szCs w:val="20"/>
        </w:rPr>
        <w:t>318:3</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591:13</w:t>
      </w:r>
      <w:r>
        <w:rPr>
          <w:rFonts w:ascii="IRNazanin" w:hAnsi="IRNazanin" w:eastAsia="IRNazanin"/>
          <w:b w:val="false"/>
          <w:b w:val="false"/>
          <w:bCs w:val="false"/>
          <w:i w:val="false"/>
          <w:i w:val="false"/>
          <w:iCs w:val="false"/>
          <w:color w:val="333333"/>
          <w:sz w:val="20"/>
          <w:sz w:val="20"/>
          <w:szCs w:val="20"/>
          <w:rtl w:val="true"/>
        </w:rPr>
        <w:t>، 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إیضاح الفوائد </w:t>
      </w:r>
      <w:r>
        <w:rPr>
          <w:rFonts w:eastAsia="IRNazanin" w:cs="IRNazanin"/>
          <w:b w:val="false"/>
          <w:bCs w:val="false"/>
          <w:i w:val="false"/>
          <w:iCs w:val="false"/>
          <w:color w:val="333333"/>
          <w:sz w:val="20"/>
          <w:szCs w:val="20"/>
        </w:rPr>
        <w:t>298:2</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543:2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النجاة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573:1</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307:16</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174:13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الشرکة،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ما بعدها، أبواب کتاب الشرکة، و مستدرک الوسائل </w:t>
      </w:r>
      <w:r>
        <w:rPr>
          <w:rFonts w:eastAsia="IRNazanin" w:cs="IRNazanin"/>
          <w:b w:val="false"/>
          <w:bCs w:val="false"/>
          <w:i w:val="false"/>
          <w:iCs w:val="false"/>
          <w:color w:val="333333"/>
          <w:sz w:val="20"/>
          <w:szCs w:val="20"/>
        </w:rPr>
        <w:t>449:13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أبواب کتاب الشرکة</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307:16</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155:21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325:2</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307:16</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وسیلة النجاة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591:1</w:t>
      </w:r>
      <w:r>
        <w:rPr>
          <w:rFonts w:ascii="IRNazanin" w:hAnsi="IRNazanin" w:eastAsia="IRNazanin"/>
          <w:b w:val="false"/>
          <w:b w:val="false"/>
          <w:bCs w:val="false"/>
          <w:i w:val="false"/>
          <w:i w:val="false"/>
          <w:iCs w:val="false"/>
          <w:color w:val="333333"/>
          <w:sz w:val="20"/>
          <w:sz w:val="20"/>
          <w:szCs w:val="20"/>
          <w:rtl w:val="true"/>
        </w:rPr>
        <w:t>، تفصیل الشریعة، کتاب المضاربة، الشرکة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 شبهة کانت موجودة فی بالی من قدیم الأیّام، و هی أنّه ما هو دلیل هذا الحکم؟ و القول بأنّه تصرّف فی مال الغیر من دون إذنه، ممنوع جدّاً، فإنّ الشریک یستحقّ عرفاً و عقلائیاً أن یتصرّف فی حصّته بمقدار حصّته و لا قبح فی ذلک 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مضافاً إلی أنّه لو کان تصرّف کلّ واحد من الشرکاء مشروطاً بإذن الآخرین؛ للزم الدور الباطل کما هو واضح، و بناءً علی ذلک لا یحتاج الشریک إلی إذن الشریک الآخر اللّهمّ إلاّ أن یکون فی المقام إجماع و هو کما تری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149:21</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376:6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المضاربة، الشرکة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163:21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 جواهر الکلام </w:t>
      </w:r>
      <w:r>
        <w:rPr>
          <w:rFonts w:eastAsia="IRNazanin" w:cs="IRNazanin"/>
          <w:b w:val="false"/>
          <w:bCs w:val="false"/>
          <w:i w:val="false"/>
          <w:iCs w:val="false"/>
          <w:color w:val="333333"/>
          <w:sz w:val="20"/>
          <w:szCs w:val="20"/>
        </w:rPr>
        <w:t>305:26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المضاربة، الشرکة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هذه التسمیة،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عنان الدّابّة، إمّا لاستواء الشریکین فی ولایة الفسخ و التصرّف و استحقاق الربح علی قدر رأس المال کاستواء طرفی العنان، أو تساوی الفارسین إذا سوّیا بین فرسیهما، و تساویا فی السیر یکونان سواء، و إمّا لأنّ لکلّ واحد منهما أن یمنع الآخر من التصرّف کما یشتهی و یرید، کما یمنع عنان الدّابّة، و إمّا لأِنَّ الأخذ بعنان الدابّة حبس إحدی یدیه علی العنان، و یده الاُخری مطلقة یستعملها کیف یشاء، کذلک الشریک یمنع بالشرکة نفسه عن التصرّف فی المشترک کما یشتهی، و هو مطلق الید و التصرّف فی سائر أمواله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161:21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المجلّة </w:t>
      </w:r>
      <w:r>
        <w:rPr>
          <w:rFonts w:eastAsia="IRNazanin" w:cs="IRNazanin"/>
          <w:b w:val="false"/>
          <w:bCs w:val="false"/>
          <w:i w:val="false"/>
          <w:iCs w:val="false"/>
          <w:color w:val="333333"/>
          <w:sz w:val="20"/>
          <w:szCs w:val="20"/>
        </w:rPr>
        <w:t>474:3</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299:26</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312:16</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326:2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323:16</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151:21</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279:5</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النجاة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593:1</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المضاربة، الشرکة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351:16</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168:21</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الأسرار عن اصول البزدوی،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شرح التلویح علی التوضیح </w:t>
      </w:r>
      <w:r>
        <w:rPr>
          <w:rFonts w:eastAsia="IRNazanin" w:cs="IRNazanin"/>
          <w:b w:val="false"/>
          <w:bCs w:val="false"/>
          <w:i w:val="false"/>
          <w:iCs w:val="false"/>
          <w:color w:val="333333"/>
          <w:sz w:val="20"/>
          <w:szCs w:val="20"/>
        </w:rPr>
        <w:t>336:2</w:t>
      </w:r>
      <w:r>
        <w:rPr>
          <w:rFonts w:ascii="IRNazanin" w:hAnsi="IRNazanin" w:eastAsia="IRNazanin"/>
          <w:b w:val="false"/>
          <w:b w:val="false"/>
          <w:bCs w:val="false"/>
          <w:i w:val="false"/>
          <w:i w:val="false"/>
          <w:iCs w:val="false"/>
          <w:color w:val="333333"/>
          <w:sz w:val="20"/>
          <w:sz w:val="20"/>
          <w:szCs w:val="20"/>
          <w:rtl w:val="true"/>
        </w:rPr>
        <w:t xml:space="preserve">، التلویح إلی کشف حقایق التنقیح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الکبیر لابن قدامة </w:t>
      </w:r>
      <w:r>
        <w:rPr>
          <w:rFonts w:eastAsia="IRNazanin" w:cs="IRNazanin"/>
          <w:b w:val="false"/>
          <w:bCs w:val="false"/>
          <w:i w:val="false"/>
          <w:iCs w:val="false"/>
          <w:color w:val="333333"/>
          <w:sz w:val="20"/>
          <w:szCs w:val="20"/>
        </w:rPr>
        <w:t>533:4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فی العبارة</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الوسیط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311:14</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العزیز شرح الوجیز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339:14</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العزیز شرح الوجیز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فقه الشافعی </w:t>
      </w:r>
      <w:r>
        <w:rPr>
          <w:rFonts w:eastAsia="IRNazanin" w:cs="IRNazanin"/>
          <w:b w:val="false"/>
          <w:bCs w:val="false"/>
          <w:i w:val="false"/>
          <w:iCs w:val="false"/>
          <w:color w:val="333333"/>
          <w:sz w:val="20"/>
          <w:szCs w:val="20"/>
        </w:rPr>
        <w:t>389:6</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665:2</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الکبیر مع حاشیة الدسوقی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الصغیر مع بلغة السالک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شرح بدایة المبتدیّ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المحتار </w:t>
      </w:r>
      <w:r>
        <w:rPr>
          <w:rFonts w:eastAsia="IRNazanin" w:cs="IRNazanin"/>
          <w:b w:val="false"/>
          <w:bCs w:val="false"/>
          <w:i w:val="false"/>
          <w:iCs w:val="false"/>
          <w:color w:val="333333"/>
          <w:sz w:val="20"/>
          <w:szCs w:val="20"/>
        </w:rPr>
        <w:t>504:4</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الکبیر المطبوع مع المغنی </w:t>
      </w:r>
      <w:r>
        <w:rPr>
          <w:rFonts w:eastAsia="IRNazanin" w:cs="IRNazanin"/>
          <w:b w:val="false"/>
          <w:bCs w:val="false"/>
          <w:i w:val="false"/>
          <w:iCs w:val="false"/>
          <w:color w:val="333333"/>
          <w:sz w:val="20"/>
          <w:szCs w:val="20"/>
        </w:rPr>
        <w:t>533:4</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الإقناع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التوضیح </w:t>
      </w:r>
      <w:r>
        <w:rPr>
          <w:rFonts w:eastAsia="IRNazanin" w:cs="IRNazanin"/>
          <w:b w:val="false"/>
          <w:bCs w:val="false"/>
          <w:i w:val="false"/>
          <w:iCs w:val="false"/>
          <w:color w:val="333333"/>
          <w:sz w:val="20"/>
          <w:szCs w:val="20"/>
        </w:rPr>
        <w:t>693:2</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المبدع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قتیبة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1072:2</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 xml:space="preserve">، وسیلة النجاة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577:1</w:t>
      </w:r>
      <w:r>
        <w:rPr>
          <w:rFonts w:ascii="IRNazanin" w:hAnsi="IRNazanin" w:eastAsia="IRNazanin"/>
          <w:b w:val="false"/>
          <w:b w:val="false"/>
          <w:bCs w:val="false"/>
          <w:i w:val="false"/>
          <w:i w:val="false"/>
          <w:iCs w:val="false"/>
          <w:color w:val="333333"/>
          <w:sz w:val="20"/>
          <w:sz w:val="20"/>
          <w:szCs w:val="20"/>
          <w:rtl w:val="true"/>
        </w:rPr>
        <w:t xml:space="preserve">، منهاج الصالحین للسیّد الخوئی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 مبانی منهاج الصالحین </w:t>
      </w:r>
      <w:r>
        <w:rPr>
          <w:rFonts w:eastAsia="IRNazanin" w:cs="IRNazanin"/>
          <w:b w:val="false"/>
          <w:bCs w:val="false"/>
          <w:i w:val="false"/>
          <w:iCs w:val="false"/>
          <w:color w:val="333333"/>
          <w:sz w:val="20"/>
          <w:szCs w:val="20"/>
        </w:rPr>
        <w:t>527:8</w:t>
      </w:r>
      <w:r>
        <w:rPr>
          <w:rFonts w:ascii="IRNazanin" w:hAnsi="IRNazanin" w:eastAsia="IRNazanin"/>
          <w:b w:val="false"/>
          <w:b w:val="false"/>
          <w:bCs w:val="false"/>
          <w:i w:val="false"/>
          <w:i w:val="false"/>
          <w:iCs w:val="false"/>
          <w:color w:val="333333"/>
          <w:sz w:val="20"/>
          <w:sz w:val="20"/>
          <w:szCs w:val="20"/>
          <w:rtl w:val="true"/>
        </w:rPr>
        <w:t>، تفصیل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المضاربة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241:12</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المبانی فی شرح العروة الوثقی، کتاب المضاربة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یذهب علیک أنّه بناء علی استفادة شرطیة الرشد فقط من الآیة الشریفة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ابْتَلُوا الْیَتَامَی حَتَّی إِذَا بَلَغُوا النِّکَاحَ فَإِنْ ءَانَسْتُم مِنْهُمْ رُشْدا فَادْفَعُوا إِلَیْهِمْ أَمْوَالَهُمْ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کون الملاک الواحد الأساسی فی جواز أو وجوب دفع الأموال إلیهم هو الرشد فقط، تصحّ مضاربته أیضاً إذا کان رشیداً، و کذلک یصحّ کلّ تصرّف مالی منه،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430:7</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430:7</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185:14</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143:13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الحجر،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543:3</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264:5</w:t>
      </w:r>
      <w:r>
        <w:rPr>
          <w:rFonts w:ascii="IRNazanin" w:hAnsi="IRNazanin" w:eastAsia="IRNazanin"/>
          <w:b w:val="false"/>
          <w:b w:val="false"/>
          <w:bCs w:val="false"/>
          <w:i w:val="false"/>
          <w:i w:val="false"/>
          <w:iCs w:val="false"/>
          <w:color w:val="333333"/>
          <w:sz w:val="20"/>
          <w:sz w:val="20"/>
          <w:szCs w:val="20"/>
          <w:rtl w:val="true"/>
        </w:rPr>
        <w:t xml:space="preserve">، وسیلة النجاة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589:1</w:t>
      </w:r>
      <w:r>
        <w:rPr>
          <w:rFonts w:ascii="IRNazanin" w:hAnsi="IRNazanin" w:eastAsia="IRNazanin"/>
          <w:b w:val="false"/>
          <w:b w:val="false"/>
          <w:bCs w:val="false"/>
          <w:i w:val="false"/>
          <w:i w:val="false"/>
          <w:iCs w:val="false"/>
          <w:color w:val="333333"/>
          <w:sz w:val="20"/>
          <w:sz w:val="20"/>
          <w:szCs w:val="20"/>
          <w:rtl w:val="true"/>
        </w:rPr>
        <w:t>، تفصیل الشریعة، کتاب المضاربة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الثانی،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 فی فقه الشافعیّ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المناسب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مال الطفل و المجنون</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العزیز شرح الوجیز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295:4</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المحتاج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فقه الشافعی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السالک و الشرح الکبیر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القوانین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مواهب الجلیل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حاشیة الدسوقی </w:t>
      </w:r>
      <w:r>
        <w:rPr>
          <w:rFonts w:eastAsia="IRNazanin" w:cs="IRNazanin"/>
          <w:b w:val="false"/>
          <w:bCs w:val="false"/>
          <w:i w:val="false"/>
          <w:iCs w:val="false"/>
          <w:color w:val="333333"/>
          <w:sz w:val="20"/>
          <w:szCs w:val="20"/>
        </w:rPr>
        <w:t>296:3</w:t>
      </w:r>
      <w:r>
        <w:rPr>
          <w:rFonts w:ascii="IRNazanin" w:hAnsi="IRNazanin" w:eastAsia="IRNazanin"/>
          <w:b w:val="false"/>
          <w:b w:val="false"/>
          <w:bCs w:val="false"/>
          <w:i w:val="false"/>
          <w:i w:val="false"/>
          <w:iCs w:val="false"/>
          <w:color w:val="333333"/>
          <w:sz w:val="20"/>
          <w:sz w:val="20"/>
          <w:szCs w:val="20"/>
          <w:rtl w:val="true"/>
        </w:rPr>
        <w:t xml:space="preserve">، حاشیة الخرشی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شرح بدایة المبتدی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الصغار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الکبیر مع المغنی </w:t>
      </w:r>
      <w:r>
        <w:rPr>
          <w:rFonts w:eastAsia="IRNazanin" w:cs="IRNazanin"/>
          <w:b w:val="false"/>
          <w:bCs w:val="false"/>
          <w:i w:val="false"/>
          <w:iCs w:val="false"/>
          <w:color w:val="333333"/>
          <w:sz w:val="20"/>
          <w:szCs w:val="20"/>
        </w:rPr>
        <w:t>533:4</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الإقناع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المبدع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949:2</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179:3</w:t>
      </w:r>
      <w:r>
        <w:rPr>
          <w:rFonts w:ascii="IRNazanin" w:hAnsi="IRNazanin" w:eastAsia="IRNazanin"/>
          <w:b w:val="false"/>
          <w:b w:val="false"/>
          <w:bCs w:val="false"/>
          <w:i w:val="false"/>
          <w:i w:val="false"/>
          <w:iCs w:val="false"/>
          <w:color w:val="333333"/>
          <w:sz w:val="20"/>
          <w:sz w:val="20"/>
          <w:szCs w:val="20"/>
          <w:rtl w:val="true"/>
        </w:rPr>
        <w:t>، 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770:2</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267:5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203:13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المزارعة و المساقاة،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515:3</w:t>
      </w:r>
      <w:r>
        <w:rPr>
          <w:rFonts w:ascii="IRNazanin" w:hAnsi="IRNazanin" w:eastAsia="IRNazanin"/>
          <w:b w:val="false"/>
          <w:b w:val="false"/>
          <w:bCs w:val="false"/>
          <w:i w:val="false"/>
          <w:i w:val="false"/>
          <w:iCs w:val="false"/>
          <w:color w:val="333333"/>
          <w:sz w:val="20"/>
          <w:sz w:val="20"/>
          <w:szCs w:val="20"/>
          <w:rtl w:val="true"/>
        </w:rPr>
        <w:t>،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عدّة من الفقهاء </w:t>
      </w:r>
      <w:r>
        <w:rPr>
          <w:rFonts w:eastAsia="IRNazanin" w:cs="IRNazanin"/>
          <w:b w:val="false"/>
          <w:bCs w:val="false"/>
          <w:i w:val="false"/>
          <w:iCs w:val="false"/>
          <w:color w:val="333333"/>
          <w:sz w:val="20"/>
          <w:szCs w:val="20"/>
        </w:rPr>
        <w:t>290:5</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 xml:space="preserve">، مفتاح الکرامة </w:t>
      </w:r>
      <w:r>
        <w:rPr>
          <w:rFonts w:eastAsia="IRNazanin" w:cs="IRNazanin"/>
          <w:b w:val="false"/>
          <w:bCs w:val="false"/>
          <w:i w:val="false"/>
          <w:iCs w:val="false"/>
          <w:color w:val="333333"/>
          <w:sz w:val="20"/>
          <w:szCs w:val="20"/>
        </w:rPr>
        <w:t>300:7</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المجلّة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یستفاد من هذا التعبیر أنّ بعضاً من الفقهاء یری صحّة مزارعة الصبیّ الممیّز و لو من دون إذن ولیّه، و بناءً علیه یأتی هذا السؤال، و هو أنّه ما هو الفرق بین المضاربة و المزارعة؟ و کیف ادّعی وجود الإجماع فی المضاربة مع وجود الخلاف فی المزارعة و الحال أنّ کلیهما تصرّف 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276:4</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54:13</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603:1</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المضاربة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المزارعة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268:12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142:13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الحجر،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کنز العرفان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xml:space="preserve">، تراث الشیخ الأعظم، کتاب المکاسب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المجلّة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المکاسب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حاشیة کتاب المکاسب للمحقّق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حاشیة کتاب المکاسب للسیّد الیزدی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حاشیة کتاب المکاسب للمحقّق الإیروانی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xml:space="preserve">، حاشیة کتاب المکاسب للمحقّق الأصفهانی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کتاب البیع للإمام الخمینی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مصباح الفقاهة </w:t>
      </w:r>
      <w:r>
        <w:rPr>
          <w:rFonts w:eastAsia="IRNazanin" w:cs="IRNazanin"/>
          <w:b w:val="false"/>
          <w:bCs w:val="false"/>
          <w:i w:val="false"/>
          <w:iCs w:val="false"/>
          <w:color w:val="333333"/>
          <w:sz w:val="20"/>
          <w:szCs w:val="20"/>
        </w:rPr>
        <w:t>534:2</w:t>
      </w:r>
      <w:r>
        <w:rPr>
          <w:rFonts w:ascii="IRNazanin" w:hAnsi="IRNazanin" w:eastAsia="IRNazanin"/>
          <w:b w:val="false"/>
          <w:b w:val="false"/>
          <w:bCs w:val="false"/>
          <w:i w:val="false"/>
          <w:i w:val="false"/>
          <w:iCs w:val="false"/>
          <w:color w:val="333333"/>
          <w:sz w:val="20"/>
          <w:sz w:val="20"/>
          <w:szCs w:val="20"/>
          <w:rtl w:val="true"/>
        </w:rPr>
        <w:t xml:space="preserve">، نهج الفقاهة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114:10</w:t>
      </w:r>
      <w:r>
        <w:rPr>
          <w:rFonts w:ascii="IRNazanin" w:hAnsi="IRNazanin" w:eastAsia="IRNazanin"/>
          <w:b w:val="false"/>
          <w:b w:val="false"/>
          <w:bCs w:val="false"/>
          <w:i w:val="false"/>
          <w:i w:val="false"/>
          <w:iCs w:val="false"/>
          <w:color w:val="333333"/>
          <w:sz w:val="20"/>
          <w:sz w:val="20"/>
          <w:szCs w:val="20"/>
          <w:rtl w:val="true"/>
        </w:rPr>
        <w:t xml:space="preserve">، مفتاح الکرامة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606:1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موسوعة الإمام الخوئی، المبانی فی شرح العروة الوثقی، کتاب المزارعة </w:t>
      </w:r>
      <w:r>
        <w:rPr>
          <w:rFonts w:eastAsia="IRNazanin" w:cs="IRNazanin"/>
          <w:b w:val="false"/>
          <w:bCs w:val="false"/>
          <w:i w:val="false"/>
          <w:iCs w:val="false"/>
          <w:color w:val="333333"/>
          <w:sz w:val="20"/>
          <w:szCs w:val="20"/>
        </w:rPr>
        <w:t>349:31</w:t>
      </w:r>
      <w:r>
        <w:rPr>
          <w:rFonts w:ascii="IRNazanin" w:hAnsi="IRNazanin" w:eastAsia="IRNazanin"/>
          <w:b w:val="false"/>
          <w:b w:val="false"/>
          <w:bCs w:val="false"/>
          <w:i w:val="false"/>
          <w:i w:val="false"/>
          <w:iCs w:val="false"/>
          <w:color w:val="333333"/>
          <w:sz w:val="20"/>
          <w:sz w:val="20"/>
          <w:szCs w:val="20"/>
          <w:rtl w:val="true"/>
        </w:rPr>
        <w:t>، تفصیل الشریعة، کتاب المضاربة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المزارعة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استکراء الأرض ببعض ما یخرج منها و هی مثل المزارعة إلاّ أنّ الأرض من العامل، و خبّر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شقّها للزراعة</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xml:space="preserve">، شرح معانی الآثار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فقه الشافعی </w:t>
      </w:r>
      <w:r>
        <w:rPr>
          <w:rFonts w:eastAsia="IRNazanin" w:cs="IRNazanin"/>
          <w:b w:val="false"/>
          <w:bCs w:val="false"/>
          <w:i w:val="false"/>
          <w:iCs w:val="false"/>
          <w:color w:val="333333"/>
          <w:sz w:val="20"/>
          <w:szCs w:val="20"/>
        </w:rPr>
        <w:t>278:7</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581:5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فی فقه الشافعیّ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494:11</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1920:3</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998:2</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144:16</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409:9</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للسیّد الخوئی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143:16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276:10</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Pr>
        <w:t>692:1</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149:16</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276:10</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568:1</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149:16</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101:27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116:27</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102:27</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149:16</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276:10</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عوالی اللئالی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الودیعة،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149:16</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Pr>
        <w:t>693:1</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116:27</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مجرّد الإحسان من حیث إنّه احسان لا یرفع الضمان، و لکن فیما نحن فیه من حیث إنّ الإحسان من جهة خوف التلف فی ید الصبیّ، فهو مقتض لعدم الضمان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مضافاً إلی أنّ المقام من مصادیق الأمانة الشرعیة فیرتفع الضمان قطعاً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150:16</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276:10</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Pr>
        <w:t>693:1</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116:27</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لا ملازمة بین الضمان و بین وجوب الحفظ، و الثانی و إن کان فی الودیعة موجوداً و یجب علی المستودع حفظ الودیعة، و لکنّه فی ما إذا لم یکن واجباً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نحن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القول بالضمان من جهة جریان الضمان فی إتلاف الصبیّ و غیره من دون وجوب الحفظ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مضافاً إلی أن الضمان لا یکون بملاک وجوب الحفظ بل له ملاک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الودیعة،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116:27</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568:1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150:16</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276:10</w:t>
      </w:r>
      <w:r>
        <w:rPr>
          <w:rFonts w:ascii="IRNazanin" w:hAnsi="IRNazanin" w:eastAsia="IRNazanin"/>
          <w:b w:val="false"/>
          <w:b w:val="false"/>
          <w:bCs w:val="false"/>
          <w:i w:val="false"/>
          <w:i w:val="false"/>
          <w:iCs w:val="false"/>
          <w:color w:val="333333"/>
          <w:sz w:val="20"/>
          <w:sz w:val="20"/>
          <w:szCs w:val="20"/>
          <w:rtl w:val="true"/>
        </w:rPr>
        <w:t xml:space="preserve">، مفتاح الکرامة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568:1</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150:16</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277:10</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118:27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117:27</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فی فقه الشافعی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344:14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386:5</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296:7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 الشرح الکبیر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فی معرفة الراجح من الخلاف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307:5</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721:2</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الکوکب الدرّیّة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1292:3</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464:4</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231:16</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439:9</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232:16</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238:5</w:t>
      </w:r>
      <w:r>
        <w:rPr>
          <w:rFonts w:ascii="IRNazanin" w:hAnsi="IRNazanin" w:eastAsia="IRNazanin"/>
          <w:b w:val="false"/>
          <w:b w:val="false"/>
          <w:bCs w:val="false"/>
          <w:i w:val="false"/>
          <w:i w:val="false"/>
          <w:iCs w:val="false"/>
          <w:color w:val="333333"/>
          <w:sz w:val="20"/>
          <w:sz w:val="20"/>
          <w:szCs w:val="20"/>
          <w:rtl w:val="true"/>
        </w:rPr>
        <w:t xml:space="preserve">، باب ضمان العاریة و الودیعة، التهذیب </w:t>
      </w:r>
      <w:r>
        <w:rPr>
          <w:rFonts w:eastAsia="IRNazanin" w:cs="IRNazanin"/>
          <w:b w:val="false"/>
          <w:bCs w:val="false"/>
          <w:i w:val="false"/>
          <w:iCs w:val="false"/>
          <w:color w:val="333333"/>
          <w:sz w:val="20"/>
          <w:szCs w:val="20"/>
        </w:rPr>
        <w:t>182:7</w:t>
      </w:r>
      <w:r>
        <w:rPr>
          <w:rFonts w:ascii="IRNazanin" w:hAnsi="IRNazanin" w:eastAsia="IRNazanin"/>
          <w:b w:val="false"/>
          <w:b w:val="false"/>
          <w:bCs w:val="false"/>
          <w:i w:val="false"/>
          <w:i w:val="false"/>
          <w:iCs w:val="false"/>
          <w:color w:val="333333"/>
          <w:sz w:val="20"/>
          <w:sz w:val="20"/>
          <w:szCs w:val="20"/>
          <w:rtl w:val="true"/>
        </w:rPr>
        <w:t>، باب العاریة</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169:27</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237:16</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356:10</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444:9</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247:2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مفتاح الکرامة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161:27</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المناسب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أذن</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363:10</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444:9</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447:3</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238:18</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563:1</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444:9</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487:21</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مجرّد إذن الولی لا یجعل فعل الصبیّ 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فی الصبیّ غیر الممیّز یکون هکذا، و أمّا الممیّز فالفعل مستند إلی نفسه، لکن نفوذه و صحّته متوقّف علی إذن الولیّ، کما أنّ تزویج البکر موقوف علی إذن الأب علی قول، و لکن لا یستند التزویج إلیه کما هو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ذلک فما ذکره السیّد الخوانساری من وجود الاختلاف فی کلمات الفقهاء بین ما ذکروه فی باب العاریة من أن الإذن لا یجعل الصبیّ لآلة، و ما ذکروه فی سائر العقود من جعله بمنزلة الآلة متین جدّاً، کما أنّ ما ذکروه من أن صحّة التصرّف فی البیع و الإجارة منحصرة بالآلیة، غیر مستفادة من الأدلّة، تامّ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160:27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444:9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فی فقه الشافعی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364:4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359:5</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السالک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731:2</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الخرشی </w:t>
      </w:r>
      <w:r>
        <w:rPr>
          <w:rFonts w:eastAsia="IRNazanin" w:cs="IRNazanin"/>
          <w:b w:val="false"/>
          <w:bCs w:val="false"/>
          <w:i w:val="false"/>
          <w:iCs w:val="false"/>
          <w:color w:val="333333"/>
          <w:sz w:val="20"/>
          <w:szCs w:val="20"/>
        </w:rPr>
        <w:t>497:6</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367:18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547:21</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219:27</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307:19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412:18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الحجر، ح </w:t>
      </w:r>
      <w:r>
        <w:rPr>
          <w:rFonts w:eastAsia="IRNazanin" w:cs="IRNazanin"/>
          <w:b w:val="false"/>
          <w:bCs w:val="false"/>
          <w:i w:val="false"/>
          <w:iCs w:val="false"/>
          <w:color w:val="333333"/>
          <w:sz w:val="20"/>
          <w:szCs w:val="20"/>
        </w:rPr>
        <w:t>23950</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219:27</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التردّد فی إجارة الممیّز من دون إذن الولیّ، و إلّا فمع الإذن لا مجال للتردّد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Pr>
        <w:t>651:1</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219:27</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المستند فی شرح العروة الوثقی، کتاب الإجارة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المجلّة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للإمام الخمینی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للمحقّق الأصفهانی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المستند فی شرح العروة الوثقی، کتاب الإجارة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الثانی من 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547:21</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544:1</w:t>
      </w:r>
      <w:r>
        <w:rPr>
          <w:rFonts w:ascii="IRNazanin" w:hAnsi="IRNazanin" w:eastAsia="IRNazanin"/>
          <w:b w:val="false"/>
          <w:b w:val="false"/>
          <w:bCs w:val="false"/>
          <w:i w:val="false"/>
          <w:i w:val="false"/>
          <w:iCs w:val="false"/>
          <w:color w:val="333333"/>
          <w:sz w:val="20"/>
          <w:sz w:val="20"/>
          <w:szCs w:val="20"/>
          <w:rtl w:val="true"/>
        </w:rPr>
        <w:t>، تفصیل الشریعة، کتاب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49:10</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43:10</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246:27</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المستند فی شرح العروة الوثقی، کتاب الإجارة </w:t>
      </w:r>
      <w:r>
        <w:rPr>
          <w:rFonts w:eastAsia="IRNazanin" w:cs="IRNazanin"/>
          <w:b w:val="false"/>
          <w:bCs w:val="false"/>
          <w:i w:val="false"/>
          <w:iCs w:val="false"/>
          <w:color w:val="333333"/>
          <w:sz w:val="20"/>
          <w:szCs w:val="20"/>
        </w:rPr>
        <w:t>206:30</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65:12</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86:19</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246:27</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65:12</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العناوین </w:t>
      </w:r>
      <w:r>
        <w:rPr>
          <w:rFonts w:eastAsia="IRNazanin" w:cs="IRNazanin"/>
          <w:b w:val="false"/>
          <w:bCs w:val="false"/>
          <w:i w:val="false"/>
          <w:iCs w:val="false"/>
          <w:color w:val="333333"/>
          <w:sz w:val="20"/>
          <w:szCs w:val="20"/>
        </w:rPr>
        <w:t>488:2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جملة المسقطات للضمان هو الإقدام، بمعنی أنّ المالک إذا أقدم علی إسقاط احترام ماله و بنی علی عدم العوضیّة سقط ضمانه، و منشأ کونه مسقطاً للضمان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هو احترام ماله، و هو قد أسقطه بنفسه</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326:6</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الفقه کتاب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حقّقنا فی محلّه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العلم بالفساد و الضمان معتبر فی قاعدة الإقدام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یکون العلم بجمیع الخصوصیّات معتبراً کما ذهب إلیه المحقّق الإیروانی فی حاشیته، بل العلم الإجمالی کاف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الفقه، کتاب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کتاب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الإقدام مع العلم بالضمان یکون من أسباب الضمان عند العقلاء، و لا وجه للتردید فی هذا المقدار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أنّ المقبوض بالعقد الفاسد أو بالإیقاع الفاسد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التعمیم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یذهب هدراً، بل مضمون علی القابض بمعنی أنّ نفس المقبوض و المأخوذ بوجوده الاعتباری فی عهدة القابض و فی ذمّته، و لا یفرغ إلاّ بأدائه إلی صاحبه، و أداؤه ما دام المال المأخوذ موجوداً یکون بأداء نفس العین المأخوذة، و مع تلفه فبالمثل إن کان مثلیّاً، و بالقیمة إن کان قیمیّاً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للبجنوردی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246:27</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بحثنا هذه القاعدة مفصّلاً فی کتاب البیع،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للبجنوردی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297:12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ح </w:t>
      </w:r>
      <w:r>
        <w:rPr>
          <w:rFonts w:eastAsia="IRNazanin" w:cs="IRNazanin"/>
          <w:b w:val="false"/>
          <w:bCs w:val="false"/>
          <w:i w:val="false"/>
          <w:iCs w:val="false"/>
          <w:color w:val="333333"/>
          <w:sz w:val="20"/>
          <w:szCs w:val="20"/>
        </w:rPr>
        <w:t>16349</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الفقه، کتاب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البجنوردی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هذه القاعدة ممّا اتّفق علیه الکلّ و لا خلاف فیها، بل 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مسلّمة بین جمیع فرق المسلمین، و ربما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من ضروریّات الدِّین و استدلّ علیها الشیخ و ابن إدریس فی المبسوط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و السرائر </w:t>
      </w:r>
      <w:r>
        <w:rPr>
          <w:rFonts w:eastAsia="IRNazanin" w:cs="IRNazanin"/>
          <w:b w:val="false"/>
          <w:bCs w:val="false"/>
          <w:i w:val="false"/>
          <w:iCs w:val="false"/>
          <w:color w:val="333333"/>
          <w:sz w:val="20"/>
          <w:szCs w:val="20"/>
        </w:rPr>
        <w:t>480:2</w:t>
      </w:r>
      <w:r>
        <w:rPr>
          <w:rFonts w:ascii="IRNazanin" w:hAnsi="IRNazanin" w:eastAsia="IRNazanin"/>
          <w:b w:val="false"/>
          <w:b w:val="false"/>
          <w:bCs w:val="false"/>
          <w:i w:val="false"/>
          <w:i w:val="false"/>
          <w:iCs w:val="false"/>
          <w:color w:val="333333"/>
          <w:sz w:val="20"/>
          <w:sz w:val="20"/>
          <w:szCs w:val="20"/>
          <w:rtl w:val="true"/>
        </w:rPr>
        <w:t>، بقوله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اعْتَدی عَلَیْکُمْ فَاعْتَدُوا عَلَیْهِ بِمِثْلِ مَا اعْتَدی عَلَیْکُمْ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شکّ فی أنّ إتلاف مال الغیر بدون إذنه و رضاه اعتداء علیه، و تعبیر سبحانه و تعالی عن أخذ المثل فی المثلیّات و القیمة فی القیمیّات هو عبارة عن کونه ضامناً بالاعتداء للمشاکلة، کقوله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جَزاءُ سَیِّئَةٍ سَیِّئَةٌ مِثْلُها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الشوری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الفقه، کتاب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49:10</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2400</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566:3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 عوالی اللئالی </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88:17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الغصب،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292:5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الضرار،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428:25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إحیاء الأموات، ح </w:t>
      </w:r>
      <w:r>
        <w:rPr>
          <w:rFonts w:eastAsia="IRNazanin" w:cs="IRNazanin"/>
          <w:b w:val="false"/>
          <w:bCs w:val="false"/>
          <w:i w:val="false"/>
          <w:iCs w:val="false"/>
          <w:color w:val="333333"/>
          <w:sz w:val="20"/>
          <w:szCs w:val="20"/>
        </w:rPr>
        <w:t>32218</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5718</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247:27</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الفقه، کتاب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86:19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الهندیّة </w:t>
      </w:r>
      <w:r>
        <w:rPr>
          <w:rFonts w:eastAsia="IRNazanin" w:cs="IRNazanin"/>
          <w:b w:val="false"/>
          <w:bCs w:val="false"/>
          <w:i w:val="false"/>
          <w:iCs w:val="false"/>
          <w:color w:val="333333"/>
          <w:sz w:val="20"/>
          <w:szCs w:val="20"/>
        </w:rPr>
        <w:t>560:5</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فی فقه الشافعی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الدسوقی علی الشرح الکبیر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الهندیّة </w:t>
      </w:r>
      <w:r>
        <w:rPr>
          <w:rFonts w:eastAsia="IRNazanin" w:cs="IRNazanin"/>
          <w:b w:val="false"/>
          <w:bCs w:val="false"/>
          <w:i w:val="false"/>
          <w:iCs w:val="false"/>
          <w:color w:val="333333"/>
          <w:sz w:val="20"/>
          <w:szCs w:val="20"/>
        </w:rPr>
        <w:t>560:4</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الحکّام شرح مجلّة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421:3</w:t>
      </w:r>
      <w:r>
        <w:rPr>
          <w:rFonts w:ascii="IRNazanin" w:hAnsi="IRNazanin" w:eastAsia="IRNazanin"/>
          <w:b w:val="false"/>
          <w:b w:val="false"/>
          <w:bCs w:val="false"/>
          <w:i w:val="false"/>
          <w:i w:val="false"/>
          <w:iCs w:val="false"/>
          <w:color w:val="333333"/>
          <w:sz w:val="20"/>
          <w:sz w:val="20"/>
          <w:szCs w:val="20"/>
          <w:rtl w:val="true"/>
        </w:rPr>
        <w:t xml:space="preserve">، ذیل المادّة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الدسوقی علی الشرح الکبیر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فی فقه الشافعی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317:15</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 مراراً</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فقه الشافعی </w:t>
      </w:r>
      <w:r>
        <w:rPr>
          <w:rFonts w:eastAsia="IRNazanin" w:cs="IRNazanin"/>
          <w:b w:val="false"/>
          <w:bCs w:val="false"/>
          <w:i w:val="false"/>
          <w:iCs w:val="false"/>
          <w:color w:val="333333"/>
          <w:sz w:val="20"/>
          <w:szCs w:val="20"/>
        </w:rPr>
        <w:t>295:7</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الإقناع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533:4</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1970:3</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53:10</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347:27</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سورة یوسف </w:t>
      </w:r>
      <w:r>
        <w:rPr>
          <w:rFonts w:eastAsia="IRNazanin" w:cs="IRNazanin"/>
          <w:b w:val="false"/>
          <w:bCs w:val="false"/>
          <w:i w:val="false"/>
          <w:iCs w:val="false"/>
          <w:color w:val="333333"/>
          <w:sz w:val="20"/>
          <w:szCs w:val="20"/>
        </w:rPr>
        <w:t>93:12</w:t>
      </w:r>
      <w:r>
        <w:rPr>
          <w:rFonts w:ascii="IRNazanin" w:hAnsi="IRNazanin" w:eastAsia="IRNazanin"/>
          <w:b w:val="false"/>
          <w:b w:val="false"/>
          <w:bCs w:val="false"/>
          <w:i w:val="false"/>
          <w:i w:val="false"/>
          <w:iCs w:val="false"/>
          <w:color w:val="333333"/>
          <w:sz w:val="20"/>
          <w:sz w:val="20"/>
          <w:szCs w:val="20"/>
          <w:rtl w:val="true"/>
        </w:rPr>
        <w:t xml:space="preserve">، سورة الکهف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285:13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الوکالة،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245:13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Pr>
        <w:t>459:8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11621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356:10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14101</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347:27</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المضاربة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الوکالة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Pr>
        <w:t>679:1</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540:7</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540:7</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 xml:space="preserve">، تحریر الأحکام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307:19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505:9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492:9</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77:10</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487:3</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200:21</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المضاربة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الوکالة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200:21</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185:14</w:t>
      </w:r>
      <w:r>
        <w:rPr>
          <w:rFonts w:ascii="IRNazanin" w:hAnsi="IRNazanin" w:eastAsia="IRNazanin"/>
          <w:b w:val="false"/>
          <w:b w:val="false"/>
          <w:bCs w:val="false"/>
          <w:i w:val="false"/>
          <w:i w:val="false"/>
          <w:iCs w:val="false"/>
          <w:color w:val="333333"/>
          <w:sz w:val="20"/>
          <w:sz w:val="20"/>
          <w:szCs w:val="20"/>
          <w:rtl w:val="true"/>
        </w:rPr>
        <w:t>، 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393:27</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Pr>
        <w:t>677:1</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یسیر</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530:7</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492:9</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الصبیّ الممیّز مأذوناً فی تصرّف خاصّ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کالبیع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ملازمة بینه و بین صحّة توکیله، و أمّا إذا کان مأذوناً فی جمیع التصرّفات أو مأذوناً فی التوکیل فلا شکّ فی صحّة توکیله، و کیف کان، فعدم اعتبار المباشرة یکون مقتضیاً لصحّة التوکیل و لا یکون کافیاً فیها،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485:3</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200:21</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531:7</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73:10</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204:6</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للسیّد الخوئی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387:27</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429:13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531:7</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لا شکّ فیما جاز تصرّفه فیه و یقبل النیابة، فکلّ مورد یجوز تصرّفه فیه و یقبل النیابة یجوز توکیله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التوکیل لیس تصرّفاً خاصّاً فی عداد سائر التصرّفات، بل من شئون التصرّف الجائز، فکلّ تصرّف جائز إذا کان قابلاً للنیابة فیجوز التوکیل فیه،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بهذا المضمون فی المستدرک للحاکم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فی العبارة و تلخیص</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677:2</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فی فقه الشافعی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مذهب الشافعی </w:t>
      </w:r>
      <w:r>
        <w:rPr>
          <w:rFonts w:eastAsia="IRNazanin" w:cs="IRNazanin"/>
          <w:b w:val="false"/>
          <w:bCs w:val="false"/>
          <w:i w:val="false"/>
          <w:iCs w:val="false"/>
          <w:color w:val="333333"/>
          <w:sz w:val="20"/>
          <w:szCs w:val="20"/>
        </w:rPr>
        <w:t>403:4</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460:13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الإقناع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فقه أحمد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القاموس المحیط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xml:space="preserve">، أقرب الموارد </w:t>
      </w:r>
      <w:r>
        <w:rPr>
          <w:rFonts w:eastAsia="IRNazanin" w:cs="IRNazanin"/>
          <w:b w:val="false"/>
          <w:bCs w:val="false"/>
          <w:i w:val="false"/>
          <w:iCs w:val="false"/>
          <w:color w:val="333333"/>
          <w:sz w:val="20"/>
          <w:szCs w:val="20"/>
        </w:rPr>
        <w:t>1477:2</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2397</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12126</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47:14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الوقوف و الصدقات،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92:10</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309:5</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عوالی اللئالی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 مسند أحمد حنبل </w:t>
      </w:r>
      <w:r>
        <w:rPr>
          <w:rFonts w:eastAsia="IRNazanin" w:cs="IRNazanin"/>
          <w:b w:val="false"/>
          <w:bCs w:val="false"/>
          <w:i w:val="false"/>
          <w:iCs w:val="false"/>
          <w:color w:val="333333"/>
          <w:sz w:val="20"/>
          <w:szCs w:val="20"/>
        </w:rPr>
        <w:t>306:3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8853</w:t>
      </w:r>
      <w:r>
        <w:rPr>
          <w:rFonts w:ascii="IRNazanin" w:hAnsi="IRNazanin" w:eastAsia="IRNazanin"/>
          <w:b w:val="false"/>
          <w:b w:val="false"/>
          <w:bCs w:val="false"/>
          <w:i w:val="false"/>
          <w:i w:val="false"/>
          <w:iCs w:val="false"/>
          <w:color w:val="333333"/>
          <w:sz w:val="20"/>
          <w:sz w:val="20"/>
          <w:szCs w:val="20"/>
          <w:rtl w:val="true"/>
        </w:rPr>
        <w:t xml:space="preserve">، الجامع الصغیر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292:13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الوقوف و الصدقات،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94:10</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اعتبار الطبقة اللاحقة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الصحیح ما اثبت</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186:19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الوقوف و الصدقات، ح </w:t>
      </w:r>
      <w:r>
        <w:rPr>
          <w:rFonts w:eastAsia="IRNazanin" w:cs="IRNazanin"/>
          <w:b w:val="false"/>
          <w:bCs w:val="false"/>
          <w:i w:val="false"/>
          <w:iCs w:val="false"/>
          <w:color w:val="333333"/>
          <w:sz w:val="20"/>
          <w:szCs w:val="20"/>
        </w:rPr>
        <w:t>24406</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124:10</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295:3</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390:2</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263:2</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323:5</w:t>
      </w:r>
      <w:r>
        <w:rPr>
          <w:rFonts w:ascii="IRNazanin" w:hAnsi="IRNazanin" w:eastAsia="IRNazanin"/>
          <w:b w:val="false"/>
          <w:b w:val="false"/>
          <w:bCs w:val="false"/>
          <w:i w:val="false"/>
          <w:i w:val="false"/>
          <w:iCs w:val="false"/>
          <w:color w:val="333333"/>
          <w:sz w:val="20"/>
          <w:sz w:val="20"/>
          <w:szCs w:val="20"/>
          <w:rtl w:val="true"/>
        </w:rPr>
        <w:t xml:space="preserve">، حاشیة الإرشاد المطبوع فی غایة المراد </w:t>
      </w:r>
      <w:r>
        <w:rPr>
          <w:rFonts w:eastAsia="IRNazanin" w:cs="IRNazanin"/>
          <w:b w:val="false"/>
          <w:bCs w:val="false"/>
          <w:i w:val="false"/>
          <w:iCs w:val="false"/>
          <w:color w:val="333333"/>
          <w:sz w:val="20"/>
          <w:szCs w:val="20"/>
        </w:rPr>
        <w:t>424:2</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181:22</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125:10</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للسیّد الخوئی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185:14</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 کشف الرموز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92:10</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182:22</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182:22</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الفقهیّة للمحقّق الخراسانی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الآخوند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التحدید بعشر سنین لیس تحدیداً تعبّدیاً، بل الغالب فیمن بلغ هذا السنّ أن یضع الصدقة فی موضعها، و إن شئت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تصرّف الصبیّ یعد تصرّفاً معروفاً و علی حقّ فهو جائز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یؤیّد ذلک خلو بعض الروایات عن هذا التحدید و الاکتفاء بأنّه إذا عقل، أو الاکتفاء بأنّ الملاک أنّه إذا وضعها فی موضع الصدقة أو التعبیر بأنّه إذا أصاب موضع الوصیّة کما فی صحیحة أبی بصیر و أبی أیّوب عن أبی عبد اللّه علیه السلام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أصاب موضع الوصیّة جازت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363:19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حکم وصیّة الصغیر،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لا یبعد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التعبیر بالمعروفیة و الحقّیة یرجع إلی الرشد الذی هو کان شرطاً فی الآیة الشریفة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آنَسْتُمْ مِنْهُمْ رُشْداً فَادْفَعُوا إِلَیْهِمْ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5451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321:13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الوقوف و الصدقات،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321:13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الوقوف و الصدقات،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321:13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الوقوف و الصدقات،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325:15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182:22</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92:10</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و نکتها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ذکرنا أنّه لا تعارض بینها و بین سائر الروایات حتّی لا تخصیص بینهما،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125:10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و تلخیص</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تهذیب الأحکام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و 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5451</w:t>
      </w:r>
      <w:r>
        <w:rPr>
          <w:rFonts w:ascii="IRNazanin" w:hAnsi="IRNazanin" w:eastAsia="IRNazanin"/>
          <w:b w:val="false"/>
          <w:b w:val="false"/>
          <w:bCs w:val="false"/>
          <w:i w:val="false"/>
          <w:i w:val="false"/>
          <w:iCs w:val="false"/>
          <w:color w:val="333333"/>
          <w:sz w:val="20"/>
          <w:sz w:val="20"/>
          <w:szCs w:val="20"/>
          <w:rtl w:val="true"/>
        </w:rPr>
        <w:t xml:space="preserve">، و وسائل الشیعة </w:t>
      </w:r>
      <w:r>
        <w:rPr>
          <w:rFonts w:eastAsia="IRNazanin" w:cs="IRNazanin"/>
          <w:b w:val="false"/>
          <w:bCs w:val="false"/>
          <w:i w:val="false"/>
          <w:iCs w:val="false"/>
          <w:color w:val="333333"/>
          <w:sz w:val="20"/>
          <w:szCs w:val="20"/>
        </w:rPr>
        <w:t>321:13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الوقوف و الصدقات،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الفقهیّة للمحقّق الخراسانی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الآخوند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303:13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الوقوف و الصدقات،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304:13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الوقوف و الصدقات،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للسیّد الخوئی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321:13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الوقوف و الصدقات،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للسیّد الخوئی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472:4</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إعانة الطالبین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المجلّی فی الفقه الحنبلی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521:11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صدقة مفروضة من جهة الشرع علی الأموال، و هی زکاة الأموال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صدقة علی الأبدان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صدقة یفرضها الشخص علی نفسه، و هی الصدقة الواجبة بالنذر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الصدقات المفروضة حقّاً للّه تعالی کالفدیة و الکفّارة</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 xml:space="preserve">، سورة التغابن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 أبی عبد اللّه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الصدقة یوم الجمعة یضاعف أضعافاً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عبد اللّه بن سلیمان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أبو جعفر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کان یوم عرفة لم یَردّ سائلاً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 أبی عبد اللّه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تصدّق فی شهر رمضان بصدقة صرف اللّه عنه سبعین نوعاً من أنواع البلاء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281:6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وصیّة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علیّ، صلة الرحم تزید فی العمر، یا علیّ، لا صدقة و ذو رحم محتاج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267:6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xml:space="preserve">، مختلف الشیعة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358:3</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الوقف و الصدقة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66:19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185:14</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فی شرح نکت الإرشاد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412:22</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272:10</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181:22</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5451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181:9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429:13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الوصایا،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182:9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321:13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أبواب الوقوف و الصدقات،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182:9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321:13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الوقوف و الصدقات،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295:6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567:1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397:5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504:3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4769</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325:15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252:18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428:13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الوقوف و الصدقات،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324:15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323:5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الإرادات </w:t>
      </w:r>
      <w:r>
        <w:rPr>
          <w:rFonts w:eastAsia="IRNazanin" w:cs="IRNazanin"/>
          <w:b w:val="false"/>
          <w:bCs w:val="false"/>
          <w:i w:val="false"/>
          <w:iCs w:val="false"/>
          <w:color w:val="333333"/>
          <w:sz w:val="20"/>
          <w:szCs w:val="20"/>
        </w:rPr>
        <w:t>493:2</w:t>
      </w:r>
      <w:r>
        <w:rPr>
          <w:rFonts w:ascii="IRNazanin" w:hAnsi="IRNazanin" w:eastAsia="IRNazanin"/>
          <w:b w:val="false"/>
          <w:b w:val="false"/>
          <w:bCs w:val="false"/>
          <w:i w:val="false"/>
          <w:i w:val="false"/>
          <w:iCs w:val="false"/>
          <w:color w:val="333333"/>
          <w:sz w:val="20"/>
          <w:sz w:val="20"/>
          <w:szCs w:val="20"/>
          <w:rtl w:val="true"/>
        </w:rPr>
        <w:t xml:space="preserve">، بدایة المجتهد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المنثور للزرکشی </w:t>
      </w:r>
      <w:r>
        <w:rPr>
          <w:rFonts w:eastAsia="IRNazanin" w:cs="IRNazanin"/>
          <w:b w:val="false"/>
          <w:bCs w:val="false"/>
          <w:i w:val="false"/>
          <w:iCs w:val="false"/>
          <w:color w:val="333333"/>
          <w:sz w:val="20"/>
          <w:szCs w:val="20"/>
        </w:rPr>
        <w:t>207:3</w:t>
      </w:r>
      <w:r>
        <w:rPr>
          <w:rFonts w:ascii="IRNazanin" w:hAnsi="IRNazanin" w:eastAsia="IRNazanin"/>
          <w:b w:val="false"/>
          <w:b w:val="false"/>
          <w:bCs w:val="false"/>
          <w:i w:val="false"/>
          <w:i w:val="false"/>
          <w:iCs w:val="false"/>
          <w:color w:val="333333"/>
          <w:sz w:val="20"/>
          <w:sz w:val="20"/>
          <w:szCs w:val="20"/>
          <w:rtl w:val="true"/>
        </w:rPr>
        <w:t xml:space="preserve">، الفواکه الدّوانی </w:t>
      </w:r>
      <w:r>
        <w:rPr>
          <w:rFonts w:eastAsia="IRNazanin" w:cs="IRNazanin"/>
          <w:b w:val="false"/>
          <w:bCs w:val="false"/>
          <w:i w:val="false"/>
          <w:iCs w:val="false"/>
          <w:color w:val="333333"/>
          <w:sz w:val="20"/>
          <w:szCs w:val="20"/>
        </w:rPr>
        <w:t>262:2</w:t>
      </w:r>
      <w:r>
        <w:rPr>
          <w:rFonts w:ascii="IRNazanin" w:hAnsi="IRNazanin" w:eastAsia="IRNazanin"/>
          <w:b w:val="false"/>
          <w:b w:val="false"/>
          <w:bCs w:val="false"/>
          <w:i w:val="false"/>
          <w:i w:val="false"/>
          <w:iCs w:val="false"/>
          <w:color w:val="333333"/>
          <w:sz w:val="20"/>
          <w:sz w:val="20"/>
          <w:szCs w:val="20"/>
          <w:rtl w:val="true"/>
        </w:rPr>
        <w:t xml:space="preserve">، مغنی المحتاج </w:t>
      </w:r>
      <w:r>
        <w:rPr>
          <w:rFonts w:eastAsia="IRNazanin" w:cs="IRNazanin"/>
          <w:b w:val="false"/>
          <w:bCs w:val="false"/>
          <w:i w:val="false"/>
          <w:iCs w:val="false"/>
          <w:color w:val="333333"/>
          <w:sz w:val="20"/>
          <w:szCs w:val="20"/>
        </w:rPr>
        <w:t>165:2</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w:t>
      </w:r>
      <w:r>
        <w:rPr>
          <w:rFonts w:eastAsia="IRNazanin" w:cs="IRNazanin"/>
          <w:b w:val="false"/>
          <w:bCs w:val="false"/>
          <w:i w:val="false"/>
          <w:iCs w:val="false"/>
          <w:color w:val="333333"/>
          <w:sz w:val="20"/>
          <w:szCs w:val="20"/>
        </w:rPr>
        <w:t>120:14</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الخرشی </w:t>
      </w:r>
      <w:r>
        <w:rPr>
          <w:rFonts w:eastAsia="IRNazanin" w:cs="IRNazanin"/>
          <w:b w:val="false"/>
          <w:bCs w:val="false"/>
          <w:i w:val="false"/>
          <w:iCs w:val="false"/>
          <w:color w:val="333333"/>
          <w:sz w:val="20"/>
          <w:szCs w:val="20"/>
        </w:rPr>
        <w:t>706:7</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الفواکه الدّوانی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فقه أحمد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الحُکّام شرح مجلة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606:9</w:t>
      </w:r>
      <w:r>
        <w:rPr>
          <w:rFonts w:ascii="IRNazanin" w:hAnsi="IRNazanin" w:eastAsia="IRNazanin"/>
          <w:b w:val="false"/>
          <w:b w:val="false"/>
          <w:bCs w:val="false"/>
          <w:i w:val="false"/>
          <w:i w:val="false"/>
          <w:iCs w:val="false"/>
          <w:color w:val="333333"/>
          <w:sz w:val="20"/>
          <w:sz w:val="20"/>
          <w:szCs w:val="20"/>
          <w:rtl w:val="true"/>
        </w:rPr>
        <w:t xml:space="preserve">، المادّة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154:14</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296:22</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203:10</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المضاربة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الهبة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396:2</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w:t>
      </w:r>
      <w:r>
        <w:rPr>
          <w:rFonts w:eastAsia="IRNazanin" w:cs="IRNazanin"/>
          <w:b w:val="false"/>
          <w:bCs w:val="false"/>
          <w:i w:val="false"/>
          <w:iCs w:val="false"/>
          <w:color w:val="333333"/>
          <w:sz w:val="20"/>
          <w:szCs w:val="20"/>
        </w:rPr>
        <w:t>266:16</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213:12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214:12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Pr>
        <w:t>154:9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12167</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213:12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باب الهدیة،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299:3</w:t>
      </w:r>
      <w:r>
        <w:rPr>
          <w:rFonts w:ascii="IRNazanin" w:hAnsi="IRNazanin" w:eastAsia="IRNazanin"/>
          <w:b w:val="false"/>
          <w:b w:val="false"/>
          <w:bCs w:val="false"/>
          <w:i w:val="false"/>
          <w:i w:val="false"/>
          <w:iCs w:val="false"/>
          <w:color w:val="333333"/>
          <w:sz w:val="20"/>
          <w:sz w:val="20"/>
          <w:szCs w:val="20"/>
          <w:rtl w:val="true"/>
        </w:rPr>
        <w:t xml:space="preserve">، باب الهدیة، ح </w:t>
      </w:r>
      <w:r>
        <w:rPr>
          <w:rFonts w:eastAsia="IRNazanin" w:cs="IRNazanin"/>
          <w:b w:val="false"/>
          <w:bCs w:val="false"/>
          <w:i w:val="false"/>
          <w:iCs w:val="false"/>
          <w:color w:val="333333"/>
          <w:sz w:val="20"/>
          <w:szCs w:val="20"/>
        </w:rPr>
        <w:t>4067:5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212:12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أحکام الأطفال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429:13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الوصایا،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405:2</w:t>
      </w:r>
      <w:r>
        <w:rPr>
          <w:rFonts w:ascii="IRNazanin" w:hAnsi="IRNazanin" w:eastAsia="IRNazanin"/>
          <w:b w:val="false"/>
          <w:b w:val="false"/>
          <w:bCs w:val="false"/>
          <w:i w:val="false"/>
          <w:i w:val="false"/>
          <w:iCs w:val="false"/>
          <w:color w:val="333333"/>
          <w:sz w:val="20"/>
          <w:sz w:val="20"/>
          <w:szCs w:val="20"/>
          <w:rtl w:val="true"/>
        </w:rPr>
        <w:t xml:space="preserve">، تحریر الأحکام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285:2</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204:10</w:t>
      </w:r>
      <w:r>
        <w:rPr>
          <w:rFonts w:ascii="IRNazanin" w:hAnsi="IRNazanin" w:eastAsia="IRNazanin"/>
          <w:b w:val="false"/>
          <w:b w:val="false"/>
          <w:bCs w:val="false"/>
          <w:i w:val="false"/>
          <w:i w:val="false"/>
          <w:iCs w:val="false"/>
          <w:color w:val="333333"/>
          <w:sz w:val="20"/>
          <w:sz w:val="20"/>
          <w:szCs w:val="20"/>
          <w:rtl w:val="true"/>
        </w:rPr>
        <w:t xml:space="preserve">، مفتاح الکرامة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المضاربة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الهبة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204:10</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163:28</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المضاربة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الهبة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273:16</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المحتاج </w:t>
      </w:r>
      <w:r>
        <w:rPr>
          <w:rFonts w:eastAsia="IRNazanin" w:cs="IRNazanin"/>
          <w:b w:val="false"/>
          <w:bCs w:val="false"/>
          <w:i w:val="false"/>
          <w:iCs w:val="false"/>
          <w:color w:val="333333"/>
          <w:sz w:val="20"/>
          <w:szCs w:val="20"/>
        </w:rPr>
        <w:t>408:5</w:t>
      </w:r>
      <w:r>
        <w:rPr>
          <w:rFonts w:ascii="IRNazanin" w:hAnsi="IRNazanin" w:eastAsia="IRNazanin"/>
          <w:b w:val="false"/>
          <w:b w:val="false"/>
          <w:bCs w:val="false"/>
          <w:i w:val="false"/>
          <w:i w:val="false"/>
          <w:iCs w:val="false"/>
          <w:color w:val="333333"/>
          <w:sz w:val="20"/>
          <w:sz w:val="20"/>
          <w:szCs w:val="20"/>
          <w:rtl w:val="true"/>
        </w:rPr>
        <w:t xml:space="preserve">، حاشیة ردّ المحتار </w:t>
      </w:r>
      <w:r>
        <w:rPr>
          <w:rFonts w:eastAsia="IRNazanin" w:cs="IRNazanin"/>
          <w:b w:val="false"/>
          <w:bCs w:val="false"/>
          <w:i w:val="false"/>
          <w:iCs w:val="false"/>
          <w:color w:val="333333"/>
          <w:sz w:val="20"/>
          <w:szCs w:val="20"/>
        </w:rPr>
        <w:t>423:8</w:t>
      </w:r>
      <w:r>
        <w:rPr>
          <w:rFonts w:ascii="IRNazanin" w:hAnsi="IRNazanin" w:eastAsia="IRNazanin"/>
          <w:b w:val="false"/>
          <w:b w:val="false"/>
          <w:bCs w:val="false"/>
          <w:i w:val="false"/>
          <w:i w:val="false"/>
          <w:iCs w:val="false"/>
          <w:color w:val="333333"/>
          <w:sz w:val="20"/>
          <w:sz w:val="20"/>
          <w:szCs w:val="20"/>
          <w:rtl w:val="true"/>
        </w:rPr>
        <w:t xml:space="preserve">، درر الحکّام فی شرح مجلّة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397:9</w:t>
      </w:r>
      <w:r>
        <w:rPr>
          <w:rFonts w:ascii="IRNazanin" w:hAnsi="IRNazanin" w:eastAsia="IRNazanin"/>
          <w:b w:val="false"/>
          <w:b w:val="false"/>
          <w:bCs w:val="false"/>
          <w:i w:val="false"/>
          <w:i w:val="false"/>
          <w:iCs w:val="false"/>
          <w:color w:val="333333"/>
          <w:sz w:val="20"/>
          <w:sz w:val="20"/>
          <w:szCs w:val="20"/>
          <w:rtl w:val="true"/>
        </w:rPr>
        <w:t xml:space="preserve">، ذیل مادّة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204:10</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163:28</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المضاربة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الهبة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القدیر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606:9</w:t>
      </w:r>
      <w:r>
        <w:rPr>
          <w:rFonts w:ascii="IRNazanin" w:hAnsi="IRNazanin" w:eastAsia="IRNazanin"/>
          <w:b w:val="false"/>
          <w:b w:val="false"/>
          <w:bCs w:val="false"/>
          <w:i w:val="false"/>
          <w:i w:val="false"/>
          <w:iCs w:val="false"/>
          <w:color w:val="333333"/>
          <w:sz w:val="20"/>
          <w:sz w:val="20"/>
          <w:szCs w:val="20"/>
          <w:rtl w:val="true"/>
        </w:rPr>
        <w:t xml:space="preserve">، شرح المادّة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1944:3</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1829:2</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w:t>
      </w:r>
      <w:r>
        <w:rPr>
          <w:rFonts w:eastAsia="IRNazanin" w:cs="IRNazanin"/>
          <w:b w:val="false"/>
          <w:bCs w:val="false"/>
          <w:i w:val="false"/>
          <w:iCs w:val="false"/>
          <w:color w:val="333333"/>
          <w:sz w:val="20"/>
          <w:szCs w:val="20"/>
        </w:rPr>
        <w:t>1959:3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451:6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التنقیح الرائع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534:14</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المبانی فی شرح العروة الوثقی، کتاب النکاح </w:t>
      </w:r>
      <w:r>
        <w:rPr>
          <w:rFonts w:eastAsia="IRNazanin" w:cs="IRNazanin"/>
          <w:b w:val="false"/>
          <w:bCs w:val="false"/>
          <w:i w:val="false"/>
          <w:iCs w:val="false"/>
          <w:color w:val="333333"/>
          <w:sz w:val="20"/>
          <w:szCs w:val="20"/>
        </w:rPr>
        <w:t>294:33</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389:28</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459:2</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تخریجهما فی القول الثانی</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582:14</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271:10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کفایة الأحکام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مفتاح الکرامة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390:9</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271:27</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671:5</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581:14</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165:22</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تفصیل الشریعة، کتاب الوقف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ریاض المسائل </w:t>
      </w:r>
      <w:r>
        <w:rPr>
          <w:rFonts w:eastAsia="IRNazanin" w:cs="IRNazanin"/>
          <w:b w:val="false"/>
          <w:bCs w:val="false"/>
          <w:i w:val="false"/>
          <w:iCs w:val="false"/>
          <w:color w:val="333333"/>
          <w:sz w:val="20"/>
          <w:szCs w:val="20"/>
        </w:rPr>
        <w:t>271:10</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کان قد 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قید للجواز فی الجمیع؛ بمعنی أنّه إذا عقل و فهم یجوز طلاقه و صدقته و وصیّته و إن لم یحتلم، فهذه الروایة لیست مطلقة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321:13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الوقوف و الصدقات،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428:13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5452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428:13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429:13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روضة المتّقین </w:t>
      </w:r>
      <w:r>
        <w:rPr>
          <w:rFonts w:eastAsia="IRNazanin" w:cs="IRNazanin"/>
          <w:b w:val="false"/>
          <w:bCs w:val="false"/>
          <w:i w:val="false"/>
          <w:iCs w:val="false"/>
          <w:color w:val="333333"/>
          <w:sz w:val="20"/>
          <w:szCs w:val="20"/>
        </w:rPr>
        <w:t>371:6</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429:13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الوصیّة،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وجود التعارض بین الطوائف الخمسة؛ و ذلک لأنّ الطائفة الاُولی التی تدلّ علی شرطیّة العقل و التدبیر تفسّر ما دلّ علی أنّ الشرط بلوغه عشر سنین، و کذلک هذا التعبیر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إذا کمل عقله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آخر عمّا ورد فی الطائفة الخامسة، و هی أنّ الصحّة متوقّفة علی أنّه أصاب موضع الوصیّة کما ان التعبیر بالوصیّة بالحقّ فی الطائفة الثالثة یرجع إلی ذلک، فإنّ المراد من الحقّ ما هو صحیح و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بقی ما هو فی الطائفة الثانیة فإنّها بناءً علی عدم الإعراض عنها تقیّد الجمیع بصحّة وصیّته فی خصوص الأرحام و عدم صحّته فی الغرباء،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من العقل لیس العقل فی مقابل الجنون، بل المراد منه التدبیر و وضع الشیء موضعه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الوقف و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271:10</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الابتناء علی ذلک بل التعبیر بالمعروف؛ بمعنی أنّه ما هو معروف عند الشرع أو العرف و لا ینحصر بالمعروف الشرعی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429:13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273:28</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کذلک فاللازم عدم صحّة التفصیل بین الوصیّة بالیسیر و غیره، فإذا کانت الوصیّة بحقّ ثابت علی ذمّته فلا وجه للتفریق بین العشر سنین و السبع سنین مع أنّ الإمام علیه السلام قد فصّل بینهما، و هذا یدلّ علی أنّ المراد بالحقّ ما هو حقّ و صحیح فی نفسه، و هذا عبارة اخری عن المعروف و البرّ، و الظاهر عدم الفرق بین التعبیرین من جهة المعنی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272:10</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428:13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یبعد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المستند ما ورد فی صحیحة أبی بصیر المرادی عن أبی عبد اللّه من أنّ الصبیّ إذا کان ابن سبع سنین فأوصی من ماله بالیسیر فی حقّ جازت وصیّته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361:19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حکم وصیّة الصغیر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اختلاف التعابیر و العناوین قرینة علی کونها مشیرة إلی عنوان جامع، و فی هذا الفرض لا مجال لأصالة الموضوعیّة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389:9</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مختلف الشیعة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183:9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321:13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و الصدقات،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121:23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113:17</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412:22</w:t>
      </w:r>
      <w:r>
        <w:rPr>
          <w:rFonts w:ascii="IRNazanin" w:hAnsi="IRNazanin" w:eastAsia="IRNazanin"/>
          <w:b w:val="false"/>
          <w:b w:val="false"/>
          <w:bCs w:val="false"/>
          <w:i w:val="false"/>
          <w:i w:val="false"/>
          <w:iCs w:val="false"/>
          <w:color w:val="333333"/>
          <w:sz w:val="20"/>
          <w:sz w:val="20"/>
          <w:szCs w:val="20"/>
          <w:rtl w:val="true"/>
        </w:rPr>
        <w:t xml:space="preserve">، مفتاح الکرامة </w:t>
      </w:r>
      <w:r>
        <w:rPr>
          <w:rFonts w:eastAsia="IRNazanin" w:cs="IRNazanin"/>
          <w:b w:val="false"/>
          <w:bCs w:val="false"/>
          <w:i w:val="false"/>
          <w:iCs w:val="false"/>
          <w:color w:val="333333"/>
          <w:sz w:val="20"/>
          <w:szCs w:val="20"/>
        </w:rPr>
        <w:t>388:9</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580:14</w:t>
      </w:r>
      <w:r>
        <w:rPr>
          <w:rFonts w:ascii="IRNazanin" w:hAnsi="IRNazanin" w:eastAsia="IRNazanin"/>
          <w:b w:val="false"/>
          <w:b w:val="false"/>
          <w:bCs w:val="false"/>
          <w:i w:val="false"/>
          <w:i w:val="false"/>
          <w:iCs w:val="false"/>
          <w:color w:val="333333"/>
          <w:sz w:val="20"/>
          <w:sz w:val="20"/>
          <w:szCs w:val="20"/>
          <w:rtl w:val="true"/>
        </w:rPr>
        <w:t xml:space="preserve">، موسوعة الإمام الخوئی، المبانی فی شرح العروة الوثقی، کتاب النکاح </w:t>
      </w:r>
      <w:r>
        <w:rPr>
          <w:rFonts w:eastAsia="IRNazanin" w:cs="IRNazanin"/>
          <w:b w:val="false"/>
          <w:bCs w:val="false"/>
          <w:i w:val="false"/>
          <w:iCs w:val="false"/>
          <w:color w:val="333333"/>
          <w:sz w:val="20"/>
          <w:szCs w:val="20"/>
        </w:rPr>
        <w:t>334:33</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392:9</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181:9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5453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428:13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273:10</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273:28</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389:9</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لا مجال لرعایة نسبة العموم و الخصوص من وجه بینهما و ذلک من جهة أنّ ما دلّ علی نفوذ وصیّة الغلام إذا بلغ عشراً مقیّد من جهة الموصی و مطلق من جهة الموصی له، و صحیحة محمّد بن مسلم عکس ذلک؛ بمعنی أنّها مطلقة من جهة الموصی و مقیّدة من جهة الموصی له، فکلّ من الروایتین فیه عنوانان یصلحان للتقیید و الإطلاق، و فی هذا الفرض لا مجال لنسبة العموم و الخصوص من وجه، فإنّ هذه النسبة فیما إذا کان فی کلّ من الروایتین عنوان واحد و موضوع واحد و یکون مطلقاً من جهة و مقیّداً من جهة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بالجملة، إذا کان فی کلّ من الروایتین موضوعان و متعلّقان یجب ملاحظة کلّ موضوع مع الموضوع المشابه فی الروایة الاُخری، و فی المقام یکون ما دلّ علی بلوغ العشر سنین مقیّداً لعنوان الغلام فی صحیحة محمّد بن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361:19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حکم وصیّة الصغیر،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قوله فیها بالنسبة إلی خصوص ذوی الأرحام مقیّداً لعنوان الموصی له فی ما دلّ علی البلوغ عشر سنین، فتدبّر و اغتنم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المبانی فی شرح العروة الوثقی، کتاب النکاح </w:t>
      </w:r>
      <w:r>
        <w:rPr>
          <w:rFonts w:eastAsia="IRNazanin" w:cs="IRNazanin"/>
          <w:b w:val="false"/>
          <w:bCs w:val="false"/>
          <w:i w:val="false"/>
          <w:iCs w:val="false"/>
          <w:color w:val="333333"/>
          <w:sz w:val="20"/>
          <w:szCs w:val="20"/>
        </w:rPr>
        <w:t>337:33</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182:9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428:13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الوصایا،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459:2</w:t>
      </w:r>
      <w:r>
        <w:rPr>
          <w:rFonts w:ascii="IRNazanin" w:hAnsi="IRNazanin" w:eastAsia="IRNazanin"/>
          <w:b w:val="false"/>
          <w:b w:val="false"/>
          <w:bCs w:val="false"/>
          <w:i w:val="false"/>
          <w:i w:val="false"/>
          <w:iCs w:val="false"/>
          <w:color w:val="333333"/>
          <w:sz w:val="20"/>
          <w:sz w:val="20"/>
          <w:szCs w:val="20"/>
          <w:rtl w:val="true"/>
        </w:rPr>
        <w:t>، 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388:9</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671:5</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429:6</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526:6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الإسلامی و أدلّته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بلغة السالک </w:t>
      </w:r>
      <w:r>
        <w:rPr>
          <w:rFonts w:eastAsia="IRNazanin" w:cs="IRNazanin"/>
          <w:b w:val="false"/>
          <w:bCs w:val="false"/>
          <w:i w:val="false"/>
          <w:iCs w:val="false"/>
          <w:color w:val="333333"/>
          <w:sz w:val="20"/>
          <w:szCs w:val="20"/>
        </w:rPr>
        <w:t>317:4</w:t>
      </w:r>
      <w:r>
        <w:rPr>
          <w:rFonts w:ascii="IRNazanin" w:hAnsi="IRNazanin" w:eastAsia="IRNazanin"/>
          <w:b w:val="false"/>
          <w:b w:val="false"/>
          <w:bCs w:val="false"/>
          <w:i w:val="false"/>
          <w:i w:val="false"/>
          <w:iCs w:val="false"/>
          <w:color w:val="333333"/>
          <w:sz w:val="20"/>
          <w:sz w:val="20"/>
          <w:szCs w:val="20"/>
          <w:rtl w:val="true"/>
        </w:rPr>
        <w:t xml:space="preserve">، عقد الجواهر الثمینة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الجلیل لشرح مختصر خلیل </w:t>
      </w:r>
      <w:r>
        <w:rPr>
          <w:rFonts w:eastAsia="IRNazanin" w:cs="IRNazanin"/>
          <w:b w:val="false"/>
          <w:bCs w:val="false"/>
          <w:i w:val="false"/>
          <w:iCs w:val="false"/>
          <w:color w:val="333333"/>
          <w:sz w:val="20"/>
          <w:szCs w:val="20"/>
        </w:rPr>
        <w:t>514:8</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Pr>
        <w:t>397:9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12924</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312:16</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مذهب الشافعی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510:2</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463:1</w:t>
      </w:r>
      <w:r>
        <w:rPr>
          <w:rFonts w:ascii="IRNazanin" w:hAnsi="IRNazanin" w:eastAsia="IRNazanin"/>
          <w:b w:val="false"/>
          <w:b w:val="false"/>
          <w:bCs w:val="false"/>
          <w:i w:val="false"/>
          <w:i w:val="false"/>
          <w:iCs w:val="false"/>
          <w:color w:val="333333"/>
          <w:sz w:val="20"/>
          <w:sz w:val="20"/>
          <w:szCs w:val="20"/>
          <w:rtl w:val="true"/>
        </w:rPr>
        <w:t xml:space="preserve">، تحریر الأحکام </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564:2</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271:11</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399:28</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209:22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تفصیل الشریعة، کتاب الوقف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271:11</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209:22</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558:22</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564:2</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558:22</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400:28</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للسیّد الخوئی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390:22</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654:5</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539:14</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المبانی فی شرح العروة الوثقی، کتاب الوصیّة </w:t>
      </w:r>
      <w:r>
        <w:rPr>
          <w:rFonts w:eastAsia="IRNazanin" w:cs="IRNazanin"/>
          <w:b w:val="false"/>
          <w:bCs w:val="false"/>
          <w:i w:val="false"/>
          <w:iCs w:val="false"/>
          <w:color w:val="333333"/>
          <w:sz w:val="20"/>
          <w:szCs w:val="20"/>
        </w:rPr>
        <w:t>301:33</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5487</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438:13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399:28</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271:11</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558:22</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للسیّد الخوئی مع فتاوی الوحید الخراسانی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للسیّد التبریزی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للسیستانی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427:16</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الطالبین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w:t>
      </w:r>
      <w:r>
        <w:rPr>
          <w:rFonts w:eastAsia="IRNazanin" w:cs="IRNazanin"/>
          <w:b w:val="false"/>
          <w:bCs w:val="false"/>
          <w:i w:val="false"/>
          <w:iCs w:val="false"/>
          <w:color w:val="333333"/>
          <w:sz w:val="20"/>
          <w:szCs w:val="20"/>
        </w:rPr>
        <w:t>478:4</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570:6</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فقه أحمد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567:2</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301:11</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400:28</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منهاج الصالحین للسیّد الخوئی مع فتاوی الوحید الخراسانی </w:t>
      </w:r>
      <w:r>
        <w:rPr>
          <w:rFonts w:eastAsia="IRNazanin" w:cs="IRNazanin"/>
          <w:b w:val="false"/>
          <w:bCs w:val="false"/>
          <w:i w:val="false"/>
          <w:iCs w:val="false"/>
          <w:color w:val="333333"/>
          <w:sz w:val="20"/>
          <w:szCs w:val="20"/>
        </w:rPr>
        <w:t>251:3</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218:22</w:t>
      </w:r>
      <w:r>
        <w:rPr>
          <w:rFonts w:ascii="IRNazanin" w:hAnsi="IRNazanin" w:eastAsia="IRNazanin"/>
          <w:b w:val="false"/>
          <w:b w:val="false"/>
          <w:bCs w:val="false"/>
          <w:i w:val="false"/>
          <w:i w:val="false"/>
          <w:iCs w:val="false"/>
          <w:color w:val="333333"/>
          <w:sz w:val="20"/>
          <w:sz w:val="20"/>
          <w:szCs w:val="20"/>
          <w:rtl w:val="true"/>
        </w:rPr>
        <w:t xml:space="preserve">، منهاج الصالحین للتبریزی </w:t>
      </w:r>
      <w:r>
        <w:rPr>
          <w:rFonts w:eastAsia="IRNazanin" w:cs="IRNazanin"/>
          <w:b w:val="false"/>
          <w:bCs w:val="false"/>
          <w:i w:val="false"/>
          <w:iCs w:val="false"/>
          <w:color w:val="333333"/>
          <w:sz w:val="20"/>
          <w:szCs w:val="20"/>
        </w:rPr>
        <w:t>287:2</w:t>
      </w:r>
      <w:r>
        <w:rPr>
          <w:rFonts w:ascii="IRNazanin" w:hAnsi="IRNazanin" w:eastAsia="IRNazanin"/>
          <w:b w:val="false"/>
          <w:b w:val="false"/>
          <w:bCs w:val="false"/>
          <w:i w:val="false"/>
          <w:i w:val="false"/>
          <w:iCs w:val="false"/>
          <w:color w:val="333333"/>
          <w:sz w:val="20"/>
          <w:sz w:val="20"/>
          <w:szCs w:val="20"/>
          <w:rtl w:val="true"/>
        </w:rPr>
        <w:t>، تفصیل الشریعة، کتاب الوقف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منهاج الصالحین للسیستانی </w:t>
      </w:r>
      <w:r>
        <w:rPr>
          <w:rFonts w:eastAsia="IRNazanin" w:cs="IRNazanin"/>
          <w:b w:val="false"/>
          <w:bCs w:val="false"/>
          <w:i w:val="false"/>
          <w:iCs w:val="false"/>
          <w:color w:val="333333"/>
          <w:sz w:val="20"/>
          <w:szCs w:val="20"/>
        </w:rPr>
        <w:t>377:2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400:28</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218:22</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400:28</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244:4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5579</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311:13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الوقوف و الصدقات،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301:11</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401:28</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الوری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301:11</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401:28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319:10</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402:28</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 فی فقه الشافعی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الطالبین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374:5</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فقه أحمد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الوسیط فی المذهب </w:t>
      </w:r>
      <w:r>
        <w:rPr>
          <w:rFonts w:eastAsia="IRNazanin" w:cs="IRNazanin"/>
          <w:b w:val="false"/>
          <w:bCs w:val="false"/>
          <w:i w:val="false"/>
          <w:iCs w:val="false"/>
          <w:color w:val="333333"/>
          <w:sz w:val="20"/>
          <w:szCs w:val="20"/>
        </w:rPr>
        <w:t>487:4</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فی مسنده </w:t>
      </w:r>
      <w:r>
        <w:rPr>
          <w:rFonts w:eastAsia="IRNazanin" w:cs="IRNazanin"/>
          <w:b w:val="false"/>
          <w:bCs w:val="false"/>
          <w:i w:val="false"/>
          <w:iCs w:val="false"/>
          <w:color w:val="333333"/>
          <w:sz w:val="20"/>
          <w:szCs w:val="20"/>
        </w:rPr>
        <w:t>365:8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رسول اللّه صلی الله علیه و آله جیش الاُمراء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علیکم زید بن حارثة، فإن اصیب زید فجعفر، فإن اصیب جعفر فعبد اللّه بن رواحة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أیضاً فی الطبقات الکبری لابن سعد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 و أمتاع الأسماء للمقریزی </w:t>
      </w:r>
      <w:r>
        <w:rPr>
          <w:rFonts w:eastAsia="IRNazanin" w:cs="IRNazanin"/>
          <w:b w:val="false"/>
          <w:bCs w:val="false"/>
          <w:i w:val="false"/>
          <w:iCs w:val="false"/>
          <w:color w:val="333333"/>
          <w:sz w:val="20"/>
          <w:szCs w:val="20"/>
        </w:rPr>
        <w:t>310:11</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w:t>
      </w:r>
      <w:r>
        <w:rPr>
          <w:rFonts w:eastAsia="IRNazanin" w:cs="IRNazanin"/>
          <w:b w:val="false"/>
          <w:bCs w:val="false"/>
          <w:i w:val="false"/>
          <w:iCs w:val="false"/>
          <w:color w:val="333333"/>
          <w:sz w:val="20"/>
          <w:szCs w:val="20"/>
        </w:rPr>
        <w:t>480:4</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572:6</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الکبیر </w:t>
      </w:r>
      <w:r>
        <w:rPr>
          <w:rFonts w:eastAsia="IRNazanin" w:cs="IRNazanin"/>
          <w:b w:val="false"/>
          <w:bCs w:val="false"/>
          <w:i w:val="false"/>
          <w:iCs w:val="false"/>
          <w:color w:val="333333"/>
          <w:sz w:val="20"/>
          <w:szCs w:val="20"/>
        </w:rPr>
        <w:t>582:6</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الجلیل </w:t>
      </w:r>
      <w:r>
        <w:rPr>
          <w:rFonts w:eastAsia="IRNazanin" w:cs="IRNazanin"/>
          <w:b w:val="false"/>
          <w:bCs w:val="false"/>
          <w:i w:val="false"/>
          <w:iCs w:val="false"/>
          <w:color w:val="333333"/>
          <w:sz w:val="20"/>
          <w:szCs w:val="20"/>
        </w:rPr>
        <w:t>554:8</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565:2</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الوصیّة بناءً علی کونها من العقود تکون من العقود التعلیقیة؛ بمعنی أنّ حقیقتها معلّقة بالموت، فبدونه لا حقیقة للوصیّة و لا تنجیز لها، و علی ذلک تعتبر الشرائط حین الموت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432:28</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المشروط فی المقام معلّق علی الموت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الإرشاد بهامش غایة المراد </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596:22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المبانی فی شرح العروة الوثقی، کتاب الوصیّة </w:t>
      </w:r>
      <w:r>
        <w:rPr>
          <w:rFonts w:eastAsia="IRNazanin" w:cs="IRNazanin"/>
          <w:b w:val="false"/>
          <w:bCs w:val="false"/>
          <w:i w:val="false"/>
          <w:iCs w:val="false"/>
          <w:color w:val="333333"/>
          <w:sz w:val="20"/>
          <w:szCs w:val="20"/>
        </w:rPr>
        <w:t>296:33</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539:14</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390:22</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273:7</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فقه أحمد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571:6</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الکبیر </w:t>
      </w:r>
      <w:r>
        <w:rPr>
          <w:rFonts w:eastAsia="IRNazanin" w:cs="IRNazanin"/>
          <w:b w:val="false"/>
          <w:bCs w:val="false"/>
          <w:i w:val="false"/>
          <w:iCs w:val="false"/>
          <w:color w:val="333333"/>
          <w:sz w:val="20"/>
          <w:szCs w:val="20"/>
        </w:rPr>
        <w:t>579:6</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الصغار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372:5</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إعانة الطالبین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429:16</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فقه أحمد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w:t>
      </w:r>
      <w:r>
        <w:rPr>
          <w:rFonts w:eastAsia="IRNazanin" w:cs="IRNazanin"/>
          <w:b w:val="false"/>
          <w:bCs w:val="false"/>
          <w:i w:val="false"/>
          <w:iCs w:val="false"/>
          <w:color w:val="333333"/>
          <w:sz w:val="20"/>
          <w:szCs w:val="20"/>
        </w:rPr>
        <w:t>479:4</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571:6</w:t>
      </w:r>
      <w:r>
        <w:rPr>
          <w:rFonts w:ascii="IRNazanin" w:hAnsi="IRNazanin" w:eastAsia="IRNazanin"/>
          <w:b w:val="false"/>
          <w:b w:val="false"/>
          <w:bCs w:val="false"/>
          <w:i w:val="false"/>
          <w:i w:val="false"/>
          <w:iCs w:val="false"/>
          <w:color w:val="333333"/>
          <w:sz w:val="20"/>
          <w:sz w:val="20"/>
          <w:szCs w:val="20"/>
          <w:rtl w:val="true"/>
        </w:rPr>
        <w:t xml:space="preserve">، و الشرح الکبیر </w:t>
      </w:r>
      <w:r>
        <w:rPr>
          <w:rFonts w:eastAsia="IRNazanin" w:cs="IRNazanin"/>
          <w:b w:val="false"/>
          <w:bCs w:val="false"/>
          <w:i w:val="false"/>
          <w:iCs w:val="false"/>
          <w:color w:val="333333"/>
          <w:sz w:val="20"/>
          <w:szCs w:val="20"/>
        </w:rPr>
        <w:t>579:6</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429:16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510:2</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564:2</w:t>
      </w:r>
      <w:r>
        <w:rPr>
          <w:rFonts w:ascii="IRNazanin" w:hAnsi="IRNazanin" w:eastAsia="IRNazanin"/>
          <w:b w:val="false"/>
          <w:b w:val="false"/>
          <w:bCs w:val="false"/>
          <w:i w:val="false"/>
          <w:i w:val="false"/>
          <w:iCs w:val="false"/>
          <w:color w:val="333333"/>
          <w:sz w:val="20"/>
          <w:sz w:val="20"/>
          <w:szCs w:val="20"/>
          <w:rtl w:val="true"/>
        </w:rPr>
        <w:t xml:space="preserve">، تحریر الأحکام </w:t>
      </w:r>
      <w:r>
        <w:rPr>
          <w:rFonts w:eastAsia="IRNazanin" w:cs="IRNazanin"/>
          <w:b w:val="false"/>
          <w:bCs w:val="false"/>
          <w:i w:val="false"/>
          <w:iCs w:val="false"/>
          <w:color w:val="333333"/>
          <w:sz w:val="20"/>
          <w:szCs w:val="20"/>
        </w:rPr>
        <w:t>377:3</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271:11</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317:10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211:22</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211:22</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271:11</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209:4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5487</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185:9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438:13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تهذیب الأحکام </w:t>
      </w:r>
      <w:r>
        <w:rPr>
          <w:rFonts w:eastAsia="IRNazanin" w:cs="IRNazanin"/>
          <w:b w:val="false"/>
          <w:bCs w:val="false"/>
          <w:i w:val="false"/>
          <w:iCs w:val="false"/>
          <w:color w:val="333333"/>
          <w:sz w:val="20"/>
          <w:szCs w:val="20"/>
        </w:rPr>
        <w:t>184:9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من لا یحضره الفقیه </w:t>
      </w:r>
      <w:r>
        <w:rPr>
          <w:rFonts w:eastAsia="IRNazanin" w:cs="IRNazanin"/>
          <w:b w:val="false"/>
          <w:bCs w:val="false"/>
          <w:i w:val="false"/>
          <w:iCs w:val="false"/>
          <w:color w:val="333333"/>
          <w:sz w:val="20"/>
          <w:szCs w:val="20"/>
        </w:rPr>
        <w:t>209:4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أشرک</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439:13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439:13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402:28</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565:2</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379:3</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558:22</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الوصایا للشیخ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438:13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إلی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271:11</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400:28</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318:10</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564:2</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626:2</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403:28</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565:22</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212:22</w:t>
      </w:r>
      <w:r>
        <w:rPr>
          <w:rFonts w:ascii="IRNazanin" w:hAnsi="IRNazanin" w:eastAsia="IRNazanin"/>
          <w:b w:val="false"/>
          <w:b w:val="false"/>
          <w:bCs w:val="false"/>
          <w:i w:val="false"/>
          <w:i w:val="false"/>
          <w:iCs w:val="false"/>
          <w:color w:val="333333"/>
          <w:sz w:val="20"/>
          <w:sz w:val="20"/>
          <w:szCs w:val="20"/>
          <w:rtl w:val="true"/>
        </w:rPr>
        <w:t>، تفصیل الشریعة کتاب الوقف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271:11</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319:10</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402:28</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الوصایا للشیخ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212:22</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271:11</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319:10</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402:28</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403:28</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570:2</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586:2</w:t>
      </w:r>
      <w:r>
        <w:rPr>
          <w:rFonts w:ascii="IRNazanin" w:hAnsi="IRNazanin" w:eastAsia="IRNazanin"/>
          <w:b w:val="false"/>
          <w:b w:val="false"/>
          <w:bCs w:val="false"/>
          <w:i w:val="false"/>
          <w:i w:val="false"/>
          <w:iCs w:val="false"/>
          <w:color w:val="333333"/>
          <w:sz w:val="20"/>
          <w:sz w:val="20"/>
          <w:szCs w:val="20"/>
          <w:rtl w:val="true"/>
        </w:rPr>
        <w:t xml:space="preserve">، تحریر الأحکام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84:12</w:t>
      </w:r>
      <w:r>
        <w:rPr>
          <w:rFonts w:ascii="IRNazanin" w:hAnsi="IRNazanin" w:eastAsia="IRNazanin"/>
          <w:b w:val="false"/>
          <w:b w:val="false"/>
          <w:bCs w:val="false"/>
          <w:i w:val="false"/>
          <w:i w:val="false"/>
          <w:iCs w:val="false"/>
          <w:color w:val="333333"/>
          <w:sz w:val="20"/>
          <w:sz w:val="20"/>
          <w:szCs w:val="20"/>
          <w:rtl w:val="true"/>
        </w:rPr>
        <w:t xml:space="preserve">، نهایة المرام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تراث الشیخ الأعظم، کتاب النکاح </w:t>
      </w:r>
      <w:r>
        <w:rPr>
          <w:rFonts w:eastAsia="IRNazanin" w:cs="IRNazanin"/>
          <w:b w:val="false"/>
          <w:bCs w:val="false"/>
          <w:i w:val="false"/>
          <w:iCs w:val="false"/>
          <w:color w:val="333333"/>
          <w:sz w:val="20"/>
          <w:szCs w:val="20"/>
        </w:rPr>
        <w:t>88:20</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602:5</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الدلیل أخصّ من المدّعی؛ فإنّ المهر فی النکاح الدائم لیس برکن، و مع عدمه یصحّ العقد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شمول الروایة لمورد البحث، مضافاً إلی أنّ الاحتلام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علائم الرشد، و لیس الرشد محدوداً به فقط، بلی قد یتحقّق الرشد قبل الاحتلام کما أنّه قد یتحقّق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143:13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الحجر،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268:12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268:12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143:13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الحجر،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384:14</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224:24</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307:19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185:14</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172:23</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143:29</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99:16</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215:14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میمون لم یرد فیه توثیق فی کتب الرجال و لا فی غیرها، و لکنّ التحقیق أنّه معتبر لوجوه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حمل جواب أبی عبد اللّه علیه السلام عمّا سأله ابن مسکان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ترجمة ابن مسکان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یروی عنه صفوان بن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کثرة روایة الأجلّاء عنه کحمّاد و معاویة بن عمّار و عبد اللّه بن مسکان و صفوان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214:14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حمل هذه النصوص علی الجاریة غیر الرشیدة، و التعبیر بأنّها لا تُستأمر إذا کانت بین أبویها دالّ علی عدم رشدها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205:14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143:29</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المبانی فی شرح العروة الوثقی، کتاب النکاح </w:t>
      </w:r>
      <w:r>
        <w:rPr>
          <w:rFonts w:eastAsia="IRNazanin" w:cs="IRNazanin"/>
          <w:b w:val="false"/>
          <w:bCs w:val="false"/>
          <w:i w:val="false"/>
          <w:iCs w:val="false"/>
          <w:color w:val="333333"/>
          <w:sz w:val="20"/>
          <w:szCs w:val="20"/>
        </w:rPr>
        <w:t>151:33</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603:5</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تبصرة المتعلّمین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143:29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602:5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385:14</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223:24</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p>
  </w:footnote>
  <w:footnote w:id="2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385:14</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222:14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و أولیاء العقد،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204:8</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385:14</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224:24</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p>
  </w:footnote>
  <w:footnote w:id="2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الاحکام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المبانی فی شرح العروة الوثقی، کتاب النکاح </w:t>
      </w:r>
      <w:r>
        <w:rPr>
          <w:rFonts w:eastAsia="IRNazanin" w:cs="IRNazanin"/>
          <w:b w:val="false"/>
          <w:bCs w:val="false"/>
          <w:i w:val="false"/>
          <w:iCs w:val="false"/>
          <w:color w:val="333333"/>
          <w:sz w:val="20"/>
          <w:szCs w:val="20"/>
        </w:rPr>
        <w:t>154:33</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التعریفات للجرجانی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العناوین </w:t>
      </w:r>
      <w:r>
        <w:rPr>
          <w:rFonts w:eastAsia="IRNazanin" w:cs="IRNazanin"/>
          <w:b w:val="false"/>
          <w:bCs w:val="false"/>
          <w:i w:val="false"/>
          <w:iCs w:val="false"/>
          <w:color w:val="333333"/>
          <w:sz w:val="20"/>
          <w:szCs w:val="20"/>
        </w:rPr>
        <w:t>506:2</w:t>
      </w:r>
      <w:r>
        <w:rPr>
          <w:rFonts w:ascii="IRNazanin" w:hAnsi="IRNazanin" w:eastAsia="IRNazanin"/>
          <w:b w:val="false"/>
          <w:b w:val="false"/>
          <w:bCs w:val="false"/>
          <w:i w:val="false"/>
          <w:i w:val="false"/>
          <w:iCs w:val="false"/>
          <w:color w:val="333333"/>
          <w:sz w:val="20"/>
          <w:sz w:val="20"/>
          <w:szCs w:val="20"/>
          <w:rtl w:val="true"/>
        </w:rPr>
        <w:t xml:space="preserve">، عنوان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مختلف الشیعة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تراث الشیخ الأعظم، کتاب المکاسب </w:t>
      </w:r>
      <w:r>
        <w:rPr>
          <w:rFonts w:eastAsia="IRNazanin" w:cs="IRNazanin"/>
          <w:b w:val="false"/>
          <w:bCs w:val="false"/>
          <w:i w:val="false"/>
          <w:iCs w:val="false"/>
          <w:color w:val="333333"/>
          <w:sz w:val="20"/>
          <w:szCs w:val="20"/>
        </w:rPr>
        <w:t>350:3</w:t>
      </w:r>
      <w:r>
        <w:rPr>
          <w:rFonts w:ascii="IRNazanin" w:hAnsi="IRNazanin" w:eastAsia="IRNazanin"/>
          <w:b w:val="false"/>
          <w:b w:val="false"/>
          <w:bCs w:val="false"/>
          <w:i w:val="false"/>
          <w:i w:val="false"/>
          <w:iCs w:val="false"/>
          <w:color w:val="333333"/>
          <w:sz w:val="20"/>
          <w:sz w:val="20"/>
          <w:szCs w:val="20"/>
          <w:rtl w:val="true"/>
        </w:rPr>
        <w:t>، کتاب الإجارة للمحقّق الرشتی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کتاب البیع للإمام الخمینی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العناوین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عنوان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474:3</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431:2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357:27</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للقرافی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للقرافی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الإرادات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281:17</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العقود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Pr>
        <w:t>316:2</w:t>
      </w:r>
      <w:r>
        <w:rPr>
          <w:rFonts w:ascii="IRNazanin" w:hAnsi="IRNazanin" w:eastAsia="IRNazanin"/>
          <w:b w:val="false"/>
          <w:b w:val="false"/>
          <w:bCs w:val="false"/>
          <w:i w:val="false"/>
          <w:i w:val="false"/>
          <w:iCs w:val="false"/>
          <w:color w:val="333333"/>
          <w:sz w:val="20"/>
          <w:sz w:val="20"/>
          <w:szCs w:val="20"/>
          <w:rtl w:val="true"/>
        </w:rPr>
        <w:t xml:space="preserve">، مفاتیح الشرائع </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288:2</w:t>
      </w:r>
      <w:r>
        <w:rPr>
          <w:rFonts w:ascii="IRNazanin" w:hAnsi="IRNazanin" w:eastAsia="IRNazanin"/>
          <w:b w:val="false"/>
          <w:b w:val="false"/>
          <w:bCs w:val="false"/>
          <w:i w:val="false"/>
          <w:i w:val="false"/>
          <w:iCs w:val="false"/>
          <w:color w:val="333333"/>
          <w:sz w:val="20"/>
          <w:sz w:val="20"/>
          <w:szCs w:val="20"/>
          <w:rtl w:val="true"/>
        </w:rPr>
        <w:t>،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عنهما فی مختلف الشیعة </w:t>
      </w:r>
      <w:r>
        <w:rPr>
          <w:rFonts w:eastAsia="IRNazanin" w:cs="IRNazanin"/>
          <w:b w:val="false"/>
          <w:bCs w:val="false"/>
          <w:i w:val="false"/>
          <w:iCs w:val="false"/>
          <w:color w:val="333333"/>
          <w:sz w:val="20"/>
          <w:szCs w:val="20"/>
        </w:rPr>
        <w:t>361:7</w:t>
      </w:r>
      <w:r>
        <w:rPr>
          <w:rFonts w:ascii="IRNazanin" w:hAnsi="IRNazanin" w:eastAsia="IRNazanin"/>
          <w:b w:val="false"/>
          <w:b w:val="false"/>
          <w:bCs w:val="false"/>
          <w:i w:val="false"/>
          <w:i w:val="false"/>
          <w:iCs w:val="false"/>
          <w:color w:val="333333"/>
          <w:sz w:val="20"/>
          <w:sz w:val="20"/>
          <w:szCs w:val="20"/>
          <w:rtl w:val="true"/>
        </w:rPr>
        <w:t>، مجموعة فتاوی ابن بابویه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إلی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152:25</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للسیّد الخوئی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الطلاق و المواریث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324:15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357:1</w:t>
      </w:r>
      <w:r>
        <w:rPr>
          <w:rFonts w:ascii="IRNazanin" w:hAnsi="IRNazanin" w:eastAsia="IRNazanin"/>
          <w:b w:val="false"/>
          <w:b w:val="false"/>
          <w:bCs w:val="false"/>
          <w:i w:val="false"/>
          <w:i w:val="false"/>
          <w:iCs w:val="false"/>
          <w:color w:val="333333"/>
          <w:sz w:val="20"/>
          <w:sz w:val="20"/>
          <w:szCs w:val="20"/>
          <w:rtl w:val="true"/>
        </w:rPr>
        <w:t xml:space="preserve">، الحبل المتین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Pr>
        <w:t>159:9</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435:12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360:7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کشف الرموز </w:t>
      </w:r>
      <w:r>
        <w:rPr>
          <w:rFonts w:eastAsia="IRNazanin" w:cs="IRNazanin"/>
          <w:b w:val="false"/>
          <w:bCs w:val="false"/>
          <w:i w:val="false"/>
          <w:iCs w:val="false"/>
          <w:color w:val="333333"/>
          <w:sz w:val="20"/>
          <w:szCs w:val="20"/>
        </w:rPr>
        <w:t>207:2</w:t>
      </w:r>
      <w:r>
        <w:rPr>
          <w:rFonts w:ascii="IRNazanin" w:hAnsi="IRNazanin" w:eastAsia="IRNazanin"/>
          <w:b w:val="false"/>
          <w:b w:val="false"/>
          <w:bCs w:val="false"/>
          <w:i w:val="false"/>
          <w:i w:val="false"/>
          <w:iCs w:val="false"/>
          <w:color w:val="333333"/>
          <w:sz w:val="20"/>
          <w:sz w:val="20"/>
          <w:szCs w:val="20"/>
          <w:rtl w:val="true"/>
        </w:rPr>
        <w:t xml:space="preserve">، إیضاح الفوائد </w:t>
      </w:r>
      <w:r>
        <w:rPr>
          <w:rFonts w:eastAsia="IRNazanin" w:cs="IRNazanin"/>
          <w:b w:val="false"/>
          <w:bCs w:val="false"/>
          <w:i w:val="false"/>
          <w:iCs w:val="false"/>
          <w:color w:val="333333"/>
          <w:sz w:val="20"/>
          <w:szCs w:val="20"/>
        </w:rPr>
        <w:t>291:3</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514:2</w:t>
      </w:r>
      <w:r>
        <w:rPr>
          <w:rFonts w:ascii="IRNazanin" w:hAnsi="IRNazanin" w:eastAsia="IRNazanin"/>
          <w:b w:val="false"/>
          <w:b w:val="false"/>
          <w:bCs w:val="false"/>
          <w:i w:val="false"/>
          <w:i w:val="false"/>
          <w:iCs w:val="false"/>
          <w:color w:val="333333"/>
          <w:sz w:val="20"/>
          <w:sz w:val="20"/>
          <w:szCs w:val="20"/>
          <w:rtl w:val="true"/>
        </w:rPr>
        <w:t xml:space="preserve">، التنقیح الرائع </w:t>
      </w:r>
      <w:r>
        <w:rPr>
          <w:rFonts w:eastAsia="IRNazanin" w:cs="IRNazanin"/>
          <w:b w:val="false"/>
          <w:bCs w:val="false"/>
          <w:i w:val="false"/>
          <w:iCs w:val="false"/>
          <w:color w:val="333333"/>
          <w:sz w:val="20"/>
          <w:szCs w:val="20"/>
        </w:rPr>
        <w:t>292:3</w:t>
      </w:r>
    </w:p>
  </w:footnote>
  <w:footnote w:id="2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325:15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151:25</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325:15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321:13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و الصدقات،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325:15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 ذ 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 ذ 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الطلاق و المواریث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362:7</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664:2</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کشف الرموز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تحریر الأحکام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مختلف الشیعة </w:t>
      </w:r>
      <w:r>
        <w:rPr>
          <w:rFonts w:eastAsia="IRNazanin" w:cs="IRNazanin"/>
          <w:b w:val="false"/>
          <w:bCs w:val="false"/>
          <w:i w:val="false"/>
          <w:iCs w:val="false"/>
          <w:color w:val="333333"/>
          <w:sz w:val="20"/>
          <w:szCs w:val="20"/>
        </w:rPr>
        <w:t>361:7</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القواعد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195:12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السیّد الیزدی علی المکاسب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492:4</w:t>
      </w:r>
      <w:r>
        <w:rPr>
          <w:rFonts w:ascii="IRNazanin" w:hAnsi="IRNazanin" w:eastAsia="IRNazanin"/>
          <w:b w:val="false"/>
          <w:b w:val="false"/>
          <w:bCs w:val="false"/>
          <w:i w:val="false"/>
          <w:i w:val="false"/>
          <w:iCs w:val="false"/>
          <w:color w:val="333333"/>
          <w:sz w:val="20"/>
          <w:sz w:val="20"/>
          <w:szCs w:val="20"/>
          <w:rtl w:val="true"/>
        </w:rPr>
        <w:t xml:space="preserve">، منهاج الصالحین للسیّد الخوئی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290:2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5:32</w:t>
      </w:r>
    </w:p>
  </w:footnote>
  <w:footnote w:id="2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195:12</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324:15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1105:23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22855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382:7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ذ ح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208:14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و أولیاء العقد،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196:12</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664:2</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التنقیح الرائع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منهاج الطالبین </w:t>
      </w:r>
      <w:r>
        <w:rPr>
          <w:rFonts w:eastAsia="IRNazanin" w:cs="IRNazanin"/>
          <w:b w:val="false"/>
          <w:bCs w:val="false"/>
          <w:i w:val="false"/>
          <w:iCs w:val="false"/>
          <w:color w:val="333333"/>
          <w:sz w:val="20"/>
          <w:szCs w:val="20"/>
        </w:rPr>
        <w:t>524:2</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مغنی المحتاج </w:t>
      </w:r>
      <w:r>
        <w:rPr>
          <w:rFonts w:eastAsia="IRNazanin" w:cs="IRNazanin"/>
          <w:b w:val="false"/>
          <w:bCs w:val="false"/>
          <w:i w:val="false"/>
          <w:iCs w:val="false"/>
          <w:color w:val="333333"/>
          <w:sz w:val="20"/>
          <w:szCs w:val="20"/>
        </w:rPr>
        <w:t>279:3</w:t>
      </w:r>
      <w:r>
        <w:rPr>
          <w:rFonts w:ascii="IRNazanin" w:hAnsi="IRNazanin" w:eastAsia="IRNazanin"/>
          <w:b w:val="false"/>
          <w:b w:val="false"/>
          <w:bCs w:val="false"/>
          <w:i w:val="false"/>
          <w:i w:val="false"/>
          <w:iCs w:val="false"/>
          <w:color w:val="333333"/>
          <w:sz w:val="20"/>
          <w:sz w:val="20"/>
          <w:szCs w:val="20"/>
          <w:rtl w:val="true"/>
        </w:rPr>
        <w:t xml:space="preserve">، العزیز شرح الوجیز </w:t>
      </w:r>
      <w:r>
        <w:rPr>
          <w:rFonts w:eastAsia="IRNazanin" w:cs="IRNazanin"/>
          <w:b w:val="false"/>
          <w:bCs w:val="false"/>
          <w:i w:val="false"/>
          <w:iCs w:val="false"/>
          <w:color w:val="333333"/>
          <w:sz w:val="20"/>
          <w:szCs w:val="20"/>
        </w:rPr>
        <w:t>506:8</w:t>
      </w:r>
      <w:r>
        <w:rPr>
          <w:rFonts w:ascii="IRNazanin" w:hAnsi="IRNazanin" w:eastAsia="IRNazanin"/>
          <w:b w:val="false"/>
          <w:b w:val="false"/>
          <w:bCs w:val="false"/>
          <w:i w:val="false"/>
          <w:i w:val="false"/>
          <w:iCs w:val="false"/>
          <w:color w:val="333333"/>
          <w:sz w:val="20"/>
          <w:sz w:val="20"/>
          <w:szCs w:val="20"/>
          <w:rtl w:val="true"/>
        </w:rPr>
        <w:t xml:space="preserve">، روضة الطالبین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البحر الرائق </w:t>
      </w:r>
      <w:r>
        <w:rPr>
          <w:rFonts w:eastAsia="IRNazanin" w:cs="IRNazanin"/>
          <w:b w:val="false"/>
          <w:bCs w:val="false"/>
          <w:i w:val="false"/>
          <w:iCs w:val="false"/>
          <w:color w:val="333333"/>
          <w:sz w:val="20"/>
          <w:szCs w:val="20"/>
        </w:rPr>
        <w:t>364:3</w:t>
      </w:r>
      <w:r>
        <w:rPr>
          <w:rFonts w:ascii="IRNazanin" w:hAnsi="IRNazanin" w:eastAsia="IRNazanin"/>
          <w:b w:val="false"/>
          <w:b w:val="false"/>
          <w:bCs w:val="false"/>
          <w:i w:val="false"/>
          <w:i w:val="false"/>
          <w:iCs w:val="false"/>
          <w:color w:val="333333"/>
          <w:sz w:val="20"/>
          <w:sz w:val="20"/>
          <w:szCs w:val="20"/>
          <w:rtl w:val="true"/>
        </w:rPr>
        <w:t xml:space="preserve">، ردّ المحتار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17700</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 xml:space="preserve">، و سنن النسائی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190:18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البدائع و الصنائع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فقه الشافعی </w:t>
      </w:r>
      <w:r>
        <w:rPr>
          <w:rFonts w:eastAsia="IRNazanin" w:cs="IRNazanin"/>
          <w:b w:val="false"/>
          <w:bCs w:val="false"/>
          <w:i w:val="false"/>
          <w:iCs w:val="false"/>
          <w:color w:val="333333"/>
          <w:sz w:val="20"/>
          <w:szCs w:val="20"/>
        </w:rPr>
        <w:t>68:10</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الحدیث أخرجه الترمذی فی سننه </w:t>
      </w:r>
      <w:r>
        <w:rPr>
          <w:rFonts w:eastAsia="IRNazanin" w:cs="IRNazanin"/>
          <w:b w:val="false"/>
          <w:bCs w:val="false"/>
          <w:i w:val="false"/>
          <w:iCs w:val="false"/>
          <w:color w:val="333333"/>
          <w:sz w:val="20"/>
          <w:szCs w:val="20"/>
        </w:rPr>
        <w:t>496:3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فی طلاق المعتوه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طلاق جائز إلّا طلاق المعتوه و المغلوب علی عقله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کذا أخرجه عبد الرزاق فی مصنّفه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12276</w:t>
      </w:r>
      <w:r>
        <w:rPr>
          <w:rFonts w:ascii="IRNazanin" w:hAnsi="IRNazanin" w:eastAsia="IRNazanin"/>
          <w:b w:val="false"/>
          <w:b w:val="false"/>
          <w:bCs w:val="false"/>
          <w:i w:val="false"/>
          <w:i w:val="false"/>
          <w:iCs w:val="false"/>
          <w:color w:val="333333"/>
          <w:sz w:val="20"/>
          <w:sz w:val="20"/>
          <w:szCs w:val="20"/>
          <w:rtl w:val="true"/>
        </w:rPr>
        <w:t xml:space="preserve">، و البیهقی فی السنن الکبری </w:t>
      </w:r>
      <w:r>
        <w:rPr>
          <w:rFonts w:eastAsia="IRNazanin" w:cs="IRNazanin"/>
          <w:b w:val="false"/>
          <w:bCs w:val="false"/>
          <w:i w:val="false"/>
          <w:iCs w:val="false"/>
          <w:color w:val="333333"/>
          <w:sz w:val="20"/>
          <w:szCs w:val="20"/>
        </w:rPr>
        <w:t>267:11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15488</w:t>
      </w:r>
      <w:r>
        <w:rPr>
          <w:rFonts w:ascii="IRNazanin" w:hAnsi="IRNazanin" w:eastAsia="IRNazanin"/>
          <w:b w:val="false"/>
          <w:b w:val="false"/>
          <w:bCs w:val="false"/>
          <w:i w:val="false"/>
          <w:i w:val="false"/>
          <w:iCs w:val="false"/>
          <w:color w:val="333333"/>
          <w:sz w:val="20"/>
          <w:sz w:val="20"/>
          <w:szCs w:val="20"/>
          <w:rtl w:val="true"/>
        </w:rPr>
        <w:t>، و لیس فی جمیع ذلک ذکر الصبیّ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روی البیهقی عن الشعبی و الحسن و إبراهیم أنّهم 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یجوز طلاق الصبیّ و لا عتقه حتّی یحتلم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267:11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أیضاً عبد الرزّاق فی مصنّفه عن الشعبی و الزهری و إبراهیم، المصنّف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کلّ طلاق واقع إلّا طلاق الصبیّ و المجنون لم أجده و إنّما روی عن ابن أبی شیبة عن ابن عبّاس موقوفاً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یجوز طلاق الصبیّ، و أخرج عن علیّ علیه السلام بإسناد 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طلاق جائز إلّا طلاق المعتوه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الدرایة فی تخریج أحادیث الهدایة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الکبیر للدردیر و حاشیة الدسوقی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الإکلیل المطبوع مع مواهب الجلیل </w:t>
      </w:r>
      <w:r>
        <w:rPr>
          <w:rFonts w:eastAsia="IRNazanin" w:cs="IRNazanin"/>
          <w:b w:val="false"/>
          <w:bCs w:val="false"/>
          <w:i w:val="false"/>
          <w:iCs w:val="false"/>
          <w:color w:val="333333"/>
          <w:sz w:val="20"/>
          <w:szCs w:val="20"/>
        </w:rPr>
        <w:t>307:5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القوانین الفقهیّة لابن جزیّ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الشرح الصغیر للدردیر و بلغة السالک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538:2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Pr>
        <w:t>270:11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15503</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496:3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12276</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Pr>
        <w:t>267:11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15492</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الکبیر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المبدع </w:t>
      </w:r>
      <w:r>
        <w:rPr>
          <w:rFonts w:eastAsia="IRNazanin" w:cs="IRNazanin"/>
          <w:b w:val="false"/>
          <w:bCs w:val="false"/>
          <w:i w:val="false"/>
          <w:iCs w:val="false"/>
          <w:color w:val="333333"/>
          <w:sz w:val="20"/>
          <w:szCs w:val="20"/>
        </w:rPr>
        <w:t>293:6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الکافی فی فقه أحمد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کشّاف القناع </w:t>
      </w:r>
      <w:r>
        <w:rPr>
          <w:rFonts w:eastAsia="IRNazanin" w:cs="IRNazanin"/>
          <w:b w:val="false"/>
          <w:bCs w:val="false"/>
          <w:i w:val="false"/>
          <w:iCs w:val="false"/>
          <w:color w:val="333333"/>
          <w:sz w:val="20"/>
          <w:szCs w:val="20"/>
        </w:rPr>
        <w:t>268:5</w:t>
      </w:r>
      <w:r>
        <w:rPr>
          <w:rFonts w:ascii="IRNazanin" w:hAnsi="IRNazanin" w:eastAsia="IRNazanin"/>
          <w:b w:val="false"/>
          <w:b w:val="false"/>
          <w:bCs w:val="false"/>
          <w:i w:val="false"/>
          <w:i w:val="false"/>
          <w:iCs w:val="false"/>
          <w:color w:val="333333"/>
          <w:sz w:val="20"/>
          <w:sz w:val="20"/>
          <w:szCs w:val="20"/>
          <w:rtl w:val="true"/>
        </w:rPr>
        <w:t xml:space="preserve">، منتهی الإرادات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الزرکشی علی مختصر الخرقی </w:t>
      </w:r>
      <w:r>
        <w:rPr>
          <w:rFonts w:eastAsia="IRNazanin" w:cs="IRNazanin"/>
          <w:b w:val="false"/>
          <w:bCs w:val="false"/>
          <w:i w:val="false"/>
          <w:iCs w:val="false"/>
          <w:color w:val="333333"/>
          <w:sz w:val="20"/>
          <w:szCs w:val="20"/>
        </w:rPr>
        <w:t>388:5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 إیضاح الفوائد </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633:23</w:t>
      </w:r>
      <w:r>
        <w:rPr>
          <w:rFonts w:ascii="IRNazanin" w:hAnsi="IRNazanin" w:eastAsia="IRNazanin"/>
          <w:b w:val="false"/>
          <w:b w:val="false"/>
          <w:bCs w:val="false"/>
          <w:i w:val="false"/>
          <w:i w:val="false"/>
          <w:iCs w:val="false"/>
          <w:color w:val="333333"/>
          <w:sz w:val="20"/>
          <w:sz w:val="20"/>
          <w:szCs w:val="20"/>
          <w:rtl w:val="true"/>
        </w:rPr>
        <w:t xml:space="preserve">، نهایة المرام </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158:32</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مفاتیح الشرائع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296:2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324:15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159:32</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الطلاق و المواریث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269:12</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504:4</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Pr>
        <w:t>382:7</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361:15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328:25</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534:4</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668:2</w:t>
      </w:r>
      <w:r>
        <w:rPr>
          <w:rFonts w:eastAsia="IRNazanin" w:cs="IRNazanin"/>
          <w:b w:val="false"/>
          <w:bCs w:val="false"/>
          <w:i w:val="false"/>
          <w:iCs w:val="false"/>
          <w:color w:val="333333"/>
          <w:sz w:val="20"/>
          <w:szCs w:val="20"/>
          <w:rtl w:val="true"/>
        </w:rPr>
        <w:t>.</w:t>
      </w:r>
    </w:p>
  </w:footnote>
  <w:footnote w:id="2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مختلف الشیعة </w:t>
      </w:r>
      <w:r>
        <w:rPr>
          <w:rFonts w:eastAsia="IRNazanin" w:cs="IRNazanin"/>
          <w:b w:val="false"/>
          <w:bCs w:val="false"/>
          <w:i w:val="false"/>
          <w:iCs w:val="false"/>
          <w:color w:val="333333"/>
          <w:sz w:val="20"/>
          <w:szCs w:val="20"/>
        </w:rPr>
        <w:t>382:7</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2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269:12</w:t>
      </w:r>
      <w:r>
        <w:rPr>
          <w:rFonts w:eastAsia="IRNazanin" w:cs="IRNazanin"/>
          <w:b w:val="false"/>
          <w:bCs w:val="false"/>
          <w:i w:val="false"/>
          <w:iCs w:val="false"/>
          <w:color w:val="333333"/>
          <w:sz w:val="20"/>
          <w:szCs w:val="20"/>
          <w:rtl w:val="true"/>
        </w:rPr>
        <w:t>.</w:t>
      </w:r>
    </w:p>
  </w:footnote>
  <w:footnote w:id="2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2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327:25</w:t>
      </w:r>
      <w:r>
        <w:rPr>
          <w:rFonts w:eastAsia="IRNazanin" w:cs="IRNazanin"/>
          <w:b w:val="false"/>
          <w:bCs w:val="false"/>
          <w:i w:val="false"/>
          <w:iCs w:val="false"/>
          <w:color w:val="333333"/>
          <w:sz w:val="20"/>
          <w:szCs w:val="20"/>
          <w:rtl w:val="true"/>
        </w:rPr>
        <w:t>.</w:t>
      </w:r>
    </w:p>
  </w:footnote>
  <w:footnote w:id="2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159:32</w:t>
      </w:r>
      <w:r>
        <w:rPr>
          <w:rFonts w:eastAsia="IRNazanin" w:cs="IRNazanin"/>
          <w:b w:val="false"/>
          <w:bCs w:val="false"/>
          <w:i w:val="false"/>
          <w:iCs w:val="false"/>
          <w:color w:val="333333"/>
          <w:sz w:val="20"/>
          <w:szCs w:val="20"/>
          <w:rtl w:val="true"/>
        </w:rPr>
        <w:t>.</w:t>
      </w:r>
    </w:p>
  </w:footnote>
  <w:footnote w:id="2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534:4</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61:26</w:t>
      </w:r>
      <w:r>
        <w:rPr>
          <w:rFonts w:eastAsia="IRNazanin" w:cs="IRNazanin"/>
          <w:b w:val="false"/>
          <w:bCs w:val="false"/>
          <w:i w:val="false"/>
          <w:iCs w:val="false"/>
          <w:color w:val="333333"/>
          <w:sz w:val="20"/>
          <w:szCs w:val="20"/>
          <w:rtl w:val="true"/>
        </w:rPr>
        <w:t>.</w:t>
      </w:r>
    </w:p>
  </w:footnote>
  <w:footnote w:id="2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297:2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الطلاق و المواریث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p>
  </w:footnote>
  <w:footnote w:id="3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367:15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و أحکامه،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269:12</w:t>
      </w:r>
      <w:r>
        <w:rPr>
          <w:rFonts w:ascii="IRNazanin" w:hAnsi="IRNazanin" w:eastAsia="IRNazanin"/>
          <w:b w:val="false"/>
          <w:b w:val="false"/>
          <w:bCs w:val="false"/>
          <w:i w:val="false"/>
          <w:i w:val="false"/>
          <w:iCs w:val="false"/>
          <w:color w:val="333333"/>
          <w:sz w:val="20"/>
          <w:sz w:val="20"/>
          <w:szCs w:val="20"/>
          <w:rtl w:val="true"/>
        </w:rPr>
        <w:t>، تفصیل الشریعة، کتاب الطلاق و المواریث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294:11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15584</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426:3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204:6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5265</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855:2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3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361:15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و أحکامه،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327:25</w:t>
      </w:r>
      <w:r>
        <w:rPr>
          <w:rFonts w:eastAsia="IRNazanin" w:cs="IRNazanin"/>
          <w:b w:val="false"/>
          <w:bCs w:val="false"/>
          <w:i w:val="false"/>
          <w:iCs w:val="false"/>
          <w:color w:val="333333"/>
          <w:sz w:val="20"/>
          <w:szCs w:val="20"/>
          <w:rtl w:val="true"/>
        </w:rPr>
        <w:t>.</w:t>
      </w:r>
    </w:p>
  </w:footnote>
  <w:footnote w:id="3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p>
  </w:footnote>
  <w:footnote w:id="3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159:32</w:t>
      </w:r>
      <w:r>
        <w:rPr>
          <w:rFonts w:eastAsia="IRNazanin" w:cs="IRNazanin"/>
          <w:b w:val="false"/>
          <w:bCs w:val="false"/>
          <w:i w:val="false"/>
          <w:iCs w:val="false"/>
          <w:color w:val="333333"/>
          <w:sz w:val="20"/>
          <w:szCs w:val="20"/>
          <w:rtl w:val="true"/>
        </w:rPr>
        <w:t>.</w:t>
      </w:r>
    </w:p>
  </w:footnote>
  <w:footnote w:id="3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534:4</w:t>
      </w:r>
      <w:r>
        <w:rPr>
          <w:rFonts w:eastAsia="IRNazanin" w:cs="IRNazanin"/>
          <w:b w:val="false"/>
          <w:bCs w:val="false"/>
          <w:i w:val="false"/>
          <w:iCs w:val="false"/>
          <w:color w:val="333333"/>
          <w:sz w:val="20"/>
          <w:szCs w:val="20"/>
          <w:rtl w:val="true"/>
        </w:rPr>
        <w:t>.</w:t>
      </w:r>
    </w:p>
  </w:footnote>
  <w:footnote w:id="3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3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159:32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3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475:8</w:t>
      </w:r>
      <w:r>
        <w:rPr>
          <w:rFonts w:eastAsia="IRNazanin" w:cs="IRNazanin"/>
          <w:b w:val="false"/>
          <w:bCs w:val="false"/>
          <w:i w:val="false"/>
          <w:iCs w:val="false"/>
          <w:color w:val="333333"/>
          <w:sz w:val="20"/>
          <w:szCs w:val="20"/>
          <w:rtl w:val="true"/>
        </w:rPr>
        <w:t>.</w:t>
      </w:r>
    </w:p>
  </w:footnote>
  <w:footnote w:id="3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مذهب الشافعی </w:t>
      </w:r>
      <w:r>
        <w:rPr>
          <w:rFonts w:eastAsia="IRNazanin" w:cs="IRNazanin"/>
          <w:b w:val="false"/>
          <w:bCs w:val="false"/>
          <w:i w:val="false"/>
          <w:iCs w:val="false"/>
          <w:color w:val="333333"/>
          <w:sz w:val="20"/>
          <w:szCs w:val="20"/>
        </w:rPr>
        <w:t>260:10</w:t>
      </w:r>
      <w:r>
        <w:rPr>
          <w:rFonts w:eastAsia="IRNazanin" w:cs="IRNazanin"/>
          <w:b w:val="false"/>
          <w:bCs w:val="false"/>
          <w:i w:val="false"/>
          <w:iCs w:val="false"/>
          <w:color w:val="333333"/>
          <w:sz w:val="20"/>
          <w:szCs w:val="20"/>
          <w:rtl w:val="true"/>
        </w:rPr>
        <w:t>.</w:t>
      </w:r>
    </w:p>
  </w:footnote>
  <w:footnote w:id="3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381:18</w:t>
      </w:r>
      <w:r>
        <w:rPr>
          <w:rFonts w:ascii="IRNazanin" w:hAnsi="IRNazanin" w:eastAsia="IRNazanin"/>
          <w:b w:val="false"/>
          <w:b w:val="false"/>
          <w:bCs w:val="false"/>
          <w:i w:val="false"/>
          <w:i w:val="false"/>
          <w:iCs w:val="false"/>
          <w:color w:val="333333"/>
          <w:sz w:val="20"/>
          <w:sz w:val="20"/>
          <w:szCs w:val="20"/>
          <w:rtl w:val="true"/>
        </w:rPr>
        <w:t xml:space="preserve">، مغنی المحتاج </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 xml:space="preserve">، الحاوی الکبیر </w:t>
      </w:r>
      <w:r>
        <w:rPr>
          <w:rFonts w:eastAsia="IRNazanin" w:cs="IRNazanin"/>
          <w:b w:val="false"/>
          <w:bCs w:val="false"/>
          <w:i w:val="false"/>
          <w:iCs w:val="false"/>
          <w:color w:val="333333"/>
          <w:sz w:val="20"/>
          <w:szCs w:val="20"/>
        </w:rPr>
        <w:t>216:13</w:t>
      </w:r>
      <w:r>
        <w:rPr>
          <w:rFonts w:eastAsia="IRNazanin" w:cs="IRNazanin"/>
          <w:b w:val="false"/>
          <w:bCs w:val="false"/>
          <w:i w:val="false"/>
          <w:iCs w:val="false"/>
          <w:color w:val="333333"/>
          <w:sz w:val="20"/>
          <w:szCs w:val="20"/>
          <w:rtl w:val="true"/>
        </w:rPr>
        <w:t>.</w:t>
      </w:r>
    </w:p>
  </w:footnote>
  <w:footnote w:id="3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460:2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426:3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204:6</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855:2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3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الجلیل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3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أسهل المدارک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w:t>
      </w:r>
    </w:p>
  </w:footnote>
  <w:footnote w:id="3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السالک </w:t>
      </w:r>
      <w:r>
        <w:rPr>
          <w:rFonts w:eastAsia="IRNazanin" w:cs="IRNazanin"/>
          <w:b w:val="false"/>
          <w:bCs w:val="false"/>
          <w:i w:val="false"/>
          <w:iCs w:val="false"/>
          <w:color w:val="333333"/>
          <w:sz w:val="20"/>
          <w:szCs w:val="20"/>
        </w:rPr>
        <w:t>265:2</w:t>
      </w:r>
      <w:r>
        <w:rPr>
          <w:rFonts w:ascii="IRNazanin" w:hAnsi="IRNazanin" w:eastAsia="IRNazanin"/>
          <w:b w:val="false"/>
          <w:b w:val="false"/>
          <w:bCs w:val="false"/>
          <w:i w:val="false"/>
          <w:i w:val="false"/>
          <w:iCs w:val="false"/>
          <w:color w:val="333333"/>
          <w:sz w:val="20"/>
          <w:sz w:val="20"/>
          <w:szCs w:val="20"/>
          <w:rtl w:val="true"/>
        </w:rPr>
        <w:t xml:space="preserve">، حاشیة الخرشی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image" Target="media/image2.jpeg"/><Relationship Id="rId536" Type="http://schemas.openxmlformats.org/officeDocument/2006/relationships/image" Target="media/image2.jpeg"/><Relationship Id="rId537" Type="http://schemas.openxmlformats.org/officeDocument/2006/relationships/footer" Target="footer530.xml"/><Relationship Id="rId538" Type="http://schemas.openxmlformats.org/officeDocument/2006/relationships/footnotes" Target="footnotes.xml"/><Relationship Id="rId539" Type="http://schemas.openxmlformats.org/officeDocument/2006/relationships/numbering" Target="numbering.xml"/><Relationship Id="rId540" Type="http://schemas.openxmlformats.org/officeDocument/2006/relationships/fontTable" Target="fontTable.xml"/><Relationship Id="rId541" Type="http://schemas.openxmlformats.org/officeDocument/2006/relationships/settings" Target="settings.xml"/><Relationship Id="rId5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539</Pages>
  <Words>61706</Words>
  <Characters>251461</Characters>
  <CharactersWithSpaces>310962</CharactersWithSpaces>
  <Paragraphs>2206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2026-08-22T07:04:02Z</dcterms:created>
  <dc:creator>ghaemiyeh.com</dc:creator>
  <dc:description/>
  <dc:language>en-US</dc:language>
  <cp:lastModifiedBy/>
  <dcterms:modified xsi:type="dcterms:W3CDTF">2026-08-22T10:34:35Z</dcterms:modified>
  <cp:revision>1</cp:revision>
  <dc:subject/>
  <dc:title>موسوعه احکام الاطفال و ادلتها مقارنه تفصیلیه بین مذهب الامامیه و المذاهب الاخری جلد 6</dc:title>
</cp:coreProperties>
</file>

<file path=docProps/custom.xml><?xml version="1.0" encoding="utf-8"?>
<Properties xmlns="http://schemas.openxmlformats.org/officeDocument/2006/custom-properties" xmlns:vt="http://schemas.openxmlformats.org/officeDocument/2006/docPropsVTypes"/>
</file>